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readiness assessment</w:t>
      </w:r>
    </w:p>
    <w:p>
      <w:pPr>
        <w:pStyle w:val="Subtitle"/>
      </w:pPr>
      <w:r>
        <w:t>Northstar Foods</w:t>
      </w:r>
    </w:p>
    <w:p>
      <w:r>
        <w:rPr>
          <w:color w:val="53616A"/>
          <w:sz w:val="18"/>
        </w:rPr>
        <w:t>Avery Ross  |  Reviewed by Sofia Patel</w:t>
        <w:br/>
        <w:t>September 7, 2026  |  Approved revision 2  |  Template ASG DR01 v1.2</w:t>
      </w:r>
    </w:p>
    <w:p>
      <w:r>
        <w:t>Proceed with initial diagnostic work for the six supplied regions. Design decisions remain conditional on resolving ownership, currency and the missing regional evidence.</w:t>
      </w:r>
    </w:p>
    <w:p>
      <w:pPr>
        <w:pStyle w:val="Heading1"/>
      </w:pPr>
      <w:r>
        <w:t>Purpose and assessment basis</w:t>
      </w:r>
    </w:p>
    <w:p>
      <w:r>
        <w:t>Establish which regional evidence can support the decision-rights diagnostic, with observed ownership kept separate from proposed design.</w:t>
      </w:r>
    </w:p>
    <w:p>
      <w:pPr>
        <w:pStyle w:val="Heading1"/>
      </w:pPr>
      <w:r>
        <w:t>Evidence and decision implications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1440"/>
            <w:shd w:fill="334952"/>
          </w:tcPr>
          <w:p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2880"/>
            <w:shd w:fill="334952"/>
          </w:tcPr>
          <w:p>
            <w:r>
              <w:rPr>
                <w:b/>
                <w:color w:val="FFFFFF"/>
                <w:sz w:val="20"/>
              </w:rPr>
              <w:t>Evidence</w:t>
            </w:r>
          </w:p>
        </w:tc>
        <w:tc>
          <w:tcPr>
            <w:tcW w:type="dxa" w:w="5760"/>
            <w:shd w:fill="334952"/>
          </w:tcPr>
          <w:p>
            <w:r>
              <w:rPr>
                <w:b/>
                <w:color w:val="FFFFFF"/>
                <w:sz w:val="20"/>
              </w:rPr>
              <w:t>Decision implication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0F3F5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Coverage</w:t>
            </w:r>
          </w:p>
        </w:tc>
        <w:tc>
          <w:tcPr>
            <w:tcW w:type="dxa" w:w="2880"/>
            <w:vAlign w:val="center"/>
            <w:shd w:fill="F0F3F5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6 of 8 regional extracts. West and Southeast outstanding.</w:t>
            </w:r>
          </w:p>
        </w:tc>
        <w:tc>
          <w:tcPr>
            <w:tcW w:type="dxa" w:w="5760"/>
            <w:vAlign w:val="center"/>
            <w:shd w:fill="F0F3F5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The current evidence cannot establish a complete view of decision ownership across all eight regions.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Ownership</w:t>
            </w:r>
          </w:p>
        </w:tc>
        <w:tc>
          <w:tcPr>
            <w:tcW w:type="dxa" w:w="2880"/>
            <w:vAlign w:val="center"/>
            <w:shd w:fill="FFFFFF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Northeast incomplete. Affected decision owners need validation.</w:t>
            </w:r>
          </w:p>
        </w:tc>
        <w:tc>
          <w:tcPr>
            <w:tcW w:type="dxa" w:w="5760"/>
            <w:vAlign w:val="center"/>
            <w:shd w:fill="FFFFFF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Decisions involving disputed or missing owners require regional confirmation before the design baseline.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0F3F5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Currency</w:t>
            </w:r>
          </w:p>
        </w:tc>
        <w:tc>
          <w:tcPr>
            <w:tcW w:type="dxa" w:w="2880"/>
            <w:vAlign w:val="center"/>
            <w:shd w:fill="F0F3F5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Central: prior quarter. Confirm suitability for current decisions.</w:t>
            </w:r>
          </w:p>
        </w:tc>
        <w:tc>
          <w:tcPr>
            <w:tcW w:type="dxa" w:w="5760"/>
            <w:vAlign w:val="center"/>
            <w:shd w:fill="F0F3F5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sz w:val="20"/>
              </w:rPr>
              <w:t>The team must validate whether the inventory still represents the current operating environment.</w:t>
            </w:r>
          </w:p>
        </w:tc>
      </w:tr>
    </w:tbl>
    <w:p>
      <w:r>
        <w:br w:type="page"/>
      </w:r>
    </w:p>
    <w:p>
      <w:pPr>
        <w:pStyle w:val="Heading1"/>
      </w:pPr>
      <w:r>
        <w:t>Actions before the design baseline</w:t>
      </w:r>
    </w:p>
    <w:p>
      <w:r>
        <w:t>Resolve the following evidence gaps before confirming design decisions that depend on them. Initial diagnostic work can proceed for the six supplied regions.</w:t>
      </w:r>
    </w:p>
    <w:p>
      <w:pPr>
        <w:pStyle w:val="ListNumber"/>
      </w:pPr>
      <w:r>
        <w:t>Obtain the West and Southeast extracts and record their source dates and coverage in the evidence register.</w:t>
      </w:r>
    </w:p>
    <w:p>
      <w:pPr>
        <w:pStyle w:val="ListNumber"/>
      </w:pPr>
      <w:r>
        <w:t>Validate Northeast decision owners with the relevant regional leads and retain unresolved ownership disputes.</w:t>
      </w:r>
    </w:p>
    <w:p>
      <w:pPr>
        <w:pStyle w:val="ListNumber"/>
      </w:pPr>
      <w:r>
        <w:t>Confirm the suitability of Central's prior-quarter inventory before relying on it for design decisions.</w:t>
      </w:r>
    </w:p>
    <w:p>
      <w:pPr>
        <w:pStyle w:val="ListNumber"/>
      </w:pPr>
      <w:r>
        <w:t>Review the resolved evidence gaps with the design lead before confirming the diagnostic baseline.</w:t>
      </w:r>
    </w:p>
    <w:p>
      <w:pPr>
        <w:pStyle w:val="Heading1"/>
      </w:pPr>
      <w:r>
        <w:t>Scope and decision boundary</w:t>
      </w:r>
    </w:p>
    <w:p>
      <w:r>
        <w:t>This assessment supports the agreed operating-model diagnostic. Receipt of a regional extract does not establish its suitability for design decisions. Proposed ownership must remain separate from observed ownership, and unresolved questions must remain visible until validated.</w:t>
      </w:r>
    </w:p>
    <w:p>
      <w:r>
        <w:t>Implementation remains outside the accepted engagement scope. The diagnostic baseline should reflect the evidence validated by the regional leads and reviewed by the design lead.</w:t>
      </w:r>
    </w:p>
    <w:p>
      <w:pPr>
        <w:pStyle w:val="Heading1"/>
      </w:pPr>
      <w:r>
        <w:t>Supporting records</w:t>
      </w:r>
    </w:p>
    <w:p>
      <w:pPr>
        <w:pStyle w:val="ListBullet"/>
      </w:pPr>
      <w:r>
        <w:t>NS DATA01 regional evidence register</w:t>
      </w:r>
    </w:p>
    <w:p>
      <w:pPr>
        <w:pStyle w:val="ListBullet"/>
      </w:pPr>
      <w:r>
        <w:t>Approved engagement plan v1</w:t>
      </w:r>
    </w:p>
    <w:p>
      <w:pPr>
        <w:pStyle w:val="ListBullet"/>
      </w:pPr>
      <w:r>
        <w:t>Firm data readiness assessment template ASG DR01 v1.2</w:t>
      </w:r>
    </w:p>
    <w:p>
      <w:pPr>
        <w:pStyle w:val="Heading1"/>
      </w:pPr>
      <w:r>
        <w:t>Reviewed revision</w:t>
      </w:r>
    </w:p>
    <w:p>
      <w:r>
        <w:t>Revision 2 clarifies what the coverage, ownership and currency gaps prevent the team from concluding about design readiness. Sofia Patel approved the revised assessment for export after reviewing that clarification.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Northstar Foods  |  Assessment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274320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lliance-systems-group-mark-refin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4320" cy="274320"/>
                  </a:xfrm>
                  <a:prstGeom prst="rect"/>
                </pic:spPr>
              </pic:pic>
            </a:graphicData>
          </a:graphic>
        </wp:inline>
      </w:drawing>
    </w:r>
    <w:r>
      <w:rPr>
        <w:sz w:val="18"/>
      </w:rPr>
      <w:t xml:space="preserve">  ALLIANCE SYSTEMS GROUP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6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readiness assessment</dc:title>
  <dc:subject>Northstar Foods operating-model diagnostic</dc:subject>
  <dc:creator>Avery Ross</dc:creator>
  <cp:keywords/>
  <dc:description>generated by python-docx</dc:description>
  <cp:lastModifiedBy>Sofia Patel</cp:lastModifiedBy>
  <cp:revision>2</cp:revision>
  <dcterms:created xsi:type="dcterms:W3CDTF">2026-09-07T00:00:00Z</dcterms:created>
  <dcterms:modified xsi:type="dcterms:W3CDTF">2026-09-07T00:00:00Z</dcterms:modified>
  <cp:category/>
  <dc:identifier>NS-DR01-R2</dc:identifier>
</cp:coreProperties>
</file>