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Ind w:w="0" w:type="dxa"/>
      </w:tblPr>
      <w:tblGrid>
        <w:gridCol w:w="9360"/>
      </w:tblGrid>
      <w:tr>
        <w:tc>
          <w:tcPr>
            <w:tcW w:type="dxa" w:w="9360"/>
            <w:shd w:fill="07100E"/>
            <w:tcMar>
              <w:top w:w="300" w:type="dxa"/>
              <w:start w:w="380" w:type="dxa"/>
              <w:bottom w:w="330" w:type="dxa"/>
              <w:end w:w="380" w:type="dxa"/>
            </w:tcMar>
            <w:vAlign w:val="center"/>
          </w:tcPr>
          <w:p>
            <w:pPr>
              <w:spacing w:after="680"/>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le-touch-icon.png"/>
                          <pic:cNvPicPr/>
                        </pic:nvPicPr>
                        <pic:blipFill>
                          <a:blip r:embed="rId11"/>
                          <a:stretch>
                            <a:fillRect/>
                          </a:stretch>
                        </pic:blipFill>
                        <pic:spPr>
                          <a:xfrm>
                            <a:off x="0" y="0"/>
                            <a:ext cx="621792" cy="621792"/>
                          </a:xfrm>
                          <a:prstGeom prst="rect"/>
                        </pic:spPr>
                      </pic:pic>
                    </a:graphicData>
                  </a:graphic>
                </wp:inline>
              </w:drawing>
            </w:r>
          </w:p>
          <w:p>
            <w:pPr>
              <w:spacing w:after="320"/>
            </w:pPr>
            <w:r>
              <w:rPr>
                <w:rFonts w:ascii="Cascadia Mono" w:hAnsi="Cascadia Mono" w:eastAsia="Cascadia Mono"/>
                <w:b/>
                <w:color w:val="86C43D"/>
                <w:sz w:val="16"/>
              </w:rPr>
              <w:t>PRE-SEED BUSINESS CASE</w:t>
            </w:r>
          </w:p>
          <w:p>
            <w:pPr>
              <w:spacing w:after="280"/>
            </w:pPr>
            <w:r>
              <w:rPr>
                <w:rFonts w:ascii="Segoe UI Variable Display" w:hAnsi="Segoe UI Variable Display" w:eastAsia="Segoe UI Variable Display"/>
                <w:b/>
                <w:color w:val="FAFBF7"/>
                <w:sz w:val="58"/>
              </w:rPr>
              <w:t>The operating system</w:t>
              <w:br/>
              <w:t>for engagement intent.</w:t>
            </w:r>
          </w:p>
          <w:p>
            <w:pPr>
              <w:spacing w:after="0" w:line="288" w:lineRule="auto"/>
            </w:pPr>
            <w:r>
              <w:rPr>
                <w:rFonts w:ascii="Segoe UI" w:hAnsi="Segoe UI" w:eastAsia="Segoe UI"/>
                <w:color w:val="C5CFC6"/>
                <w:sz w:val="23"/>
              </w:rPr>
              <w:t>AllianceOne preserves what was intended, why it was designed that way, what changed, and what delivery proved.</w:t>
            </w:r>
          </w:p>
        </w:tc>
      </w:tr>
    </w:tbl>
    <w:p>
      <w:pPr>
        <w:spacing w:after="80"/>
      </w:pPr>
    </w:p>
    <w:p>
      <w:pPr>
        <w:pStyle w:val="Kicker"/>
      </w:pPr>
      <w:r>
        <w:rPr>
          <w:rFonts w:ascii="Segoe UI" w:hAnsi="Segoe UI" w:eastAsia="Segoe UI"/>
          <w:color w:val="526059"/>
          <w:sz w:val="16"/>
        </w:rPr>
        <w:t>FINANCING OBJECTIVE</w:t>
      </w:r>
    </w:p>
    <w:p>
      <w:pPr>
        <w:spacing w:after="360"/>
        <w:pBdr>
          <w:bottom w:val="single" w:sz="8" w:space="10" w:color="86C43D"/>
        </w:pBdr>
      </w:pPr>
      <w:r>
        <w:rPr>
          <w:rFonts w:ascii="Segoe UI Variable Display" w:hAnsi="Segoe UI Variable Display" w:eastAsia="Segoe UI Variable Display"/>
          <w:b/>
          <w:color w:val="07100E"/>
          <w:sz w:val="36"/>
        </w:rPr>
        <w:t>$500K minimum close  /  ~$530K target</w:t>
      </w:r>
    </w:p>
    <w:tbl>
      <w:tblPr>
        <w:tblW w:type="dxa" w:w="9360"/>
        <w:jc w:val="center"/>
        <w:tblLayout w:type="fixed"/>
        <w:tblLook w:firstColumn="1" w:firstRow="1" w:lastColumn="0" w:lastRow="0" w:noHBand="0" w:noVBand="1" w:val="04A0"/>
        <w:tblInd w:w="0" w:type="dxa"/>
      </w:tblPr>
      <w:tblGrid>
        <w:gridCol w:w="3096"/>
        <w:gridCol w:w="3096"/>
        <w:gridCol w:w="3168"/>
      </w:tblGrid>
      <w:tr>
        <w:tc>
          <w:tcPr>
            <w:tcW w:type="dxa" w:w="3096"/>
            <w:tcMar>
              <w:top w:w="110" w:type="dxa"/>
              <w:start w:w="120" w:type="dxa"/>
              <w:bottom w:w="110" w:type="dxa"/>
              <w:end w:w="120" w:type="dxa"/>
            </w:tcMar>
          </w:tcPr>
          <w:p>
            <w:pPr>
              <w:spacing w:after="100"/>
            </w:pPr>
            <w:r>
              <w:rPr>
                <w:rFonts w:ascii="Cascadia Mono" w:hAnsi="Cascadia Mono" w:eastAsia="Cascadia Mono"/>
                <w:b/>
                <w:color w:val="526059"/>
                <w:sz w:val="14"/>
              </w:rPr>
              <w:t>STAGE</w:t>
            </w:r>
          </w:p>
          <w:p>
            <w:pPr>
              <w:spacing w:after="0"/>
            </w:pPr>
            <w:r>
              <w:rPr>
                <w:rFonts w:ascii="Segoe UI" w:hAnsi="Segoe UI" w:eastAsia="Segoe UI"/>
                <w:b/>
                <w:color w:val="07100E"/>
                <w:sz w:val="19"/>
              </w:rPr>
              <w:t>Working product</w:t>
              <w:br/>
              <w:t>Recruiting design partners</w:t>
            </w:r>
          </w:p>
        </w:tc>
        <w:tc>
          <w:tcPr>
            <w:tcW w:type="dxa" w:w="3096"/>
            <w:tcMar>
              <w:top w:w="110" w:type="dxa"/>
              <w:start w:w="120" w:type="dxa"/>
              <w:bottom w:w="110" w:type="dxa"/>
              <w:end w:w="120" w:type="dxa"/>
            </w:tcMar>
            <w:tcBorders>
              <w:left w:val="single" w:sz="6" w:color="CAD2CA"/>
            </w:tcBorders>
          </w:tcPr>
          <w:p>
            <w:pPr>
              <w:spacing w:after="100"/>
            </w:pPr>
            <w:r>
              <w:rPr>
                <w:rFonts w:ascii="Cascadia Mono" w:hAnsi="Cascadia Mono" w:eastAsia="Cascadia Mono"/>
                <w:b/>
                <w:color w:val="526059"/>
                <w:sz w:val="14"/>
              </w:rPr>
              <w:t>ROUND PURPOSE</w:t>
            </w:r>
          </w:p>
          <w:p>
            <w:pPr>
              <w:spacing w:after="0"/>
            </w:pPr>
            <w:r>
              <w:rPr>
                <w:rFonts w:ascii="Segoe UI" w:hAnsi="Segoe UI" w:eastAsia="Segoe UI"/>
                <w:b/>
                <w:color w:val="07100E"/>
                <w:sz w:val="19"/>
              </w:rPr>
              <w:t>Paid proof</w:t>
              <w:br/>
              <w:t>Enterprise readiness</w:t>
            </w:r>
          </w:p>
        </w:tc>
        <w:tc>
          <w:tcPr>
            <w:tcW w:type="dxa" w:w="3168"/>
            <w:tcMar>
              <w:top w:w="110" w:type="dxa"/>
              <w:start w:w="120" w:type="dxa"/>
              <w:bottom w:w="110" w:type="dxa"/>
              <w:end w:w="120" w:type="dxa"/>
            </w:tcMar>
            <w:tcBorders>
              <w:left w:val="single" w:sz="6" w:color="CAD2CA"/>
            </w:tcBorders>
          </w:tcPr>
          <w:p>
            <w:pPr>
              <w:spacing w:after="100"/>
            </w:pPr>
            <w:r>
              <w:rPr>
                <w:rFonts w:ascii="Cascadia Mono" w:hAnsi="Cascadia Mono" w:eastAsia="Cascadia Mono"/>
                <w:b/>
                <w:color w:val="526059"/>
                <w:sz w:val="14"/>
              </w:rPr>
              <w:t>PREPARED</w:t>
            </w:r>
          </w:p>
          <w:p>
            <w:pPr>
              <w:spacing w:after="0"/>
            </w:pPr>
            <w:r>
              <w:rPr>
                <w:rFonts w:ascii="Segoe UI" w:hAnsi="Segoe UI" w:eastAsia="Segoe UI"/>
                <w:b/>
                <w:color w:val="07100E"/>
                <w:sz w:val="19"/>
              </w:rPr>
              <w:t>August 14, 2026</w:t>
              <w:br/>
              <w:t>Working investor case</w:t>
            </w:r>
          </w:p>
        </w:tc>
      </w:tr>
    </w:tbl>
    <w:p>
      <w:pPr>
        <w:spacing w:before="400" w:after="0"/>
      </w:pPr>
      <w:r>
        <w:rPr>
          <w:rFonts w:ascii="Segoe UI" w:hAnsi="Segoe UI" w:eastAsia="Segoe UI"/>
          <w:i/>
          <w:color w:val="526059"/>
          <w:sz w:val="16"/>
        </w:rPr>
        <w:t>Prepared for financing discussions. Not legal, tax, accounting, or investment advice.</w:t>
      </w:r>
    </w:p>
    <w:p>
      <w:r>
        <w:br w:type="page"/>
      </w:r>
    </w:p>
    <w:p>
      <w:pPr>
        <w:pStyle w:val="Kicker"/>
      </w:pPr>
      <w:r>
        <w:rPr>
          <w:rFonts w:ascii="Segoe UI" w:hAnsi="Segoe UI" w:eastAsia="Segoe UI"/>
          <w:color w:val="526059"/>
          <w:sz w:val="16"/>
        </w:rPr>
        <w:t>THE CASE IN ONE PAGE</w:t>
      </w:r>
    </w:p>
    <w:p>
      <w:pPr>
        <w:spacing w:after="240"/>
        <w:pBdr>
          <w:bottom w:val="single" w:sz="8" w:space="8" w:color="86C43D"/>
        </w:pBdr>
      </w:pPr>
      <w:r>
        <w:rPr>
          <w:rFonts w:ascii="Segoe UI Variable Display" w:hAnsi="Segoe UI Variable Display" w:eastAsia="Segoe UI Variable Display"/>
          <w:b/>
          <w:color w:val="07100E"/>
          <w:sz w:val="52"/>
        </w:rPr>
        <w:t>One engagement record.</w:t>
        <w:br/>
        <w:t>Across the systems that run the firm.</w:t>
      </w:r>
    </w:p>
    <w:p>
      <w:pPr>
        <w:spacing w:after="320"/>
      </w:pPr>
      <w:r>
        <w:rPr>
          <w:rFonts w:ascii="Segoe UI" w:hAnsi="Segoe UI" w:eastAsia="Segoe UI"/>
          <w:color w:val="07100E"/>
          <w:sz w:val="22"/>
        </w:rPr>
        <w:t>CRM systems own opportunity state. PSA and project-management systems own execution. ERP systems own financial actuals. AllianceOne owns the approved intent that connects them, then reconciles that commitment against what delivery produced.</w:t>
      </w:r>
    </w:p>
    <w:tbl>
      <w:tblPr>
        <w:tblW w:type="dxa" w:w="9360"/>
        <w:jc w:val="center"/>
        <w:tblLayout w:type="fixed"/>
        <w:tblLook w:firstColumn="1" w:firstRow="1" w:lastColumn="0" w:lastRow="0" w:noHBand="0" w:noVBand="1" w:val="04A0"/>
        <w:tblInd w:w="0" w:type="dxa"/>
      </w:tblPr>
      <w:tblGrid>
        <w:gridCol w:w="9360"/>
      </w:tblGrid>
      <w:tr>
        <w:tc>
          <w:tcPr>
            <w:tcW w:type="dxa" w:w="9360"/>
            <w:shd w:fill="10291A"/>
            <w:tcMar>
              <w:top w:w="180" w:type="dxa"/>
              <w:start w:w="220" w:type="dxa"/>
              <w:bottom w:w="180" w:type="dxa"/>
              <w:end w:w="220" w:type="dxa"/>
            </w:tcMar>
          </w:tcPr>
          <w:p>
            <w:pPr>
              <w:jc w:val="center"/>
            </w:pPr>
            <w:r>
              <w:rPr>
                <w:rFonts w:ascii="Segoe UI Variable Display" w:hAnsi="Segoe UI Variable Display" w:eastAsia="Segoe UI Variable Display"/>
                <w:b/>
                <w:color w:val="FAFBF7"/>
                <w:sz w:val="30"/>
              </w:rPr>
              <w:t>AllianceOne owns intent.  The operating stack owns execution.</w:t>
            </w:r>
          </w:p>
        </w:tc>
      </w:tr>
    </w:tbl>
    <w:p>
      <w:pPr>
        <w:spacing w:after="40"/>
      </w:pPr>
    </w:p>
    <w:tbl>
      <w:tblPr>
        <w:tblW w:type="dxa" w:w="9360"/>
        <w:jc w:val="center"/>
        <w:tblLayout w:type="fixed"/>
        <w:tblLook w:firstColumn="1" w:firstRow="1" w:lastColumn="0" w:lastRow="0" w:noHBand="0" w:noVBand="1" w:val="04A0"/>
        <w:tblInd w:w="0" w:type="dxa"/>
      </w:tblPr>
      <w:tblGrid>
        <w:gridCol w:w="2333"/>
        <w:gridCol w:w="2333"/>
        <w:gridCol w:w="2333"/>
        <w:gridCol w:w="2362"/>
      </w:tblGrid>
      <w:tr>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MINIMUM CLOSE</w:t>
            </w:r>
          </w:p>
        </w:tc>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TARGET ROUND</w:t>
            </w:r>
          </w:p>
        </w:tc>
        <w:tc>
          <w:tcPr>
            <w:tcW w:type="dxa" w:w="2333"/>
            <w:shd w:fill="E7ECE4"/>
            <w:tcMar>
              <w:top w:w="90" w:type="dxa"/>
              <w:start w:w="100" w:type="dxa"/>
              <w:bottom w:w="60" w:type="dxa"/>
              <w:end w:w="100" w:type="dxa"/>
            </w:tcMar>
          </w:tcPr>
          <w:p>
            <w:pPr>
              <w:jc w:val="center"/>
            </w:pPr>
            <w:r>
              <w:rPr>
                <w:rFonts w:ascii="Cascadia Mono" w:hAnsi="Cascadia Mono" w:eastAsia="Cascadia Mono"/>
                <w:b/>
                <w:color w:val="526059"/>
                <w:sz w:val="13"/>
              </w:rPr>
              <w:t>FOUNDER COST</w:t>
            </w:r>
          </w:p>
        </w:tc>
        <w:tc>
          <w:tcPr>
            <w:tcW w:type="dxa" w:w="2362"/>
            <w:shd w:fill="E7ECE4"/>
            <w:tcMar>
              <w:top w:w="90" w:type="dxa"/>
              <w:start w:w="100" w:type="dxa"/>
              <w:bottom w:w="60" w:type="dxa"/>
              <w:end w:w="100" w:type="dxa"/>
            </w:tcMar>
          </w:tcPr>
          <w:p>
            <w:pPr>
              <w:jc w:val="center"/>
            </w:pPr>
            <w:r>
              <w:rPr>
                <w:rFonts w:ascii="Cascadia Mono" w:hAnsi="Cascadia Mono" w:eastAsia="Cascadia Mono"/>
                <w:b/>
                <w:color w:val="526059"/>
                <w:sz w:val="13"/>
              </w:rPr>
              <w:t>12-MONTH PROOF</w:t>
            </w:r>
          </w:p>
        </w:tc>
      </w:tr>
      <w:tr>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$500K</w:t>
            </w:r>
          </w:p>
        </w:tc>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~$530K</w:t>
            </w:r>
          </w:p>
        </w:tc>
        <w:tc>
          <w:tcPr>
            <w:tcW w:type="dxa" w:w="2333"/>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$148K</w:t>
            </w:r>
          </w:p>
        </w:tc>
        <w:tc>
          <w:tcPr>
            <w:tcW w:type="dxa" w:w="2362"/>
            <w:tcMar>
              <w:top w:w="90" w:type="dxa"/>
              <w:start w:w="100" w:type="dxa"/>
              <w:bottom w:w="100" w:type="dxa"/>
              <w:end w:w="100" w:type="dxa"/>
            </w:tcMar>
          </w:tcPr>
          <w:p>
            <w:pPr>
              <w:jc w:val="center"/>
            </w:pPr>
            <w:r>
              <w:rPr>
                <w:rFonts w:ascii="Segoe UI Variable Display" w:hAnsi="Segoe UI Variable Display" w:eastAsia="Segoe UI Variable Display"/>
                <w:b/>
                <w:color w:val="07100E"/>
                <w:sz w:val="26"/>
              </w:rPr>
              <w:t>3 paid partners</w:t>
            </w:r>
          </w:p>
        </w:tc>
      </w:tr>
    </w:tbl>
    <w:p>
      <w:pPr>
        <w:pStyle w:val="Heading2"/>
      </w:pPr>
      <w:r>
        <w:rPr>
          <w:rFonts w:ascii="Segoe UI" w:hAnsi="Segoe UI" w:eastAsia="Segoe UI"/>
          <w:color w:val="10291A"/>
          <w:sz w:val="26"/>
        </w:rPr>
        <w:t>What this round must establish</w:t>
      </w:r>
    </w:p>
    <w:p>
      <w:pPr>
        <w:pStyle w:val="ListBullet"/>
      </w:pPr>
      <w:r>
        <w:rPr>
          <w:rFonts w:ascii="Segoe UI" w:hAnsi="Segoe UI" w:eastAsia="Segoe UI"/>
          <w:color w:val="07100E"/>
          <w:sz w:val="21"/>
        </w:rPr>
        <w:t>A production-grade scope-to-approved-plan workflow connected to a real PSA or project-management system.</w:t>
      </w:r>
    </w:p>
    <w:p>
      <w:pPr>
        <w:pStyle w:val="ListBullet"/>
      </w:pPr>
      <w:r>
        <w:rPr>
          <w:rFonts w:ascii="Segoe UI" w:hAnsi="Segoe UI" w:eastAsia="Segoe UI"/>
          <w:color w:val="07100E"/>
          <w:sz w:val="21"/>
        </w:rPr>
        <w:t>Three paid design partners, a referenceable outcome, and $100K to $150K of contracted recurring revenue in the base case.</w:t>
      </w:r>
    </w:p>
    <w:p>
      <w:pPr>
        <w:pStyle w:val="ListBullet"/>
      </w:pPr>
      <w:r>
        <w:rPr>
          <w:rFonts w:ascii="Segoe UI" w:hAnsi="Segoe UI" w:eastAsia="Segoe UI"/>
          <w:color w:val="07100E"/>
          <w:sz w:val="21"/>
        </w:rPr>
        <w:t>Repeatable implementation, measured deployment cost, and a credible enterprise security path.</w:t>
      </w:r>
    </w:p>
    <w:p>
      <w:pPr>
        <w:pStyle w:val="ListBullet"/>
      </w:pPr>
      <w:r>
        <w:rPr>
          <w:rFonts w:ascii="Segoe UI" w:hAnsi="Segoe UI" w:eastAsia="Segoe UI"/>
          <w:color w:val="07100E"/>
          <w:sz w:val="21"/>
        </w:rPr>
        <w:t>Evidence that engagement precedent improves scope, staffing, delivery control, and margin performance.</w:t>
      </w:r>
    </w:p>
    <w:p>
      <w:pPr>
        <w:spacing w:before="120" w:after="0"/>
      </w:pPr>
      <w:r>
        <w:rPr>
          <w:rFonts w:ascii="Segoe UI" w:hAnsi="Segoe UI" w:eastAsia="Segoe UI"/>
          <w:b/>
          <w:color w:val="07100E"/>
          <w:sz w:val="21"/>
        </w:rPr>
        <w:t xml:space="preserve">Funding decision: </w:t>
      </w:r>
      <w:r>
        <w:rPr>
          <w:rFonts w:ascii="Segoe UI" w:hAnsi="Segoe UI" w:eastAsia="Segoe UI"/>
          <w:color w:val="07100E"/>
          <w:sz w:val="21"/>
        </w:rPr>
        <w:t>The original $500K plan no longer supports both a $135K founder salary and a $150K reserve without $28K of reductions elsewhere. The clean target is approximately $530K; $500K remains a workable minimum close.</w:t>
      </w:r>
    </w:p>
    <w:p>
      <w:r>
        <w:br w:type="page"/>
      </w:r>
    </w:p>
    <w:p>
      <w:pPr>
        <w:pStyle w:val="Heading1"/>
        <w:pBdr>
          <w:bottom w:val="single" w:sz="4" w:space="5" w:color="CAD2CA"/>
        </w:pBdr>
      </w:pPr>
      <w:r>
        <w:rPr>
          <w:rFonts w:ascii="Segoe UI" w:hAnsi="Segoe UI" w:eastAsia="Segoe UI"/>
          <w:color w:val="07100E"/>
          <w:sz w:val="32"/>
        </w:rPr>
        <w:t>1. Executive case</w:t>
      </w:r>
    </w:p>
    <w:p>
      <w:r>
        <w:rPr>
          <w:rFonts w:ascii="Segoe UI" w:hAnsi="Segoe UI" w:eastAsia="Segoe UI"/>
          <w:color w:val="07100E"/>
          <w:sz w:val="21"/>
        </w:rPr>
        <w:t>Professional-services firms do not lack data. They lack a durable record of what an engagement was intended to accomplish, why it was structured a certain way, what was committed, how that commitment changed, and what actually happened.</w:t>
      </w:r>
    </w:p>
    <w:p>
      <w:r>
        <w:rPr>
          <w:rFonts w:ascii="Segoe UI" w:hAnsi="Segoe UI" w:eastAsia="Segoe UI"/>
          <w:color w:val="07100E"/>
          <w:sz w:val="21"/>
        </w:rPr>
        <w:t>CRM systems own opportunity state. PSA and project-management systems own execution state. ERP systems own billing and financial actuals. Email, meetings, and document systems hold the conversations and artifacts that explain the work. None of these systems owns the engagement's intent across its full lifecycle.</w:t>
      </w:r>
    </w:p>
    <w:p>
      <w:r>
        <w:rPr>
          <w:rFonts w:ascii="Segoe UI" w:hAnsi="Segoe UI" w:eastAsia="Segoe UI"/>
          <w:color w:val="07100E"/>
          <w:sz w:val="21"/>
        </w:rPr>
        <w:t>AllianceOne fills that gap.</w:t>
      </w:r>
    </w:p>
    <w:p>
      <w:r>
        <w:rPr>
          <w:rFonts w:ascii="Segoe UI" w:hAnsi="Segoe UI" w:eastAsia="Segoe UI"/>
          <w:color w:val="07100E"/>
          <w:sz w:val="21"/>
        </w:rPr>
        <w:t>The platform captures the first client signals, builds the pursuit narrative, supports scoping and proposal development, converts a won engagement into an approved delivery plan, materializes that plan into the firm's operating stack, gives delivery teams the context behind their work, reconciles committed versus delivered outcomes, and preserves the resulting precedent for the next engagement.</w:t>
      </w:r>
    </w:p>
    <w:p>
      <w:r>
        <w:rPr>
          <w:rFonts w:ascii="Segoe UI" w:hAnsi="Segoe UI" w:eastAsia="Segoe UI"/>
          <w:color w:val="07100E"/>
          <w:sz w:val="21"/>
        </w:rPr>
        <w:t>The investment case is not that AllianceOne replaces CRM, PSA, ERP, email, or document systems. It makes those systems behave as one engagement operating environment:</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owns intent. The operating stack owns execution.</w:t>
            </w:r>
          </w:p>
        </w:tc>
      </w:tr>
    </w:tbl>
    <w:p>
      <w:pPr>
        <w:spacing w:after="40"/>
      </w:pPr>
    </w:p>
    <w:p>
      <w:r>
        <w:rPr>
          <w:rFonts w:ascii="Segoe UI" w:hAnsi="Segoe UI" w:eastAsia="Segoe UI"/>
          <w:color w:val="07100E"/>
          <w:sz w:val="21"/>
        </w:rPr>
        <w:t>The proposed $500,000 round is designed to prove one commercially complete loop for a narrow initial customer profile. It is not intended to finance broad market scale. The goal is to reach the next financing with paid customer evidence, repeatable implementation, measurable delivery economics, and enterprise security readiness.</w:t>
      </w:r>
    </w:p>
    <w:p>
      <w:pPr>
        <w:pStyle w:val="Heading1"/>
        <w:pBdr>
          <w:bottom w:val="single" w:sz="4" w:space="5" w:color="CAD2CA"/>
        </w:pBdr>
      </w:pPr>
      <w:r>
        <w:rPr>
          <w:rFonts w:ascii="Segoe UI" w:hAnsi="Segoe UI" w:eastAsia="Segoe UI"/>
          <w:color w:val="07100E"/>
          <w:sz w:val="32"/>
        </w:rPr>
        <w:t>2. Product and category definition</w:t>
      </w:r>
    </w:p>
    <w:p>
      <w:r>
        <w:rPr>
          <w:rFonts w:ascii="Segoe UI" w:hAnsi="Segoe UI" w:eastAsia="Segoe UI"/>
          <w:color w:val="07100E"/>
          <w:sz w:val="21"/>
        </w:rPr>
        <w:t>AllianceOne is an engagement-intent platform for project-based and professional-services firms. It connects the reasoning, commitments, approvals, and outcomes of an engagement across the systems that already run the firm.</w:t>
      </w:r>
    </w:p>
    <w:p>
      <w:pPr>
        <w:pStyle w:val="Heading2"/>
      </w:pPr>
      <w:r>
        <w:rPr>
          <w:rFonts w:ascii="Segoe UI" w:hAnsi="Segoe UI" w:eastAsia="Segoe UI"/>
          <w:color w:val="10291A"/>
          <w:sz w:val="26"/>
        </w:rPr>
        <w:t>2.1 The category</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is the system of record for engagement intent in professional services.</w:t>
            </w:r>
          </w:p>
        </w:tc>
      </w:tr>
    </w:tbl>
    <w:p>
      <w:pPr>
        <w:spacing w:after="40"/>
      </w:pPr>
    </w:p>
    <w:p>
      <w:r>
        <w:rPr>
          <w:rFonts w:ascii="Segoe UI" w:hAnsi="Segoe UI" w:eastAsia="Segoe UI"/>
          <w:color w:val="07100E"/>
          <w:sz w:val="21"/>
        </w:rPr>
        <w:t>That does not mean AllianceOne owns every task, invoice, contact, or document. It owns the approved scope, plan, staffing model, effort assumptions, decision gates, changes, and the lineage connecting those commitments to delivery.</w:t>
      </w:r>
    </w:p>
    <w:p>
      <w:pPr>
        <w:pStyle w:val="Heading2"/>
      </w:pPr>
      <w:r>
        <w:rPr>
          <w:rFonts w:ascii="Segoe UI" w:hAnsi="Segoe UI" w:eastAsia="Segoe UI"/>
          <w:color w:val="10291A"/>
          <w:sz w:val="26"/>
        </w:rPr>
        <w:t>2.2 The engagement lifecycle</w:t>
      </w:r>
    </w:p>
    <w:p>
      <w:r>
        <w:rPr>
          <w:rFonts w:ascii="Segoe UI" w:hAnsi="Segoe UI" w:eastAsia="Segoe UI"/>
          <w:color w:val="07100E"/>
          <w:sz w:val="21"/>
        </w:rPr>
        <w:t>The product supports one continuous lifecycle:</w:t>
      </w:r>
    </w:p>
    <w:p>
      <w:pPr>
        <w:spacing w:after="40"/>
        <w:ind w:left="605" w:hanging="346"/>
      </w:pPr>
      <w:r>
        <w:rPr>
          <w:rFonts w:ascii="Segoe UI" w:hAnsi="Segoe UI" w:eastAsia="Segoe UI"/>
          <w:color w:val="07100E"/>
          <w:sz w:val="21"/>
        </w:rPr>
        <w:t>1.  Capture early signals before and after opportunity qualification.</w:t>
      </w:r>
    </w:p>
    <w:p>
      <w:pPr>
        <w:spacing w:after="40"/>
        <w:ind w:left="605" w:hanging="346"/>
      </w:pPr>
      <w:r>
        <w:rPr>
          <w:rFonts w:ascii="Segoe UI" w:hAnsi="Segoe UI" w:eastAsia="Segoe UI"/>
          <w:color w:val="07100E"/>
          <w:sz w:val="21"/>
        </w:rPr>
        <w:t>2.  Build a grounded pursuit brief from conversations and firm evidence.</w:t>
      </w:r>
    </w:p>
    <w:p>
      <w:pPr>
        <w:spacing w:after="40"/>
        <w:ind w:left="605" w:hanging="346"/>
      </w:pPr>
      <w:r>
        <w:rPr>
          <w:rFonts w:ascii="Segoe UI" w:hAnsi="Segoe UI" w:eastAsia="Segoe UI"/>
          <w:color w:val="07100E"/>
          <w:sz w:val="21"/>
        </w:rPr>
        <w:t>3.  Scope the engagement in Chat using precedent, methods, staffing, economics, and risk.</w:t>
      </w:r>
    </w:p>
    <w:p>
      <w:pPr>
        <w:spacing w:after="40"/>
        <w:ind w:left="605" w:hanging="346"/>
      </w:pPr>
      <w:r>
        <w:rPr>
          <w:rFonts w:ascii="Segoe UI" w:hAnsi="Segoe UI" w:eastAsia="Segoe UI"/>
          <w:color w:val="07100E"/>
          <w:sz w:val="21"/>
        </w:rPr>
        <w:t>4.  Generate and approve the internal scope and client proposal.</w:t>
      </w:r>
    </w:p>
    <w:p>
      <w:pPr>
        <w:spacing w:after="40"/>
        <w:ind w:left="605" w:hanging="346"/>
      </w:pPr>
      <w:r>
        <w:rPr>
          <w:rFonts w:ascii="Segoe UI" w:hAnsi="Segoe UI" w:eastAsia="Segoe UI"/>
          <w:color w:val="07100E"/>
          <w:sz w:val="21"/>
        </w:rPr>
        <w:t>5.  Convert the won proposal into a tentative engagement plan.</w:t>
      </w:r>
    </w:p>
    <w:p>
      <w:pPr>
        <w:spacing w:after="40"/>
        <w:ind w:left="605" w:hanging="346"/>
      </w:pPr>
      <w:r>
        <w:rPr>
          <w:rFonts w:ascii="Segoe UI" w:hAnsi="Segoe UI" w:eastAsia="Segoe UI"/>
          <w:color w:val="07100E"/>
          <w:sz w:val="21"/>
        </w:rPr>
        <w:t>6.  Select and approve the team, workstreams, deliverables, effort, and roadmap.</w:t>
      </w:r>
    </w:p>
    <w:p>
      <w:pPr>
        <w:spacing w:after="40"/>
        <w:ind w:left="605" w:hanging="346"/>
      </w:pPr>
      <w:r>
        <w:rPr>
          <w:rFonts w:ascii="Segoe UI" w:hAnsi="Segoe UI" w:eastAsia="Segoe UI"/>
          <w:color w:val="07100E"/>
          <w:sz w:val="21"/>
        </w:rPr>
        <w:t>7.  Write the approved plan to the PSA or project-management system.</w:t>
      </w:r>
    </w:p>
    <w:p>
      <w:pPr>
        <w:spacing w:after="40"/>
        <w:ind w:left="605" w:hanging="346"/>
      </w:pPr>
      <w:r>
        <w:rPr>
          <w:rFonts w:ascii="Segoe UI" w:hAnsi="Segoe UI" w:eastAsia="Segoe UI"/>
          <w:color w:val="07100E"/>
          <w:sz w:val="21"/>
        </w:rPr>
        <w:t>8.  Support delivery through consultant workspaces, research, firm methods, and engagement context.</w:t>
      </w:r>
    </w:p>
    <w:p>
      <w:pPr>
        <w:spacing w:after="40"/>
        <w:ind w:left="605" w:hanging="346"/>
      </w:pPr>
      <w:r>
        <w:rPr>
          <w:rFonts w:ascii="Segoe UI" w:hAnsi="Segoe UI" w:eastAsia="Segoe UI"/>
          <w:color w:val="07100E"/>
          <w:sz w:val="21"/>
        </w:rPr>
        <w:t>9.  Reconcile execution and billing actuals against the commitment.</w:t>
      </w:r>
    </w:p>
    <w:p>
      <w:pPr>
        <w:spacing w:after="40"/>
        <w:ind w:left="605" w:hanging="346"/>
      </w:pPr>
      <w:r>
        <w:rPr>
          <w:rFonts w:ascii="Segoe UI" w:hAnsi="Segoe UI" w:eastAsia="Segoe UI"/>
          <w:color w:val="07100E"/>
          <w:sz w:val="21"/>
        </w:rPr>
        <w:t>10.  Capture changes, decisions, outcomes, and lessons as reusable precedent.</w:t>
      </w:r>
    </w:p>
    <w:p>
      <w:r>
        <w:rPr>
          <w:rFonts w:ascii="Segoe UI" w:hAnsi="Segoe UI" w:eastAsia="Segoe UI"/>
          <w:color w:val="07100E"/>
          <w:sz w:val="21"/>
        </w:rPr>
        <w:t>The initial commercial wedge is deliberately narrow, while the engagement record compounds into a broader operating system as more lifecycle stages and execution systems are connected.</w:t>
      </w:r>
    </w:p>
    <w:p>
      <w:pPr>
        <w:pStyle w:val="Heading2"/>
      </w:pPr>
      <w:r>
        <w:rPr>
          <w:rFonts w:ascii="Segoe UI" w:hAnsi="Segoe UI" w:eastAsia="Segoe UI"/>
          <w:color w:val="10291A"/>
          <w:sz w:val="26"/>
        </w:rPr>
        <w:t>2.3 The initial customer profile</w:t>
      </w:r>
    </w:p>
    <w:p>
      <w:r>
        <w:rPr>
          <w:rFonts w:ascii="Segoe UI" w:hAnsi="Segoe UI" w:eastAsia="Segoe UI"/>
          <w:color w:val="07100E"/>
          <w:sz w:val="21"/>
        </w:rPr>
        <w:t>The strongest early customers are project-based firms that have:</w:t>
      </w:r>
    </w:p>
    <w:p>
      <w:pPr>
        <w:pStyle w:val="ListBullet"/>
      </w:pPr>
      <w:r>
        <w:rPr>
          <w:rFonts w:ascii="Segoe UI" w:hAnsi="Segoe UI" w:eastAsia="Segoe UI"/>
          <w:color w:val="07100E"/>
          <w:sz w:val="21"/>
        </w:rPr>
        <w:t>50 to 500 employees, with exceptions where workflow complexity supports the economics;</w:t>
      </w:r>
    </w:p>
    <w:p>
      <w:pPr>
        <w:pStyle w:val="ListBullet"/>
      </w:pPr>
      <w:r>
        <w:rPr>
          <w:rFonts w:ascii="Segoe UI" w:hAnsi="Segoe UI" w:eastAsia="Segoe UI"/>
          <w:color w:val="07100E"/>
          <w:sz w:val="21"/>
        </w:rPr>
        <w:t>repeated scoping, staffing, pricing, and delivery decisions;</w:t>
      </w:r>
    </w:p>
    <w:p>
      <w:pPr>
        <w:pStyle w:val="ListBullet"/>
      </w:pPr>
      <w:r>
        <w:rPr>
          <w:rFonts w:ascii="Segoe UI" w:hAnsi="Segoe UI" w:eastAsia="Segoe UI"/>
          <w:color w:val="07100E"/>
          <w:sz w:val="21"/>
        </w:rPr>
        <w:t>a CRM, PSA or project tool, ERP or billing system, Microsoft 365 or Google Workspace, and fragmented document repositories;</w:t>
      </w:r>
    </w:p>
    <w:p>
      <w:pPr>
        <w:pStyle w:val="ListBullet"/>
      </w:pPr>
      <w:r>
        <w:rPr>
          <w:rFonts w:ascii="Segoe UI" w:hAnsi="Segoe UI" w:eastAsia="Segoe UI"/>
          <w:color w:val="07100E"/>
          <w:sz w:val="21"/>
        </w:rPr>
        <w:t>partner or practice-leader bottlenecks in pursuit and engagement design;</w:t>
      </w:r>
    </w:p>
    <w:p>
      <w:pPr>
        <w:pStyle w:val="ListBullet"/>
      </w:pPr>
      <w:r>
        <w:rPr>
          <w:rFonts w:ascii="Segoe UI" w:hAnsi="Segoe UI" w:eastAsia="Segoe UI"/>
          <w:color w:val="07100E"/>
          <w:sz w:val="21"/>
        </w:rPr>
        <w:t>meaningful scope leakage, write-offs, change-order risk, staffing friction, or delivery variance;</w:t>
      </w:r>
    </w:p>
    <w:p>
      <w:pPr>
        <w:pStyle w:val="ListBullet"/>
      </w:pPr>
      <w:r>
        <w:rPr>
          <w:rFonts w:ascii="Segoe UI" w:hAnsi="Segoe UI" w:eastAsia="Segoe UI"/>
          <w:color w:val="07100E"/>
          <w:sz w:val="21"/>
        </w:rPr>
        <w:t>enough engagement volume and precedent to make learning valuable;</w:t>
      </w:r>
    </w:p>
    <w:p>
      <w:pPr>
        <w:pStyle w:val="ListBullet"/>
      </w:pPr>
      <w:r>
        <w:rPr>
          <w:rFonts w:ascii="Segoe UI" w:hAnsi="Segoe UI" w:eastAsia="Segoe UI"/>
          <w:color w:val="07100E"/>
          <w:sz w:val="21"/>
        </w:rPr>
        <w:t>an executive buyer who owns delivery economics and can sponsor cross-system adoption.</w:t>
      </w:r>
    </w:p>
    <w:p>
      <w:r>
        <w:rPr>
          <w:rFonts w:ascii="Segoe UI" w:hAnsi="Segoe UI" w:eastAsia="Segoe UI"/>
          <w:color w:val="07100E"/>
          <w:sz w:val="21"/>
        </w:rPr>
        <w:t>The most likely initial segments remain management consulting, specialist advisory, technology and transformation consulting, and other precedent-rich consulting firms. Accounting and tax are credible adjacent segments, but their recurring engagement patterns, regulatory requirements, and buyer workflows should be modeled separately rather than quietly added to the initial beachhead.</w:t>
      </w:r>
    </w:p>
    <w:p>
      <w:pPr>
        <w:pStyle w:val="Heading2"/>
      </w:pPr>
      <w:r>
        <w:rPr>
          <w:rFonts w:ascii="Segoe UI" w:hAnsi="Segoe UI" w:eastAsia="Segoe UI"/>
          <w:color w:val="10291A"/>
          <w:sz w:val="26"/>
        </w:rPr>
        <w:t>2.4 The ROI thesis</w:t>
      </w:r>
    </w:p>
    <w:p>
      <w:r>
        <w:rPr>
          <w:rFonts w:ascii="Segoe UI" w:hAnsi="Segoe UI" w:eastAsia="Segoe UI"/>
          <w:color w:val="07100E"/>
          <w:sz w:val="21"/>
        </w:rPr>
        <w:t>Time saved on proposals is useful but insufficient. AllianceOne should be measured against engagement economics:</w:t>
      </w:r>
    </w:p>
    <w:p>
      <w:pPr>
        <w:pStyle w:val="ListBullet"/>
      </w:pPr>
      <w:r>
        <w:rPr>
          <w:rFonts w:ascii="Segoe UI" w:hAnsi="Segoe UI" w:eastAsia="Segoe UI"/>
          <w:color w:val="07100E"/>
          <w:sz w:val="21"/>
        </w:rPr>
        <w:t>better scoping and estimate accuracy;</w:t>
      </w:r>
    </w:p>
    <w:p>
      <w:pPr>
        <w:pStyle w:val="ListBullet"/>
      </w:pPr>
      <w:r>
        <w:rPr>
          <w:rFonts w:ascii="Segoe UI" w:hAnsi="Segoe UI" w:eastAsia="Segoe UI"/>
          <w:color w:val="07100E"/>
          <w:sz w:val="21"/>
        </w:rPr>
        <w:t>less unpriced scope expansion;</w:t>
      </w:r>
    </w:p>
    <w:p>
      <w:pPr>
        <w:pStyle w:val="ListBullet"/>
      </w:pPr>
      <w:r>
        <w:rPr>
          <w:rFonts w:ascii="Segoe UI" w:hAnsi="Segoe UI" w:eastAsia="Segoe UI"/>
          <w:color w:val="07100E"/>
          <w:sz w:val="21"/>
        </w:rPr>
        <w:t>higher change-order capture;</w:t>
      </w:r>
    </w:p>
    <w:p>
      <w:pPr>
        <w:pStyle w:val="ListBullet"/>
      </w:pPr>
      <w:r>
        <w:rPr>
          <w:rFonts w:ascii="Segoe UI" w:hAnsi="Segoe UI" w:eastAsia="Segoe UI"/>
          <w:color w:val="07100E"/>
          <w:sz w:val="21"/>
        </w:rPr>
        <w:t>faster conversion from won work to an executable plan;</w:t>
      </w:r>
    </w:p>
    <w:p>
      <w:pPr>
        <w:pStyle w:val="ListBullet"/>
      </w:pPr>
      <w:r>
        <w:rPr>
          <w:rFonts w:ascii="Segoe UI" w:hAnsi="Segoe UI" w:eastAsia="Segoe UI"/>
          <w:color w:val="07100E"/>
          <w:sz w:val="21"/>
        </w:rPr>
        <w:t>faster and better-supported staffing decisions;</w:t>
      </w:r>
    </w:p>
    <w:p>
      <w:pPr>
        <w:pStyle w:val="ListBullet"/>
      </w:pPr>
      <w:r>
        <w:rPr>
          <w:rFonts w:ascii="Segoe UI" w:hAnsi="Segoe UI" w:eastAsia="Segoe UI"/>
          <w:color w:val="07100E"/>
          <w:sz w:val="21"/>
        </w:rPr>
        <w:t>lower committed-versus-delivered margin variance;</w:t>
      </w:r>
    </w:p>
    <w:p>
      <w:pPr>
        <w:pStyle w:val="ListBullet"/>
      </w:pPr>
      <w:r>
        <w:rPr>
          <w:rFonts w:ascii="Segoe UI" w:hAnsi="Segoe UI" w:eastAsia="Segoe UI"/>
          <w:color w:val="07100E"/>
          <w:sz w:val="21"/>
        </w:rPr>
        <w:t>earlier detection of delivery risk;</w:t>
      </w:r>
    </w:p>
    <w:p>
      <w:pPr>
        <w:pStyle w:val="ListBullet"/>
      </w:pPr>
      <w:r>
        <w:rPr>
          <w:rFonts w:ascii="Segoe UI" w:hAnsi="Segoe UI" w:eastAsia="Segoe UI"/>
          <w:color w:val="07100E"/>
          <w:sz w:val="21"/>
        </w:rPr>
        <w:t>more consistent use of firm methods and precedent;</w:t>
      </w:r>
    </w:p>
    <w:p>
      <w:pPr>
        <w:pStyle w:val="ListBullet"/>
      </w:pPr>
      <w:r>
        <w:rPr>
          <w:rFonts w:ascii="Segoe UI" w:hAnsi="Segoe UI" w:eastAsia="Segoe UI"/>
          <w:color w:val="07100E"/>
          <w:sz w:val="21"/>
        </w:rPr>
        <w:t>less dependency on individual partners to reconstruct why decisions were made.</w:t>
      </w:r>
    </w:p>
    <w:p>
      <w:pPr>
        <w:pStyle w:val="Heading2"/>
      </w:pPr>
      <w:r>
        <w:rPr>
          <w:rFonts w:ascii="Segoe UI" w:hAnsi="Segoe UI" w:eastAsia="Segoe UI"/>
          <w:color w:val="10291A"/>
          <w:sz w:val="26"/>
        </w:rPr>
        <w:t>2.5 Security is part of the product and sales motion</w:t>
      </w:r>
    </w:p>
    <w:p>
      <w:r>
        <w:rPr>
          <w:rFonts w:ascii="Segoe UI" w:hAnsi="Segoe UI" w:eastAsia="Segoe UI"/>
          <w:color w:val="07100E"/>
          <w:sz w:val="21"/>
        </w:rPr>
        <w:t>AllianceOne will process sensitive client, commercial, staffing, and delivery information. Security architecture, data isolation, auditability, retention, contractual controls, and SOC readiness are not back-office tasks. They determine which design partners can deploy the product and how quickly enterprise procurement can approve it.</w:t>
      </w:r>
    </w:p>
    <w:p>
      <w:pPr>
        <w:pStyle w:val="Heading1"/>
        <w:pBdr>
          <w:bottom w:val="single" w:sz="4" w:space="5" w:color="CAD2CA"/>
        </w:pBdr>
      </w:pPr>
      <w:r>
        <w:rPr>
          <w:rFonts w:ascii="Segoe UI" w:hAnsi="Segoe UI" w:eastAsia="Segoe UI"/>
          <w:color w:val="07100E"/>
          <w:sz w:val="32"/>
        </w:rPr>
        <w:t>3. Market-sizing methodology and validation</w:t>
      </w:r>
    </w:p>
    <w:p>
      <w:pPr>
        <w:pStyle w:val="Heading2"/>
      </w:pPr>
      <w:r>
        <w:rPr>
          <w:rFonts w:ascii="Segoe UI" w:hAnsi="Segoe UI" w:eastAsia="Segoe UI"/>
          <w:color w:val="10291A"/>
          <w:sz w:val="26"/>
        </w:rPr>
        <w:t>3.1 Census foundation and count validation</w:t>
      </w:r>
    </w:p>
    <w:p>
      <w:r>
        <w:rPr>
          <w:rFonts w:ascii="Segoe UI" w:hAnsi="Segoe UI" w:eastAsia="Segoe UI"/>
          <w:color w:val="07100E"/>
          <w:sz w:val="21"/>
        </w:rPr>
        <w:t>The 2022 Statistics of U.S. Businesses dataset provides the public foundation for the bottom-up market model. The Census Bureau identifies it as the latest detailed SUSB data and reports firms, establishments, employment, payroll, and receipts by industry and enterprise size.</w:t>
      </w:r>
    </w:p>
    <w:p>
      <w:r>
        <w:rPr>
          <w:rFonts w:ascii="Segoe UI" w:hAnsi="Segoe UI" w:eastAsia="Segoe UI"/>
          <w:color w:val="07100E"/>
          <w:sz w:val="21"/>
        </w:rPr>
        <w:t>The market ranges should remain provisional until the following are completed:</w:t>
      </w:r>
    </w:p>
    <w:p>
      <w:pPr>
        <w:pStyle w:val="ListBullet"/>
      </w:pPr>
      <w:r>
        <w:rPr>
          <w:rFonts w:ascii="Segoe UI" w:hAnsi="Segoe UI" w:eastAsia="Segoe UI"/>
          <w:color w:val="07100E"/>
          <w:sz w:val="21"/>
        </w:rPr>
        <w:t>reproduce every firm count from the source workbook;</w:t>
      </w:r>
    </w:p>
    <w:p>
      <w:pPr>
        <w:pStyle w:val="ListBullet"/>
      </w:pPr>
      <w:r>
        <w:rPr>
          <w:rFonts w:ascii="Segoe UI" w:hAnsi="Segoe UI" w:eastAsia="Segoe UI"/>
          <w:color w:val="07100E"/>
          <w:sz w:val="21"/>
        </w:rPr>
        <w:t>retain a calculation file that maps each included NAICS code and employee band;</w:t>
      </w:r>
    </w:p>
    <w:p>
      <w:pPr>
        <w:pStyle w:val="ListBullet"/>
      </w:pPr>
      <w:r>
        <w:rPr>
          <w:rFonts w:ascii="Segoe UI" w:hAnsi="Segoe UI" w:eastAsia="Segoe UI"/>
          <w:color w:val="07100E"/>
          <w:sz w:val="21"/>
        </w:rPr>
        <w:t>model the 50 to 499 employee serviceable segment and document any justified exceptions;</w:t>
      </w:r>
    </w:p>
    <w:p>
      <w:pPr>
        <w:pStyle w:val="ListBullet"/>
      </w:pPr>
      <w:r>
        <w:rPr>
          <w:rFonts w:ascii="Segoe UI" w:hAnsi="Segoe UI" w:eastAsia="Segoe UI"/>
          <w:color w:val="07100E"/>
          <w:sz w:val="21"/>
        </w:rPr>
        <w:t>separate the consulting beachhead from accounting, tax, engineering, and advisory adjacencies;</w:t>
      </w:r>
    </w:p>
    <w:p>
      <w:pPr>
        <w:pStyle w:val="ListBullet"/>
      </w:pPr>
      <w:r>
        <w:rPr>
          <w:rFonts w:ascii="Segoe UI" w:hAnsi="Segoe UI" w:eastAsia="Segoe UI"/>
          <w:color w:val="07100E"/>
          <w:sz w:val="21"/>
        </w:rPr>
        <w:t>document exclusions so the same firm is not implicitly represented in multiple narratives;</w:t>
      </w:r>
    </w:p>
    <w:p>
      <w:pPr>
        <w:pStyle w:val="ListBullet"/>
      </w:pPr>
      <w:r>
        <w:rPr>
          <w:rFonts w:ascii="Segoe UI" w:hAnsi="Segoe UI" w:eastAsia="Segoe UI"/>
          <w:color w:val="07100E"/>
          <w:sz w:val="21"/>
        </w:rPr>
        <w:t>validate the modeled ACV by firm size through buyer interviews.</w:t>
      </w:r>
    </w:p>
    <w:p>
      <w:r>
        <w:rPr>
          <w:rFonts w:ascii="Segoe UI" w:hAnsi="Segoe UI" w:eastAsia="Segoe UI"/>
          <w:color w:val="07100E"/>
          <w:sz w:val="21"/>
        </w:rPr>
        <w:t>The modeled $392 million beachhead, $820 million SAM, and $2.73 billion TAM are useful directional envelopes. They should not be presented as fully validated market facts until the firm counts and price assumptions are independently reproduced.</w:t>
      </w:r>
    </w:p>
    <w:p>
      <w:pPr>
        <w:pStyle w:val="Heading2"/>
      </w:pPr>
      <w:r>
        <w:rPr>
          <w:rFonts w:ascii="Segoe UI" w:hAnsi="Segoe UI" w:eastAsia="Segoe UI"/>
          <w:color w:val="10291A"/>
          <w:sz w:val="26"/>
        </w:rPr>
        <w:t>3.2 Serviceable market constraints</w:t>
      </w:r>
    </w:p>
    <w:p>
      <w:r>
        <w:rPr>
          <w:rFonts w:ascii="Segoe UI" w:hAnsi="Segoe UI" w:eastAsia="Segoe UI"/>
          <w:color w:val="07100E"/>
          <w:sz w:val="21"/>
        </w:rPr>
        <w:t>A serviceable market depends on more than industry and headcount. It must also reflect product readiness:</w:t>
      </w:r>
    </w:p>
    <w:p>
      <w:pPr>
        <w:pStyle w:val="ListBullet"/>
      </w:pPr>
      <w:r>
        <w:rPr>
          <w:rFonts w:ascii="Segoe UI" w:hAnsi="Segoe UI" w:eastAsia="Segoe UI"/>
          <w:color w:val="07100E"/>
          <w:sz w:val="21"/>
        </w:rPr>
        <w:t>supported CRM and PSA combinations;</w:t>
      </w:r>
    </w:p>
    <w:p>
      <w:pPr>
        <w:pStyle w:val="ListBullet"/>
      </w:pPr>
      <w:r>
        <w:rPr>
          <w:rFonts w:ascii="Segoe UI" w:hAnsi="Segoe UI" w:eastAsia="Segoe UI"/>
          <w:color w:val="07100E"/>
          <w:sz w:val="21"/>
        </w:rPr>
        <w:t>supported identity, document, email, and meeting environments;</w:t>
      </w:r>
    </w:p>
    <w:p>
      <w:pPr>
        <w:pStyle w:val="ListBullet"/>
      </w:pPr>
      <w:r>
        <w:rPr>
          <w:rFonts w:ascii="Segoe UI" w:hAnsi="Segoe UI" w:eastAsia="Segoe UI"/>
          <w:color w:val="07100E"/>
          <w:sz w:val="21"/>
        </w:rPr>
        <w:t>security requirements the company can satisfy;</w:t>
      </w:r>
    </w:p>
    <w:p>
      <w:pPr>
        <w:pStyle w:val="ListBullet"/>
      </w:pPr>
      <w:r>
        <w:rPr>
          <w:rFonts w:ascii="Segoe UI" w:hAnsi="Segoe UI" w:eastAsia="Segoe UI"/>
          <w:color w:val="07100E"/>
          <w:sz w:val="21"/>
        </w:rPr>
        <w:t>implementation time and customer data quality;</w:t>
      </w:r>
    </w:p>
    <w:p>
      <w:pPr>
        <w:pStyle w:val="ListBullet"/>
      </w:pPr>
      <w:r>
        <w:rPr>
          <w:rFonts w:ascii="Segoe UI" w:hAnsi="Segoe UI" w:eastAsia="Segoe UI"/>
          <w:color w:val="07100E"/>
          <w:sz w:val="21"/>
        </w:rPr>
        <w:t>sales cycle and buyer authority;</w:t>
      </w:r>
    </w:p>
    <w:p>
      <w:pPr>
        <w:pStyle w:val="ListBullet"/>
      </w:pPr>
      <w:r>
        <w:rPr>
          <w:rFonts w:ascii="Segoe UI" w:hAnsi="Segoe UI" w:eastAsia="Segoe UI"/>
          <w:color w:val="07100E"/>
          <w:sz w:val="21"/>
        </w:rPr>
        <w:t>ability to demonstrate value before a broad rollout.</w:t>
      </w:r>
    </w:p>
    <w:p>
      <w:r>
        <w:rPr>
          <w:rFonts w:ascii="Segoe UI" w:hAnsi="Segoe UI" w:eastAsia="Segoe UI"/>
          <w:color w:val="07100E"/>
          <w:sz w:val="21"/>
        </w:rPr>
        <w:t>The first twelve-month SAM should therefore be expressed as a named-account universe, not only a national revenue number. A practical first target is 100 to 200 firms that match the stack, buyer, pain, and design-partner profile.</w:t>
      </w:r>
    </w:p>
    <w:p>
      <w:pPr>
        <w:pStyle w:val="Heading2"/>
      </w:pPr>
      <w:r>
        <w:rPr>
          <w:rFonts w:ascii="Segoe UI" w:hAnsi="Segoe UI" w:eastAsia="Segoe UI"/>
          <w:color w:val="10291A"/>
          <w:sz w:val="26"/>
        </w:rPr>
        <w:t>3.3 The SOM needs a capacity model</w:t>
      </w:r>
    </w:p>
    <w:p>
      <w:r>
        <w:rPr>
          <w:rFonts w:ascii="Segoe UI" w:hAnsi="Segoe UI" w:eastAsia="Segoe UI"/>
          <w:color w:val="07100E"/>
          <w:sz w:val="21"/>
        </w:rPr>
        <w:t>The arithmetic of 125 customers at $80,000 average ACV equals $10 million ARR. What is missing is the operating path:</w:t>
      </w:r>
    </w:p>
    <w:p>
      <w:pPr>
        <w:pStyle w:val="ListBullet"/>
      </w:pPr>
      <w:r>
        <w:rPr>
          <w:rFonts w:ascii="Segoe UI" w:hAnsi="Segoe UI" w:eastAsia="Segoe UI"/>
          <w:color w:val="07100E"/>
          <w:sz w:val="21"/>
        </w:rPr>
        <w:t>annual new-logo production;</w:t>
      </w:r>
    </w:p>
    <w:p>
      <w:pPr>
        <w:pStyle w:val="ListBullet"/>
      </w:pPr>
      <w:r>
        <w:rPr>
          <w:rFonts w:ascii="Segoe UI" w:hAnsi="Segoe UI" w:eastAsia="Segoe UI"/>
          <w:color w:val="07100E"/>
          <w:sz w:val="21"/>
        </w:rPr>
        <w:t>sales-cycle length and conversion rate;</w:t>
      </w:r>
    </w:p>
    <w:p>
      <w:pPr>
        <w:pStyle w:val="ListBullet"/>
      </w:pPr>
      <w:r>
        <w:rPr>
          <w:rFonts w:ascii="Segoe UI" w:hAnsi="Segoe UI" w:eastAsia="Segoe UI"/>
          <w:color w:val="07100E"/>
          <w:sz w:val="21"/>
        </w:rPr>
        <w:t>implementation capacity per engineer or implementation lead;</w:t>
      </w:r>
    </w:p>
    <w:p>
      <w:pPr>
        <w:pStyle w:val="ListBullet"/>
      </w:pPr>
      <w:r>
        <w:rPr>
          <w:rFonts w:ascii="Segoe UI" w:hAnsi="Segoe UI" w:eastAsia="Segoe UI"/>
          <w:color w:val="07100E"/>
          <w:sz w:val="21"/>
        </w:rPr>
        <w:t>customer success coverage;</w:t>
      </w:r>
    </w:p>
    <w:p>
      <w:pPr>
        <w:pStyle w:val="ListBullet"/>
      </w:pPr>
      <w:r>
        <w:rPr>
          <w:rFonts w:ascii="Segoe UI" w:hAnsi="Segoe UI" w:eastAsia="Segoe UI"/>
          <w:color w:val="07100E"/>
          <w:sz w:val="21"/>
        </w:rPr>
        <w:t>gross retention and expansion;</w:t>
      </w:r>
    </w:p>
    <w:p>
      <w:pPr>
        <w:pStyle w:val="ListBullet"/>
      </w:pPr>
      <w:r>
        <w:rPr>
          <w:rFonts w:ascii="Segoe UI" w:hAnsi="Segoe UI" w:eastAsia="Segoe UI"/>
          <w:color w:val="07100E"/>
          <w:sz w:val="21"/>
        </w:rPr>
        <w:t>partner-led versus AllianceOne-led implementation;</w:t>
      </w:r>
    </w:p>
    <w:p>
      <w:pPr>
        <w:pStyle w:val="ListBullet"/>
      </w:pPr>
      <w:r>
        <w:rPr>
          <w:rFonts w:ascii="Segoe UI" w:hAnsi="Segoe UI" w:eastAsia="Segoe UI"/>
          <w:color w:val="07100E"/>
          <w:sz w:val="21"/>
        </w:rPr>
        <w:t>cash required to finance the growth curve.</w:t>
      </w:r>
    </w:p>
    <w:p>
      <w:r>
        <w:rPr>
          <w:rFonts w:ascii="Segoe UI" w:hAnsi="Segoe UI" w:eastAsia="Segoe UI"/>
          <w:color w:val="07100E"/>
          <w:sz w:val="21"/>
        </w:rPr>
        <w:t>Until those assumptions exist, $10 million ARR is a credible destination, not yet a complete operating forecast.</w:t>
      </w:r>
    </w:p>
    <w:p>
      <w:pPr>
        <w:pStyle w:val="Heading2"/>
      </w:pPr>
      <w:r>
        <w:rPr>
          <w:rFonts w:ascii="Segoe UI" w:hAnsi="Segoe UI" w:eastAsia="Segoe UI"/>
          <w:color w:val="10291A"/>
          <w:sz w:val="26"/>
        </w:rPr>
        <w:t>3.4 The competitive framing needs to reflect complementarity</w:t>
      </w:r>
    </w:p>
    <w:p>
      <w:r>
        <w:rPr>
          <w:rFonts w:ascii="Segoe UI" w:hAnsi="Segoe UI" w:eastAsia="Segoe UI"/>
          <w:color w:val="07100E"/>
          <w:sz w:val="21"/>
        </w:rPr>
        <w:t>PSA, CRM, ERP, project-management, enterprise-search, and proposal products are all relevant competitors for budget and attention. AllianceOne's sharper position is that it coordinates them without claiming to replace their operational roles.</w:t>
      </w:r>
    </w:p>
    <w:p>
      <w:r>
        <w:rPr>
          <w:rFonts w:ascii="Segoe UI" w:hAnsi="Segoe UI" w:eastAsia="Segoe UI"/>
          <w:color w:val="07100E"/>
          <w:sz w:val="21"/>
        </w:rPr>
        <w:t>The durable differentiation is the engagement state and its lineage: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client signal to scope to approved plan to system writeback to delivery actuals to reconciled precedent</w:t>
            </w:r>
          </w:p>
        </w:tc>
      </w:tr>
    </w:tbl>
    <w:p>
      <w:pPr>
        <w:spacing w:after="40"/>
      </w:pPr>
    </w:p>
    <w:p>
      <w:r>
        <w:rPr>
          <w:rFonts w:ascii="Segoe UI" w:hAnsi="Segoe UI" w:eastAsia="Segoe UI"/>
          <w:color w:val="07100E"/>
          <w:sz w:val="21"/>
        </w:rPr>
        <w:t>Foundation-model providers can improve reasoning and retrieval. They do not, by themselves, define the firm's engagement ontology, maintain the canonical commitment, govern approvals, integrate execution receipts, or reconcile actual delivery against that commitment.</w:t>
      </w:r>
    </w:p>
    <w:p>
      <w:pPr>
        <w:pStyle w:val="Heading1"/>
        <w:pBdr>
          <w:bottom w:val="single" w:sz="4" w:space="5" w:color="CAD2CA"/>
        </w:pBdr>
      </w:pPr>
      <w:r>
        <w:rPr>
          <w:rFonts w:ascii="Segoe UI" w:hAnsi="Segoe UI" w:eastAsia="Segoe UI"/>
          <w:color w:val="07100E"/>
          <w:sz w:val="32"/>
        </w:rPr>
        <w:t>4. Financing recommendation</w:t>
      </w:r>
    </w:p>
    <w:p>
      <w:pPr>
        <w:pStyle w:val="Heading2"/>
      </w:pPr>
      <w:r>
        <w:rPr>
          <w:rFonts w:ascii="Segoe UI" w:hAnsi="Segoe UI" w:eastAsia="Segoe UI"/>
          <w:color w:val="10291A"/>
          <w:sz w:val="26"/>
        </w:rPr>
        <w:t>Proposed instrument</w:t>
      </w:r>
    </w:p>
    <w:p>
      <w:pPr>
        <w:pStyle w:val="ListBullet"/>
      </w:pPr>
      <w:r>
        <w:rPr>
          <w:rFonts w:ascii="Segoe UI" w:hAnsi="Segoe UI" w:eastAsia="Segoe UI"/>
          <w:b/>
          <w:color w:val="07100E"/>
          <w:sz w:val="21"/>
        </w:rPr>
        <w:t>Raise:</w:t>
      </w:r>
      <w:r>
        <w:rPr>
          <w:rFonts w:ascii="Segoe UI" w:hAnsi="Segoe UI" w:eastAsia="Segoe UI"/>
          <w:color w:val="07100E"/>
          <w:sz w:val="21"/>
        </w:rPr>
        <w:t xml:space="preserve"> $500,000 minimum close; approximately $530,000 target</w:t>
      </w:r>
    </w:p>
    <w:p>
      <w:pPr>
        <w:pStyle w:val="ListBullet"/>
      </w:pPr>
      <w:r>
        <w:rPr>
          <w:rFonts w:ascii="Segoe UI" w:hAnsi="Segoe UI" w:eastAsia="Segoe UI"/>
          <w:b/>
          <w:color w:val="07100E"/>
          <w:sz w:val="21"/>
        </w:rPr>
        <w:t>Instrument:</w:t>
      </w:r>
      <w:r>
        <w:rPr>
          <w:rFonts w:ascii="Segoe UI" w:hAnsi="Segoe UI" w:eastAsia="Segoe UI"/>
          <w:color w:val="07100E"/>
          <w:sz w:val="21"/>
        </w:rPr>
        <w:t xml:space="preserve"> Post-money SAFE with a valuation cap and no discount, subject to counsel</w:t>
      </w:r>
    </w:p>
    <w:p>
      <w:pPr>
        <w:pStyle w:val="ListBullet"/>
      </w:pPr>
      <w:r>
        <w:rPr>
          <w:rFonts w:ascii="Segoe UI" w:hAnsi="Segoe UI" w:eastAsia="Segoe UI"/>
          <w:b/>
          <w:color w:val="07100E"/>
          <w:sz w:val="21"/>
        </w:rPr>
        <w:t>Recommended opening position:</w:t>
      </w:r>
      <w:r>
        <w:rPr>
          <w:rFonts w:ascii="Segoe UI" w:hAnsi="Segoe UI" w:eastAsia="Segoe UI"/>
          <w:color w:val="07100E"/>
          <w:sz w:val="21"/>
        </w:rPr>
        <w:t xml:space="preserve"> $10 million post-money cap</w:t>
      </w:r>
    </w:p>
    <w:p>
      <w:pPr>
        <w:pStyle w:val="ListBullet"/>
      </w:pPr>
      <w:r>
        <w:rPr>
          <w:rFonts w:ascii="Segoe UI" w:hAnsi="Segoe UI" w:eastAsia="Segoe UI"/>
          <w:b/>
          <w:color w:val="07100E"/>
          <w:sz w:val="21"/>
        </w:rPr>
        <w:t>Defensible negotiating range today:</w:t>
      </w:r>
      <w:r>
        <w:rPr>
          <w:rFonts w:ascii="Segoe UI" w:hAnsi="Segoe UI" w:eastAsia="Segoe UI"/>
          <w:color w:val="07100E"/>
          <w:sz w:val="21"/>
        </w:rPr>
        <w:t xml:space="preserve"> $8 million to $10 million post-money, depending on paid design-partner evidence and investor value</w:t>
      </w:r>
    </w:p>
    <w:p>
      <w:pPr>
        <w:pStyle w:val="ListBullet"/>
      </w:pPr>
      <w:r>
        <w:rPr>
          <w:rFonts w:ascii="Segoe UI" w:hAnsi="Segoe UI" w:eastAsia="Segoe UI"/>
          <w:b/>
          <w:color w:val="07100E"/>
          <w:sz w:val="21"/>
        </w:rPr>
        <w:t>Round purpose:</w:t>
      </w:r>
      <w:r>
        <w:rPr>
          <w:rFonts w:ascii="Segoe UI" w:hAnsi="Segoe UI" w:eastAsia="Segoe UI"/>
          <w:color w:val="07100E"/>
          <w:sz w:val="21"/>
        </w:rPr>
        <w:t xml:space="preserve"> Reach paid proof and seed readiness, not general scaling</w:t>
      </w:r>
    </w:p>
    <w:p>
      <w:r>
        <w:rPr>
          <w:rFonts w:ascii="Segoe UI" w:hAnsi="Segoe UI" w:eastAsia="Segoe UI"/>
          <w:color w:val="07100E"/>
          <w:sz w:val="21"/>
        </w:rPr>
        <w:t>Carta reported a $10 million median valuation cap for post-money SAFE rounds between $250,000 and $500,000 in Q2 2025. That supports a $10 million opening position as a market reference, but it does not establish AllianceOne's value by itself.</w:t>
      </w:r>
    </w:p>
    <w:p>
      <w:r>
        <w:rPr>
          <w:rFonts w:ascii="Segoe UI" w:hAnsi="Segoe UI" w:eastAsia="Segoe UI"/>
          <w:color w:val="07100E"/>
          <w:sz w:val="21"/>
        </w:rPr>
        <w:t>Illustrative ownership sold through a post-money SAFE:</w:t>
      </w:r>
    </w:p>
    <w:tbl>
      <w:tblPr>
        <w:tblW w:type="dxa" w:w="9360"/>
        <w:jc w:val="center"/>
        <w:tblLayout w:type="fixed"/>
        <w:tblLook w:firstColumn="1" w:firstRow="1" w:lastColumn="0" w:lastRow="0" w:noHBand="0" w:noVBand="1" w:val="04A0"/>
        <w:tblInd w:w="120" w:type="dxa"/>
      </w:tblPr>
      <w:tblGrid>
        <w:gridCol w:w="2304"/>
        <w:gridCol w:w="3024"/>
        <w:gridCol w:w="4032"/>
      </w:tblGrid>
      <w:tr>
        <w:trPr>
          <w:tblHeader w:val="true"/>
          <w:cantSplit/>
        </w:trPr>
        <w:tc>
          <w:tcPr>
            <w:tcW w:type="dxa" w:w="230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Raise</w:t>
            </w:r>
          </w:p>
        </w:tc>
        <w:tc>
          <w:tcPr>
            <w:tcW w:type="dxa" w:w="302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Post-money cap</w:t>
            </w:r>
          </w:p>
        </w:tc>
        <w:tc>
          <w:tcPr>
            <w:tcW w:type="dxa" w:w="403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Approximate SAFE ownership</w:t>
            </w:r>
          </w:p>
        </w:tc>
      </w:tr>
      <w:tr>
        <w:trPr>
          <w:cantSplit/>
        </w:trPr>
        <w:tc>
          <w:tcPr>
            <w:tcW w:type="dxa" w:w="2304"/>
            <w:tcMar>
              <w:top w:w="80" w:type="dxa"/>
              <w:start w:w="120" w:type="dxa"/>
              <w:bottom w:w="80" w:type="dxa"/>
              <w:end w:w="120" w:type="dxa"/>
            </w:tcMar>
            <w:vAlign w:val="center"/>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$8,000,000</w:t>
            </w:r>
          </w:p>
        </w:tc>
        <w:tc>
          <w:tcPr>
            <w:tcW w:type="dxa" w:w="4032"/>
            <w:tcMar>
              <w:top w:w="80" w:type="dxa"/>
              <w:start w:w="120" w:type="dxa"/>
              <w:bottom w:w="80" w:type="dxa"/>
              <w:end w:w="120" w:type="dxa"/>
            </w:tcMar>
            <w:vAlign w:val="center"/>
          </w:tcPr>
          <w:p>
            <w:pPr>
              <w:spacing w:after="0" w:line="252" w:lineRule="auto"/>
            </w:pPr>
            <w:r>
              <w:rPr>
                <w:rFonts w:ascii="Segoe UI" w:hAnsi="Segoe UI" w:eastAsia="Segoe UI"/>
                <w:color w:val="07100E"/>
                <w:sz w:val="17"/>
              </w:rPr>
              <w:t>6.25%</w:t>
            </w:r>
          </w:p>
        </w:tc>
      </w:tr>
      <w:tr>
        <w:trPr>
          <w:cantSplit/>
        </w:trPr>
        <w:tc>
          <w:tcPr>
            <w:tcW w:type="dxa" w:w="2304"/>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$9,000,000</w:t>
            </w:r>
          </w:p>
        </w:tc>
        <w:tc>
          <w:tcPr>
            <w:tcW w:type="dxa" w:w="403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5.56%</w:t>
            </w:r>
          </w:p>
        </w:tc>
      </w:tr>
      <w:tr>
        <w:trPr>
          <w:cantSplit/>
        </w:trPr>
        <w:tc>
          <w:tcPr>
            <w:tcW w:type="dxa" w:w="2304"/>
            <w:tcMar>
              <w:top w:w="80" w:type="dxa"/>
              <w:start w:w="120" w:type="dxa"/>
              <w:bottom w:w="80" w:type="dxa"/>
              <w:end w:w="120" w:type="dxa"/>
            </w:tcMar>
            <w:vAlign w:val="center"/>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$10,000,000</w:t>
            </w:r>
          </w:p>
        </w:tc>
        <w:tc>
          <w:tcPr>
            <w:tcW w:type="dxa" w:w="4032"/>
            <w:tcMar>
              <w:top w:w="80" w:type="dxa"/>
              <w:start w:w="120" w:type="dxa"/>
              <w:bottom w:w="80" w:type="dxa"/>
              <w:end w:w="120" w:type="dxa"/>
            </w:tcMar>
            <w:vAlign w:val="center"/>
          </w:tcPr>
          <w:p>
            <w:pPr>
              <w:spacing w:after="0" w:line="252" w:lineRule="auto"/>
            </w:pPr>
            <w:r>
              <w:rPr>
                <w:rFonts w:ascii="Segoe UI" w:hAnsi="Segoe UI" w:eastAsia="Segoe UI"/>
                <w:color w:val="07100E"/>
                <w:sz w:val="17"/>
              </w:rPr>
              <w:t>5.00%</w:t>
            </w:r>
          </w:p>
        </w:tc>
      </w:tr>
      <w:tr>
        <w:trPr>
          <w:cantSplit/>
        </w:trPr>
        <w:tc>
          <w:tcPr>
            <w:tcW w:type="dxa" w:w="2304"/>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$500,000</w:t>
            </w:r>
          </w:p>
        </w:tc>
        <w:tc>
          <w:tcPr>
            <w:tcW w:type="dxa" w:w="30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$12,000,000</w:t>
            </w:r>
          </w:p>
        </w:tc>
        <w:tc>
          <w:tcPr>
            <w:tcW w:type="dxa" w:w="403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4.17%</w:t>
            </w:r>
          </w:p>
        </w:tc>
      </w:tr>
    </w:tbl>
    <w:p>
      <w:pPr>
        <w:spacing w:after="60"/>
      </w:pPr>
    </w:p>
    <w:p>
      <w:r>
        <w:rPr>
          <w:rFonts w:ascii="Segoe UI" w:hAnsi="Segoe UI" w:eastAsia="Segoe UI"/>
          <w:color w:val="07100E"/>
          <w:sz w:val="21"/>
        </w:rPr>
        <w:t>Other SAFEs, an option pool, and a future priced round will create additional dilution.</w:t>
      </w:r>
    </w:p>
    <w:p>
      <w:r>
        <w:br w:type="page"/>
      </w:r>
    </w:p>
    <w:p>
      <w:pPr>
        <w:pStyle w:val="Heading1"/>
        <w:pBdr>
          <w:bottom w:val="single" w:sz="4" w:space="5" w:color="CAD2CA"/>
        </w:pBdr>
      </w:pPr>
      <w:r>
        <w:rPr>
          <w:rFonts w:ascii="Segoe UI" w:hAnsi="Segoe UI" w:eastAsia="Segoe UI"/>
          <w:color w:val="07100E"/>
          <w:sz w:val="32"/>
        </w:rPr>
        <w:t>5. Use of funds and runway</w:t>
      </w:r>
    </w:p>
    <w:p>
      <w:r>
        <w:rPr>
          <w:rFonts w:ascii="Segoe UI" w:hAnsi="Segoe UI" w:eastAsia="Segoe UI"/>
          <w:color w:val="07100E"/>
          <w:sz w:val="21"/>
        </w:rPr>
        <w:t>The investor-facing framing should be a twelve-month operating plan plus an enterprise-sales-cycle reserve. Do not describe 30% of the round simply as idle cash.</w:t>
      </w:r>
    </w:p>
    <w:tbl>
      <w:tblPr>
        <w:tblW w:type="dxa" w:w="9360"/>
        <w:jc w:val="center"/>
        <w:tblLayout w:type="fixed"/>
        <w:tblLook w:firstColumn="1" w:firstRow="1" w:lastColumn="0" w:lastRow="0" w:noHBand="0" w:noVBand="1" w:val="04A0"/>
        <w:tblInd w:w="120" w:type="dxa"/>
      </w:tblPr>
      <w:tblGrid>
        <w:gridCol w:w="2520"/>
        <w:gridCol w:w="1224"/>
        <w:gridCol w:w="936"/>
        <w:gridCol w:w="4680"/>
      </w:tblGrid>
      <w:tr>
        <w:trPr>
          <w:tblHeader w:val="true"/>
          <w:cantSplit/>
        </w:trPr>
        <w:tc>
          <w:tcPr>
            <w:tcW w:type="dxa" w:w="252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Use of funds</w:t>
            </w:r>
          </w:p>
        </w:tc>
        <w:tc>
          <w:tcPr>
            <w:tcW w:type="dxa" w:w="1224"/>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Budget</w:t>
            </w:r>
          </w:p>
        </w:tc>
        <w:tc>
          <w:tcPr>
            <w:tcW w:type="dxa" w:w="93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Share</w:t>
            </w:r>
          </w:p>
        </w:tc>
        <w:tc>
          <w:tcPr>
            <w:tcW w:type="dxa" w:w="468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What it buys</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Founder compensation, fully loaded</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$148,000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28.0%</w:t>
            </w:r>
          </w:p>
        </w:tc>
        <w:tc>
          <w:tcPr>
            <w:tcW w:type="dxa" w:w="4680"/>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$135,000 gross salary plus 2026 employer payroll taxes, Minnesota Paid Leave, and a modest workers' compensation contingency; no employer health insurance or retirement match</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Senior international product engineer</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$84,000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15.9%</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One senior contractor at approximately $7,000 per month; product, integrations, reliability, and customer deployment</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Security, SOC readiness, audit, and penetration testing</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$46,000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8.7%</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Control implementation, compliance tooling, specialist audit, testing, and related security work</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Legal</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$30,000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5.7%</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Financing, customer MSA and DPA, privacy terms, contractor IP assignment, data terms, and corporate work</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Cloud, models, data, and development infrastructure</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$30,000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5.7%</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Hosting, databases, observability, model use, storage, backups, and development tooling</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Design-partner acquisition and market development</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$20,000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3.8%</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Targeted events, travel, founder-led outreach, proof assets, and customer research; not broad paid marketing</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Finance, insurance, software, and administration</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$20,000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color w:val="07100E"/>
                <w:sz w:val="17"/>
              </w:rPr>
              <w:t>3.8%</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Bookkeeping, tax, payroll, E&amp;O/cyber coverage, and operating software</w:t>
            </w:r>
          </w:p>
        </w:tc>
      </w:tr>
      <w:tr>
        <w:trPr>
          <w:cantSplit/>
        </w:trPr>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Runway reserve</w:t>
            </w:r>
          </w:p>
        </w:tc>
        <w:tc>
          <w:tcPr>
            <w:tcW w:type="dxa" w:w="1224"/>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$150,000</w:t>
            </w:r>
          </w:p>
        </w:tc>
        <w:tc>
          <w:tcPr>
            <w:tcW w:type="dxa" w:w="93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28.4%</w:t>
            </w:r>
          </w:p>
        </w:tc>
        <w:tc>
          <w:tcPr>
            <w:tcW w:type="dxa" w:w="468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Approximately five additional months of no-revenue runway for enterprise sales and financing timing</w:t>
            </w:r>
          </w:p>
        </w:tc>
      </w:tr>
      <w:tr>
        <w:trPr>
          <w:cantSplit/>
        </w:trPr>
        <w:tc>
          <w:tcPr>
            <w:tcW w:type="dxa" w:w="2520"/>
            <w:tcMar>
              <w:top w:w="80" w:type="dxa"/>
              <w:start w:w="120" w:type="dxa"/>
              <w:bottom w:w="80" w:type="dxa"/>
              <w:end w:w="120" w:type="dxa"/>
            </w:tcMar>
            <w:vAlign w:val="center"/>
          </w:tcPr>
          <w:p>
            <w:pPr>
              <w:spacing w:after="0" w:line="252" w:lineRule="auto"/>
            </w:pPr>
            <w:r>
              <w:rPr>
                <w:rFonts w:ascii="Segoe UI" w:hAnsi="Segoe UI" w:eastAsia="Segoe UI"/>
                <w:b/>
                <w:color w:val="07100E"/>
                <w:sz w:val="17"/>
              </w:rPr>
              <w:t>Target plan total</w:t>
            </w:r>
          </w:p>
        </w:tc>
        <w:tc>
          <w:tcPr>
            <w:tcW w:type="dxa" w:w="1224"/>
            <w:tcMar>
              <w:top w:w="80" w:type="dxa"/>
              <w:start w:w="120" w:type="dxa"/>
              <w:bottom w:w="80" w:type="dxa"/>
              <w:end w:w="120" w:type="dxa"/>
            </w:tcMar>
            <w:vAlign w:val="center"/>
          </w:tcPr>
          <w:p>
            <w:pPr>
              <w:spacing w:after="0" w:line="252" w:lineRule="auto"/>
              <w:jc w:val="right"/>
            </w:pPr>
            <w:r>
              <w:rPr>
                <w:rFonts w:ascii="Segoe UI" w:hAnsi="Segoe UI" w:eastAsia="Segoe UI"/>
                <w:b/>
                <w:color w:val="07100E"/>
                <w:sz w:val="17"/>
              </w:rPr>
              <w:t>$528,000</w:t>
            </w:r>
          </w:p>
        </w:tc>
        <w:tc>
          <w:tcPr>
            <w:tcW w:type="dxa" w:w="936"/>
            <w:tcMar>
              <w:top w:w="80" w:type="dxa"/>
              <w:start w:w="120" w:type="dxa"/>
              <w:bottom w:w="80" w:type="dxa"/>
              <w:end w:w="120" w:type="dxa"/>
            </w:tcMar>
            <w:vAlign w:val="center"/>
          </w:tcPr>
          <w:p>
            <w:pPr>
              <w:spacing w:after="0" w:line="252" w:lineRule="auto"/>
            </w:pPr>
            <w:r>
              <w:rPr>
                <w:rFonts w:ascii="Segoe UI" w:hAnsi="Segoe UI" w:eastAsia="Segoe UI"/>
                <w:b/>
                <w:color w:val="07100E"/>
                <w:sz w:val="17"/>
              </w:rPr>
              <w:t>100.0%</w:t>
            </w:r>
          </w:p>
        </w:tc>
        <w:tc>
          <w:tcPr>
            <w:tcW w:type="dxa" w:w="4680"/>
            <w:tcMar>
              <w:top w:w="80" w:type="dxa"/>
              <w:start w:w="120" w:type="dxa"/>
              <w:bottom w:w="80" w:type="dxa"/>
              <w:end w:w="120" w:type="dxa"/>
            </w:tcMar>
            <w:vAlign w:val="center"/>
          </w:tcPr>
          <w:p>
            <w:pPr>
              <w:spacing w:after="0" w:line="252" w:lineRule="auto"/>
            </w:pPr>
            <w:r>
              <w:rPr>
                <w:rFonts w:ascii="Segoe UI" w:hAnsi="Segoe UI" w:eastAsia="Segoe UI"/>
                <w:color w:val="07100E"/>
                <w:sz w:val="17"/>
              </w:rPr>
              <w:t>Rounded financing target: approximately $530,000</w:t>
            </w:r>
          </w:p>
        </w:tc>
      </w:tr>
    </w:tbl>
    <w:p>
      <w:pPr>
        <w:spacing w:after="60"/>
      </w:pPr>
    </w:p>
    <w:p>
      <w:r>
        <w:rPr>
          <w:rFonts w:ascii="Segoe UI" w:hAnsi="Segoe UI" w:eastAsia="Segoe UI"/>
          <w:color w:val="07100E"/>
          <w:sz w:val="21"/>
        </w:rPr>
        <w:t>The planned twelve-month spend is $378,000, or approximately $31,500 per month on an economic basis. A $150,000 reserve adds approximately 4.8 months at that burn rate. The target plan therefore provides roughly 16.8 months of no-revenue runway before considering timing differences, customer receipts, taxes, or unplanned costs.</w:t>
      </w:r>
    </w:p>
    <w:p>
      <w:r>
        <w:rPr>
          <w:rFonts w:ascii="Segoe UI" w:hAnsi="Segoe UI" w:eastAsia="Segoe UI"/>
          <w:color w:val="07100E"/>
          <w:sz w:val="21"/>
        </w:rPr>
        <w:t>At a strict $500,000 close, the same operating plan leaves approximately $122,000 of reserve, equal to about 3.9 months of burn and roughly 15.9 months of total no-revenue runway. Preserving the full $150,000 buffer at a $500,000 raise requires $28,000 of deliberate reductions elsewhere. The cleaner investor framing is a $500,000 minimum close with a target of approximately $530,000, subject to counsel and actual vendor quotes.</w:t>
      </w:r>
    </w:p>
    <w:p>
      <w:pPr>
        <w:pStyle w:val="Heading2"/>
      </w:pPr>
      <w:r>
        <w:rPr>
          <w:rFonts w:ascii="Segoe UI" w:hAnsi="Segoe UI" w:eastAsia="Segoe UI"/>
          <w:color w:val="10291A"/>
          <w:sz w:val="26"/>
        </w:rPr>
        <w:t>Founder compensation assumption</w:t>
      </w:r>
    </w:p>
    <w:p>
      <w:r>
        <w:rPr>
          <w:rFonts w:ascii="Segoe UI" w:hAnsi="Segoe UI" w:eastAsia="Segoe UI"/>
          <w:color w:val="07100E"/>
          <w:sz w:val="21"/>
        </w:rPr>
        <w:t>The founder compensation budget is based on a Minnesota W-2 employee at $135,000 of annual gross salary in 2026:</w:t>
      </w:r>
    </w:p>
    <w:tbl>
      <w:tblPr>
        <w:tblW w:type="dxa" w:w="9360"/>
        <w:jc w:val="center"/>
        <w:tblLayout w:type="fixed"/>
        <w:tblLook w:firstColumn="1" w:firstRow="1" w:lastColumn="0" w:lastRow="0" w:noHBand="0" w:noVBand="1" w:val="04A0"/>
        <w:tblInd w:w="120" w:type="dxa"/>
      </w:tblPr>
      <w:tblGrid>
        <w:gridCol w:w="2376"/>
        <w:gridCol w:w="5256"/>
        <w:gridCol w:w="1728"/>
      </w:tblGrid>
      <w:tr>
        <w:trPr>
          <w:tblHeader w:val="true"/>
          <w:cantSplit/>
        </w:trPr>
        <w:tc>
          <w:tcPr>
            <w:tcW w:type="dxa" w:w="237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Employer cost</w:t>
            </w:r>
          </w:p>
        </w:tc>
        <w:tc>
          <w:tcPr>
            <w:tcW w:type="dxa" w:w="525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2026 assumption</w:t>
            </w:r>
          </w:p>
        </w:tc>
        <w:tc>
          <w:tcPr>
            <w:tcW w:type="dxa" w:w="1728"/>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Annual cost</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Gross salary</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Fixed</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$135,000</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Employer Social Security</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6.20% of wages; salary is below the $184,500 wage base</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$8,370</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Employer Medicare</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1.45% of all wages</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$1,958</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Federal unemployment</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0.60% of the first $7,000, assuming the full state credit</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$42</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Minnesota unemployment insurance</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Planning assumption for a new professional-services employer: 1.08% industry rate plus 0.40% base rate and the 14% assessment, applied to the $44,000 wage base</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$742</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Minnesota Paid Leave</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0.44% employer share of the 0.88% regular premium</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$594</w:t>
            </w:r>
          </w:p>
        </w:tc>
      </w:tr>
      <w:tr>
        <w:trPr>
          <w:cantSplit/>
        </w:trPr>
        <w:tc>
          <w:tcPr>
            <w:tcW w:type="dxa" w:w="2376"/>
            <w:tcMar>
              <w:top w:w="80" w:type="dxa"/>
              <w:start w:w="120" w:type="dxa"/>
              <w:bottom w:w="80" w:type="dxa"/>
              <w:end w:w="120" w:type="dxa"/>
            </w:tcMar>
            <w:vAlign w:val="center"/>
          </w:tcPr>
          <w:p>
            <w:pPr>
              <w:spacing w:after="0" w:line="252" w:lineRule="auto"/>
            </w:pPr>
            <w:r>
              <w:rPr>
                <w:rFonts w:ascii="Segoe UI" w:hAnsi="Segoe UI" w:eastAsia="Segoe UI"/>
                <w:color w:val="07100E"/>
                <w:sz w:val="17"/>
              </w:rPr>
              <w:t>Workers' compensation contingency</w:t>
            </w:r>
          </w:p>
        </w:tc>
        <w:tc>
          <w:tcPr>
            <w:tcW w:type="dxa" w:w="5256"/>
            <w:tcMar>
              <w:top w:w="80" w:type="dxa"/>
              <w:start w:w="120" w:type="dxa"/>
              <w:bottom w:w="80" w:type="dxa"/>
              <w:end w:w="120" w:type="dxa"/>
            </w:tcMar>
            <w:vAlign w:val="center"/>
          </w:tcPr>
          <w:p>
            <w:pPr>
              <w:spacing w:after="0" w:line="252" w:lineRule="auto"/>
            </w:pPr>
            <w:r>
              <w:rPr>
                <w:rFonts w:ascii="Segoe UI" w:hAnsi="Segoe UI" w:eastAsia="Segoe UI"/>
                <w:color w:val="07100E"/>
                <w:sz w:val="17"/>
              </w:rPr>
              <w:t>Planning allowance pending entity structure and broker quote</w:t>
            </w:r>
          </w:p>
        </w:tc>
        <w:tc>
          <w:tcPr>
            <w:tcW w:type="dxa" w:w="1728"/>
            <w:tcMar>
              <w:top w:w="80" w:type="dxa"/>
              <w:start w:w="120" w:type="dxa"/>
              <w:bottom w:w="80" w:type="dxa"/>
              <w:end w:w="120" w:type="dxa"/>
            </w:tcMar>
            <w:vAlign w:val="center"/>
          </w:tcPr>
          <w:p>
            <w:pPr>
              <w:spacing w:after="0" w:line="252" w:lineRule="auto"/>
              <w:jc w:val="right"/>
            </w:pPr>
            <w:r>
              <w:rPr>
                <w:rFonts w:ascii="Segoe UI" w:hAnsi="Segoe UI" w:eastAsia="Segoe UI"/>
                <w:color w:val="07100E"/>
                <w:sz w:val="17"/>
              </w:rPr>
              <w:t>$1,000</w:t>
            </w:r>
          </w:p>
        </w:tc>
      </w:tr>
      <w:tr>
        <w:trPr>
          <w:cantSplit/>
        </w:trPr>
        <w:tc>
          <w:tcPr>
            <w:tcW w:type="dxa" w:w="2376"/>
            <w:tcMar>
              <w:top w:w="80" w:type="dxa"/>
              <w:start w:w="120" w:type="dxa"/>
              <w:bottom w:w="80" w:type="dxa"/>
              <w:end w:w="120" w:type="dxa"/>
            </w:tcMar>
            <w:vAlign w:val="center"/>
            <w:shd w:fill="F6F7F3"/>
          </w:tcPr>
          <w:p>
            <w:pPr>
              <w:spacing w:after="0" w:line="252" w:lineRule="auto"/>
            </w:pPr>
            <w:r>
              <w:rPr>
                <w:rFonts w:ascii="Segoe UI" w:hAnsi="Segoe UI" w:eastAsia="Segoe UI"/>
                <w:b/>
                <w:color w:val="07100E"/>
                <w:sz w:val="17"/>
              </w:rPr>
              <w:t>Budgeted company cost</w:t>
            </w:r>
          </w:p>
        </w:tc>
        <w:tc>
          <w:tcPr>
            <w:tcW w:type="dxa" w:w="525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Rounded</w:t>
            </w:r>
          </w:p>
        </w:tc>
        <w:tc>
          <w:tcPr>
            <w:tcW w:type="dxa" w:w="1728"/>
            <w:tcMar>
              <w:top w:w="80" w:type="dxa"/>
              <w:start w:w="120" w:type="dxa"/>
              <w:bottom w:w="80" w:type="dxa"/>
              <w:end w:w="120" w:type="dxa"/>
            </w:tcMar>
            <w:vAlign w:val="center"/>
            <w:shd w:fill="F6F7F3"/>
          </w:tcPr>
          <w:p>
            <w:pPr>
              <w:spacing w:after="0" w:line="252" w:lineRule="auto"/>
              <w:jc w:val="right"/>
            </w:pPr>
            <w:r>
              <w:rPr>
                <w:rFonts w:ascii="Segoe UI" w:hAnsi="Segoe UI" w:eastAsia="Segoe UI"/>
                <w:b/>
                <w:color w:val="07100E"/>
                <w:sz w:val="17"/>
              </w:rPr>
              <w:t>$148,000</w:t>
            </w:r>
          </w:p>
        </w:tc>
      </w:tr>
    </w:tbl>
    <w:p>
      <w:pPr>
        <w:spacing w:after="60"/>
      </w:pPr>
    </w:p>
    <w:p>
      <w:r>
        <w:rPr>
          <w:rFonts w:ascii="Segoe UI" w:hAnsi="Segoe UI" w:eastAsia="Segoe UI"/>
          <w:color w:val="07100E"/>
          <w:sz w:val="21"/>
        </w:rPr>
        <w:t>This estimate excludes employer-paid health insurance and any 401(k) or other retirement contribution. Employee income-tax withholding and the employee share of payroll taxes reduce net pay but are not additional employer burden. Minnesota workers' compensation treatment can vary with entity structure and founder ownership, so the final amount should be confirmed with payroll, counsel, and the insurance broker.</w:t>
      </w:r>
    </w:p>
    <w:p>
      <w:r>
        <w:rPr>
          <w:rFonts w:ascii="Segoe UI" w:hAnsi="Segoe UI" w:eastAsia="Segoe UI"/>
          <w:color w:val="07100E"/>
          <w:sz w:val="21"/>
        </w:rPr>
        <w:t>Two details must be resolved before this table goes into a deck:</w:t>
      </w:r>
    </w:p>
    <w:p>
      <w:pPr>
        <w:spacing w:after="40"/>
        <w:ind w:left="605" w:hanging="346"/>
      </w:pPr>
      <w:r>
        <w:rPr>
          <w:rFonts w:ascii="Segoe UI" w:hAnsi="Segoe UI" w:eastAsia="Segoe UI"/>
          <w:color w:val="07100E"/>
          <w:sz w:val="21"/>
        </w:rPr>
        <w:t>1.  Confirm the company's NAICS classification and Minnesota unemployment rate notice; Information would produce a slightly higher UI cost than the professional-services assumption used here.</w:t>
      </w:r>
    </w:p>
    <w:p>
      <w:pPr>
        <w:spacing w:after="40"/>
        <w:ind w:left="605" w:hanging="346"/>
      </w:pPr>
      <w:r>
        <w:rPr>
          <w:rFonts w:ascii="Segoe UI" w:hAnsi="Segoe UI" w:eastAsia="Segoe UI"/>
          <w:color w:val="07100E"/>
          <w:sz w:val="21"/>
        </w:rPr>
        <w:t>2.  Obtain real quotes for workers' compensation, the engineer, compliance platform, auditor, penetration test, insurance, and counsel. Planning ranges are not vendor commitments.</w:t>
      </w:r>
    </w:p>
    <w:p>
      <w:r>
        <w:br w:type="page"/>
      </w:r>
    </w:p>
    <w:p>
      <w:pPr>
        <w:pStyle w:val="Heading1"/>
        <w:pBdr>
          <w:bottom w:val="single" w:sz="4" w:space="5" w:color="CAD2CA"/>
        </w:pBdr>
      </w:pPr>
      <w:r>
        <w:rPr>
          <w:rFonts w:ascii="Segoe UI" w:hAnsi="Segoe UI" w:eastAsia="Segoe UI"/>
          <w:color w:val="07100E"/>
          <w:sz w:val="32"/>
        </w:rPr>
        <w:t>6. What the round must prove</w:t>
      </w:r>
    </w:p>
    <w:p>
      <w:pPr>
        <w:pStyle w:val="Heading2"/>
      </w:pPr>
      <w:r>
        <w:rPr>
          <w:rFonts w:ascii="Segoe UI" w:hAnsi="Segoe UI" w:eastAsia="Segoe UI"/>
          <w:color w:val="10291A"/>
          <w:sz w:val="26"/>
        </w:rPr>
        <w:t>Product proof</w:t>
      </w:r>
    </w:p>
    <w:p>
      <w:pPr>
        <w:pStyle w:val="ListBullet"/>
      </w:pPr>
      <w:r>
        <w:rPr>
          <w:rFonts w:ascii="Segoe UI" w:hAnsi="Segoe UI" w:eastAsia="Segoe UI"/>
          <w:color w:val="07100E"/>
          <w:sz w:val="21"/>
        </w:rPr>
        <w:t>One production-grade scope-to-approved-plan workflow.</w:t>
      </w:r>
    </w:p>
    <w:p>
      <w:pPr>
        <w:pStyle w:val="ListBullet"/>
      </w:pPr>
      <w:r>
        <w:rPr>
          <w:rFonts w:ascii="Segoe UI" w:hAnsi="Segoe UI" w:eastAsia="Segoe UI"/>
          <w:color w:val="07100E"/>
          <w:sz w:val="21"/>
        </w:rPr>
        <w:t>Approved plan materialization into at least one widely recognized PSA or project-management system.</w:t>
      </w:r>
    </w:p>
    <w:p>
      <w:pPr>
        <w:pStyle w:val="ListBullet"/>
      </w:pPr>
      <w:r>
        <w:rPr>
          <w:rFonts w:ascii="Segoe UI" w:hAnsi="Segoe UI" w:eastAsia="Segoe UI"/>
          <w:color w:val="07100E"/>
          <w:sz w:val="21"/>
        </w:rPr>
        <w:t>Reconciliation of delivery and billing actuals from at least two execution systems.</w:t>
      </w:r>
    </w:p>
    <w:p>
      <w:pPr>
        <w:pStyle w:val="ListBullet"/>
      </w:pPr>
      <w:r>
        <w:rPr>
          <w:rFonts w:ascii="Segoe UI" w:hAnsi="Segoe UI" w:eastAsia="Segoe UI"/>
          <w:color w:val="07100E"/>
          <w:sz w:val="21"/>
        </w:rPr>
        <w:t>Decision and change lineage that survives the full engagement lifecycle.</w:t>
      </w:r>
    </w:p>
    <w:p>
      <w:pPr>
        <w:pStyle w:val="ListBullet"/>
      </w:pPr>
      <w:r>
        <w:rPr>
          <w:rFonts w:ascii="Segoe UI" w:hAnsi="Segoe UI" w:eastAsia="Segoe UI"/>
          <w:color w:val="07100E"/>
          <w:sz w:val="21"/>
        </w:rPr>
        <w:t>Role-based workspaces for engagement leaders and delivery consultants.</w:t>
      </w:r>
    </w:p>
    <w:p>
      <w:pPr>
        <w:pStyle w:val="ListBullet"/>
      </w:pPr>
      <w:r>
        <w:rPr>
          <w:rFonts w:ascii="Segoe UI" w:hAnsi="Segoe UI" w:eastAsia="Segoe UI"/>
          <w:color w:val="07100E"/>
          <w:sz w:val="21"/>
        </w:rPr>
        <w:t>Deployment architecture suitable for sensitive customer data.</w:t>
      </w:r>
    </w:p>
    <w:p>
      <w:pPr>
        <w:pStyle w:val="Heading2"/>
      </w:pPr>
      <w:r>
        <w:rPr>
          <w:rFonts w:ascii="Segoe UI" w:hAnsi="Segoe UI" w:eastAsia="Segoe UI"/>
          <w:color w:val="10291A"/>
          <w:sz w:val="26"/>
        </w:rPr>
        <w:t>Commercial proof</w:t>
      </w:r>
    </w:p>
    <w:p>
      <w:pPr>
        <w:pStyle w:val="ListBullet"/>
      </w:pPr>
      <w:r>
        <w:rPr>
          <w:rFonts w:ascii="Segoe UI" w:hAnsi="Segoe UI" w:eastAsia="Segoe UI"/>
          <w:color w:val="07100E"/>
          <w:sz w:val="21"/>
        </w:rPr>
        <w:t>Three paid design partners in the defined initial profile.</w:t>
      </w:r>
    </w:p>
    <w:p>
      <w:pPr>
        <w:pStyle w:val="ListBullet"/>
      </w:pPr>
      <w:r>
        <w:rPr>
          <w:rFonts w:ascii="Segoe UI" w:hAnsi="Segoe UI" w:eastAsia="Segoe UI"/>
          <w:color w:val="07100E"/>
          <w:sz w:val="21"/>
        </w:rPr>
        <w:t>$100,000 to $150,000 of contracted recurring revenue as the base target.</w:t>
      </w:r>
    </w:p>
    <w:p>
      <w:pPr>
        <w:pStyle w:val="ListBullet"/>
      </w:pPr>
      <w:r>
        <w:rPr>
          <w:rFonts w:ascii="Segoe UI" w:hAnsi="Segoe UI" w:eastAsia="Segoe UI"/>
          <w:color w:val="07100E"/>
          <w:sz w:val="21"/>
        </w:rPr>
        <w:t>A credible path to $200,000 to $250,000 contracted ARR as the upside case.</w:t>
      </w:r>
    </w:p>
    <w:p>
      <w:pPr>
        <w:pStyle w:val="ListBullet"/>
      </w:pPr>
      <w:r>
        <w:rPr>
          <w:rFonts w:ascii="Segoe UI" w:hAnsi="Segoe UI" w:eastAsia="Segoe UI"/>
          <w:color w:val="07100E"/>
          <w:sz w:val="21"/>
        </w:rPr>
        <w:t>At least one referenceable customer result with quantified baseline and outcome.</w:t>
      </w:r>
    </w:p>
    <w:p>
      <w:pPr>
        <w:pStyle w:val="ListBullet"/>
      </w:pPr>
      <w:r>
        <w:rPr>
          <w:rFonts w:ascii="Segoe UI" w:hAnsi="Segoe UI" w:eastAsia="Segoe UI"/>
          <w:color w:val="07100E"/>
          <w:sz w:val="21"/>
        </w:rPr>
        <w:t>Evidence that a second customer can be implemented materially faster than the first.</w:t>
      </w:r>
    </w:p>
    <w:p>
      <w:pPr>
        <w:pStyle w:val="ListBullet"/>
      </w:pPr>
      <w:r>
        <w:rPr>
          <w:rFonts w:ascii="Segoe UI" w:hAnsi="Segoe UI" w:eastAsia="Segoe UI"/>
          <w:color w:val="07100E"/>
          <w:sz w:val="21"/>
        </w:rPr>
        <w:t>A documented pipeline showing the next ten qualified accounts.</w:t>
      </w:r>
    </w:p>
    <w:p>
      <w:pPr>
        <w:pStyle w:val="Heading2"/>
      </w:pPr>
      <w:r>
        <w:rPr>
          <w:rFonts w:ascii="Segoe UI" w:hAnsi="Segoe UI" w:eastAsia="Segoe UI"/>
          <w:color w:val="10291A"/>
          <w:sz w:val="26"/>
        </w:rPr>
        <w:t>Operating proof</w:t>
      </w:r>
    </w:p>
    <w:p>
      <w:pPr>
        <w:pStyle w:val="ListBullet"/>
      </w:pPr>
      <w:r>
        <w:rPr>
          <w:rFonts w:ascii="Segoe UI" w:hAnsi="Segoe UI" w:eastAsia="Segoe UI"/>
          <w:color w:val="07100E"/>
          <w:sz w:val="21"/>
        </w:rPr>
        <w:t>Standard implementation completed in eight weeks or less.</w:t>
      </w:r>
    </w:p>
    <w:p>
      <w:pPr>
        <w:pStyle w:val="ListBullet"/>
      </w:pPr>
      <w:r>
        <w:rPr>
          <w:rFonts w:ascii="Segoe UI" w:hAnsi="Segoe UI" w:eastAsia="Segoe UI"/>
          <w:color w:val="07100E"/>
          <w:sz w:val="21"/>
        </w:rPr>
        <w:t>A reusable connector and data-mapping pattern for the chosen initial stack.</w:t>
      </w:r>
    </w:p>
    <w:p>
      <w:pPr>
        <w:pStyle w:val="ListBullet"/>
      </w:pPr>
      <w:r>
        <w:rPr>
          <w:rFonts w:ascii="Segoe UI" w:hAnsi="Segoe UI" w:eastAsia="Segoe UI"/>
          <w:color w:val="07100E"/>
          <w:sz w:val="21"/>
        </w:rPr>
        <w:t>Customer-level inference and cloud cost measurement.</w:t>
      </w:r>
    </w:p>
    <w:p>
      <w:pPr>
        <w:pStyle w:val="ListBullet"/>
      </w:pPr>
      <w:r>
        <w:rPr>
          <w:rFonts w:ascii="Segoe UI" w:hAnsi="Segoe UI" w:eastAsia="Segoe UI"/>
          <w:color w:val="07100E"/>
          <w:sz w:val="21"/>
        </w:rPr>
        <w:t>A credible software gross-margin path after implementation services are separated.</w:t>
      </w:r>
    </w:p>
    <w:p>
      <w:pPr>
        <w:pStyle w:val="ListBullet"/>
      </w:pPr>
      <w:r>
        <w:rPr>
          <w:rFonts w:ascii="Segoe UI" w:hAnsi="Segoe UI" w:eastAsia="Segoe UI"/>
          <w:color w:val="07100E"/>
          <w:sz w:val="21"/>
        </w:rPr>
        <w:t>SOC 2 controls operational, with the appropriate Type I or Type II path timed to actual buyer requirements.</w:t>
      </w:r>
    </w:p>
    <w:p>
      <w:r>
        <w:br w:type="page"/>
      </w:r>
    </w:p>
    <w:p>
      <w:pPr>
        <w:pStyle w:val="Heading1"/>
        <w:pBdr>
          <w:bottom w:val="single" w:sz="4" w:space="5" w:color="CAD2CA"/>
        </w:pBdr>
      </w:pPr>
      <w:r>
        <w:rPr>
          <w:rFonts w:ascii="Segoe UI" w:hAnsi="Segoe UI" w:eastAsia="Segoe UI"/>
          <w:color w:val="07100E"/>
          <w:sz w:val="32"/>
        </w:rPr>
        <w:t>7. Twelve-month milestone plan</w:t>
      </w:r>
    </w:p>
    <w:tbl>
      <w:tblPr>
        <w:tblW w:type="dxa" w:w="9360"/>
        <w:jc w:val="center"/>
        <w:tblLayout w:type="fixed"/>
        <w:tblLook w:firstColumn="1" w:firstRow="1" w:lastColumn="0" w:lastRow="0" w:noHBand="0" w:noVBand="1" w:val="04A0"/>
        <w:tblInd w:w="120" w:type="dxa"/>
      </w:tblPr>
      <w:tblGrid>
        <w:gridCol w:w="1296"/>
        <w:gridCol w:w="2520"/>
        <w:gridCol w:w="2952"/>
        <w:gridCol w:w="2592"/>
      </w:tblGrid>
      <w:tr>
        <w:trPr>
          <w:tblHeader w:val="true"/>
          <w:cantSplit/>
        </w:trPr>
        <w:tc>
          <w:tcPr>
            <w:tcW w:type="dxa" w:w="1296"/>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Period</w:t>
            </w:r>
          </w:p>
        </w:tc>
        <w:tc>
          <w:tcPr>
            <w:tcW w:type="dxa" w:w="2520"/>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Product</w:t>
            </w:r>
          </w:p>
        </w:tc>
        <w:tc>
          <w:tcPr>
            <w:tcW w:type="dxa" w:w="295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Customer and revenue</w:t>
            </w:r>
          </w:p>
        </w:tc>
        <w:tc>
          <w:tcPr>
            <w:tcW w:type="dxa" w:w="2592"/>
            <w:tcMar>
              <w:top w:w="80" w:type="dxa"/>
              <w:start w:w="120" w:type="dxa"/>
              <w:bottom w:w="80" w:type="dxa"/>
              <w:end w:w="120" w:type="dxa"/>
            </w:tcMar>
            <w:vAlign w:val="center"/>
            <w:shd w:fill="10291A"/>
          </w:tcPr>
          <w:p>
            <w:pPr>
              <w:spacing w:after="0" w:line="252" w:lineRule="auto"/>
            </w:pPr>
            <w:r>
              <w:rPr>
                <w:rFonts w:ascii="Segoe UI" w:hAnsi="Segoe UI" w:eastAsia="Segoe UI"/>
                <w:b/>
                <w:color w:val="FAFBF7"/>
                <w:sz w:val="16"/>
              </w:rPr>
              <w:t>Enterprise readiness</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Months 0 to 3</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Lock the initial stack and production wedge; harden identity, permissions, audit trail, and engagement-state model</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Convert design conversations into signed paid deployment plans</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Security gap assessment; contractor IP and customer agreements complete</w:t>
            </w:r>
          </w:p>
        </w:tc>
      </w:tr>
      <w:tr>
        <w:trPr>
          <w:cantSplit/>
        </w:trPr>
        <w:tc>
          <w:tcPr>
            <w:tcW w:type="dxa" w:w="129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Months 4 to 6</w:t>
            </w:r>
          </w:p>
        </w:tc>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Deploy scope, plan approval, and writeback for the first customer</w:t>
            </w:r>
          </w:p>
        </w:tc>
        <w:tc>
          <w:tcPr>
            <w:tcW w:type="dxa" w:w="295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First paid design partner live; baseline metrics captured</w:t>
            </w:r>
          </w:p>
        </w:tc>
        <w:tc>
          <w:tcPr>
            <w:tcW w:type="dxa" w:w="259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Controls operating; compliance tooling and audit path selected</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Months 7 to 9</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Add reconciliation from PSA and billing actuals; reduce deployment effort</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Second and third paid design partners; first measurable outcome</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Type I completed or Type II observation underway, based on buyer need</w:t>
            </w:r>
          </w:p>
        </w:tc>
      </w:tr>
      <w:tr>
        <w:trPr>
          <w:cantSplit/>
        </w:trPr>
        <w:tc>
          <w:tcPr>
            <w:tcW w:type="dxa" w:w="1296"/>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Months 10 to 12</w:t>
            </w:r>
          </w:p>
        </w:tc>
        <w:tc>
          <w:tcPr>
            <w:tcW w:type="dxa" w:w="2520"/>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Productize onboarding, mappings, and repeatable lifecycle demonstration</w:t>
            </w:r>
          </w:p>
        </w:tc>
        <w:tc>
          <w:tcPr>
            <w:tcW w:type="dxa" w:w="2952"/>
            <w:tcMar>
              <w:top w:w="80" w:type="dxa"/>
              <w:start w:w="120" w:type="dxa"/>
              <w:bottom w:w="80" w:type="dxa"/>
              <w:end w:w="120" w:type="dxa"/>
            </w:tcMar>
            <w:vAlign w:val="center"/>
            <w:shd w:fill="F6F7F3"/>
          </w:tcPr>
          <w:p>
            <w:pPr>
              <w:spacing w:after="0" w:line="252" w:lineRule="auto"/>
              <w:jc w:val="right"/>
            </w:pPr>
            <w:r>
              <w:rPr>
                <w:rFonts w:ascii="Segoe UI" w:hAnsi="Segoe UI" w:eastAsia="Segoe UI"/>
                <w:color w:val="07100E"/>
                <w:sz w:val="17"/>
              </w:rPr>
              <w:t>$100,000 to $150,000 contracted ARR base case; referenceable customer; seed process prepared</w:t>
            </w:r>
          </w:p>
        </w:tc>
        <w:tc>
          <w:tcPr>
            <w:tcW w:type="dxa" w:w="2592"/>
            <w:tcMar>
              <w:top w:w="80" w:type="dxa"/>
              <w:start w:w="120" w:type="dxa"/>
              <w:bottom w:w="80" w:type="dxa"/>
              <w:end w:w="120" w:type="dxa"/>
            </w:tcMar>
            <w:vAlign w:val="center"/>
            <w:shd w:fill="F6F7F3"/>
          </w:tcPr>
          <w:p>
            <w:pPr>
              <w:spacing w:after="0" w:line="252" w:lineRule="auto"/>
            </w:pPr>
            <w:r>
              <w:rPr>
                <w:rFonts w:ascii="Segoe UI" w:hAnsi="Segoe UI" w:eastAsia="Segoe UI"/>
                <w:color w:val="07100E"/>
                <w:sz w:val="17"/>
              </w:rPr>
              <w:t>Security package, architecture, policies, and diligence room ready</w:t>
            </w:r>
          </w:p>
        </w:tc>
      </w:tr>
      <w:tr>
        <w:trPr>
          <w:cantSplit/>
        </w:trPr>
        <w:tc>
          <w:tcPr>
            <w:tcW w:type="dxa" w:w="1296"/>
            <w:tcMar>
              <w:top w:w="80" w:type="dxa"/>
              <w:start w:w="120" w:type="dxa"/>
              <w:bottom w:w="80" w:type="dxa"/>
              <w:end w:w="120" w:type="dxa"/>
            </w:tcMar>
            <w:vAlign w:val="center"/>
          </w:tcPr>
          <w:p>
            <w:pPr>
              <w:spacing w:after="0" w:line="252" w:lineRule="auto"/>
            </w:pPr>
            <w:r>
              <w:rPr>
                <w:rFonts w:ascii="Segoe UI" w:hAnsi="Segoe UI" w:eastAsia="Segoe UI"/>
                <w:color w:val="07100E"/>
                <w:sz w:val="17"/>
              </w:rPr>
              <w:t>Reserve period</w:t>
            </w:r>
          </w:p>
        </w:tc>
        <w:tc>
          <w:tcPr>
            <w:tcW w:type="dxa" w:w="2520"/>
            <w:tcMar>
              <w:top w:w="80" w:type="dxa"/>
              <w:start w:w="120" w:type="dxa"/>
              <w:bottom w:w="80" w:type="dxa"/>
              <w:end w:w="120" w:type="dxa"/>
            </w:tcMar>
            <w:vAlign w:val="center"/>
          </w:tcPr>
          <w:p>
            <w:pPr>
              <w:spacing w:after="0" w:line="252" w:lineRule="auto"/>
            </w:pPr>
            <w:r>
              <w:rPr>
                <w:rFonts w:ascii="Segoe UI" w:hAnsi="Segoe UI" w:eastAsia="Segoe UI"/>
                <w:color w:val="07100E"/>
                <w:sz w:val="17"/>
              </w:rPr>
              <w:t>Only critical product and customer work</w:t>
            </w:r>
          </w:p>
        </w:tc>
        <w:tc>
          <w:tcPr>
            <w:tcW w:type="dxa" w:w="2952"/>
            <w:tcMar>
              <w:top w:w="80" w:type="dxa"/>
              <w:start w:w="120" w:type="dxa"/>
              <w:bottom w:w="80" w:type="dxa"/>
              <w:end w:w="120" w:type="dxa"/>
            </w:tcMar>
            <w:vAlign w:val="center"/>
          </w:tcPr>
          <w:p>
            <w:pPr>
              <w:spacing w:after="0" w:line="252" w:lineRule="auto"/>
            </w:pPr>
            <w:r>
              <w:rPr>
                <w:rFonts w:ascii="Segoe UI" w:hAnsi="Segoe UI" w:eastAsia="Segoe UI"/>
                <w:color w:val="07100E"/>
                <w:sz w:val="17"/>
              </w:rPr>
              <w:t>Protect negotiating leverage if enterprise sales or the next financing takes longer</w:t>
            </w:r>
          </w:p>
        </w:tc>
        <w:tc>
          <w:tcPr>
            <w:tcW w:type="dxa" w:w="2592"/>
            <w:tcMar>
              <w:top w:w="80" w:type="dxa"/>
              <w:start w:w="120" w:type="dxa"/>
              <w:bottom w:w="80" w:type="dxa"/>
              <w:end w:w="120" w:type="dxa"/>
            </w:tcMar>
            <w:vAlign w:val="center"/>
          </w:tcPr>
          <w:p>
            <w:pPr>
              <w:spacing w:after="0" w:line="252" w:lineRule="auto"/>
            </w:pPr>
            <w:r>
              <w:rPr>
                <w:rFonts w:ascii="Segoe UI" w:hAnsi="Segoe UI" w:eastAsia="Segoe UI"/>
                <w:color w:val="07100E"/>
                <w:sz w:val="17"/>
              </w:rPr>
              <w:t>Maintain controls and customer support</w:t>
            </w:r>
          </w:p>
        </w:tc>
      </w:tr>
    </w:tbl>
    <w:p>
      <w:pPr>
        <w:spacing w:after="60"/>
      </w:pPr>
    </w:p>
    <w:p>
      <w:r>
        <w:br w:type="page"/>
      </w:r>
    </w:p>
    <w:p>
      <w:pPr>
        <w:pStyle w:val="Heading1"/>
        <w:pBdr>
          <w:bottom w:val="single" w:sz="4" w:space="5" w:color="CAD2CA"/>
        </w:pBdr>
      </w:pPr>
      <w:r>
        <w:rPr>
          <w:rFonts w:ascii="Segoe UI" w:hAnsi="Segoe UI" w:eastAsia="Segoe UI"/>
          <w:color w:val="07100E"/>
          <w:sz w:val="32"/>
        </w:rPr>
        <w:t>8. Initial commercial model</w:t>
      </w:r>
    </w:p>
    <w:p>
      <w:pPr>
        <w:pStyle w:val="Heading2"/>
      </w:pPr>
      <w:r>
        <w:rPr>
          <w:rFonts w:ascii="Segoe UI" w:hAnsi="Segoe UI" w:eastAsia="Segoe UI"/>
          <w:color w:val="10291A"/>
          <w:sz w:val="26"/>
        </w:rPr>
        <w:t>Buyer</w:t>
      </w:r>
    </w:p>
    <w:p>
      <w:r>
        <w:rPr>
          <w:rFonts w:ascii="Segoe UI" w:hAnsi="Segoe UI" w:eastAsia="Segoe UI"/>
          <w:color w:val="07100E"/>
          <w:sz w:val="21"/>
        </w:rPr>
        <w:t>The economic buyer is likely the COO, managing partner, head of delivery, or practice leader responsible for growth and engagement economics. IT and security are required approvers. Engagement leaders are the operational champions. Consultants become daily users after work is won.</w:t>
      </w:r>
    </w:p>
    <w:p>
      <w:pPr>
        <w:pStyle w:val="Heading2"/>
      </w:pPr>
      <w:r>
        <w:rPr>
          <w:rFonts w:ascii="Segoe UI" w:hAnsi="Segoe UI" w:eastAsia="Segoe UI"/>
          <w:color w:val="10291A"/>
          <w:sz w:val="26"/>
        </w:rPr>
        <w:t>Initial offer</w:t>
      </w:r>
    </w:p>
    <w:p>
      <w:r>
        <w:rPr>
          <w:rFonts w:ascii="Segoe UI" w:hAnsi="Segoe UI" w:eastAsia="Segoe UI"/>
          <w:color w:val="07100E"/>
          <w:sz w:val="21"/>
        </w:rPr>
        <w:t>The offer should sell a complete outcome, not access to a collection of AI features:</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Turn one practice's live pursuits and engagements into an approved, executable, and measurable engagement record connected to the firm's existing systems.</w:t>
            </w:r>
          </w:p>
        </w:tc>
      </w:tr>
    </w:tbl>
    <w:p>
      <w:pPr>
        <w:spacing w:after="40"/>
      </w:pPr>
    </w:p>
    <w:p>
      <w:pPr>
        <w:pStyle w:val="Heading2"/>
      </w:pPr>
      <w:r>
        <w:rPr>
          <w:rFonts w:ascii="Segoe UI" w:hAnsi="Segoe UI" w:eastAsia="Segoe UI"/>
          <w:color w:val="10291A"/>
          <w:sz w:val="26"/>
        </w:rPr>
        <w:t>Design-partner structure</w:t>
      </w:r>
    </w:p>
    <w:p>
      <w:r>
        <w:rPr>
          <w:rFonts w:ascii="Segoe UI" w:hAnsi="Segoe UI" w:eastAsia="Segoe UI"/>
          <w:color w:val="07100E"/>
          <w:sz w:val="21"/>
        </w:rPr>
        <w:t>A discounted design-partner agreement should purchase specific consideration:</w:t>
      </w:r>
    </w:p>
    <w:p>
      <w:pPr>
        <w:pStyle w:val="ListBullet"/>
      </w:pPr>
      <w:r>
        <w:rPr>
          <w:rFonts w:ascii="Segoe UI" w:hAnsi="Segoe UI" w:eastAsia="Segoe UI"/>
          <w:color w:val="07100E"/>
          <w:sz w:val="21"/>
        </w:rPr>
        <w:t>paid activation and recurring platform commitment;</w:t>
      </w:r>
    </w:p>
    <w:p>
      <w:pPr>
        <w:pStyle w:val="ListBullet"/>
      </w:pPr>
      <w:r>
        <w:rPr>
          <w:rFonts w:ascii="Segoe UI" w:hAnsi="Segoe UI" w:eastAsia="Segoe UI"/>
          <w:color w:val="07100E"/>
          <w:sz w:val="21"/>
        </w:rPr>
        <w:t>access to the required source systems and users;</w:t>
      </w:r>
    </w:p>
    <w:p>
      <w:pPr>
        <w:pStyle w:val="ListBullet"/>
      </w:pPr>
      <w:r>
        <w:rPr>
          <w:rFonts w:ascii="Segoe UI" w:hAnsi="Segoe UI" w:eastAsia="Segoe UI"/>
          <w:color w:val="07100E"/>
          <w:sz w:val="21"/>
        </w:rPr>
        <w:t>agreed baseline metrics;</w:t>
      </w:r>
    </w:p>
    <w:p>
      <w:pPr>
        <w:pStyle w:val="ListBullet"/>
      </w:pPr>
      <w:r>
        <w:rPr>
          <w:rFonts w:ascii="Segoe UI" w:hAnsi="Segoe UI" w:eastAsia="Segoe UI"/>
          <w:color w:val="07100E"/>
          <w:sz w:val="21"/>
        </w:rPr>
        <w:t>structured feedback cadence;</w:t>
      </w:r>
    </w:p>
    <w:p>
      <w:pPr>
        <w:pStyle w:val="ListBullet"/>
      </w:pPr>
      <w:r>
        <w:rPr>
          <w:rFonts w:ascii="Segoe UI" w:hAnsi="Segoe UI" w:eastAsia="Segoe UI"/>
          <w:color w:val="07100E"/>
          <w:sz w:val="21"/>
        </w:rPr>
        <w:t>permission to publish results after approval;</w:t>
      </w:r>
    </w:p>
    <w:p>
      <w:pPr>
        <w:pStyle w:val="ListBullet"/>
      </w:pPr>
      <w:r>
        <w:rPr>
          <w:rFonts w:ascii="Segoe UI" w:hAnsi="Segoe UI" w:eastAsia="Segoe UI"/>
          <w:color w:val="07100E"/>
          <w:sz w:val="21"/>
        </w:rPr>
        <w:t>defined conversion to standard pricing;</w:t>
      </w:r>
    </w:p>
    <w:p>
      <w:pPr>
        <w:pStyle w:val="ListBullet"/>
      </w:pPr>
      <w:r>
        <w:rPr>
          <w:rFonts w:ascii="Segoe UI" w:hAnsi="Segoe UI" w:eastAsia="Segoe UI"/>
          <w:color w:val="07100E"/>
          <w:sz w:val="21"/>
        </w:rPr>
        <w:t>bounded implementation scope.</w:t>
      </w:r>
    </w:p>
    <w:p>
      <w:r>
        <w:rPr>
          <w:rFonts w:ascii="Segoe UI" w:hAnsi="Segoe UI" w:eastAsia="Segoe UI"/>
          <w:color w:val="07100E"/>
          <w:sz w:val="21"/>
        </w:rPr>
        <w:t>An annual design-partner range of $30,000 to $50,000 and an implementation range of $25,000 to $50,000 are plausible planning hypotheses. They are not validated prices. The round should fund enough buyer work to establish which portion is software, which portion is implementation, and which value metric best predicts willingness to pay.</w:t>
      </w:r>
    </w:p>
    <w:p>
      <w:r>
        <w:br w:type="page"/>
      </w:r>
    </w:p>
    <w:p>
      <w:pPr>
        <w:pStyle w:val="Heading1"/>
        <w:pBdr>
          <w:bottom w:val="single" w:sz="4" w:space="5" w:color="CAD2CA"/>
        </w:pBdr>
      </w:pPr>
      <w:r>
        <w:rPr>
          <w:rFonts w:ascii="Segoe UI" w:hAnsi="Segoe UI" w:eastAsia="Segoe UI"/>
          <w:color w:val="07100E"/>
          <w:sz w:val="32"/>
        </w:rPr>
        <w:t>9. Market framing for investors</w:t>
      </w:r>
    </w:p>
    <w:p>
      <w:r>
        <w:rPr>
          <w:rFonts w:ascii="Segoe UI" w:hAnsi="Segoe UI" w:eastAsia="Segoe UI"/>
          <w:color w:val="07100E"/>
          <w:sz w:val="21"/>
        </w:rPr>
        <w:t>The bottom-up model supports the following cautious narrative, subject to the validation work described above: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0"/>
            </w:pPr>
            <w:r>
              <w:rPr>
                <w:rFonts w:ascii="Segoe UI" w:hAnsi="Segoe UI" w:eastAsia="Segoe UI"/>
                <w:color w:val="FAFBF7"/>
                <w:sz w:val="20"/>
              </w:rPr>
              <w:t>AllianceOne begins with several thousand U.S. consulting and specialist-advisory firms whose economics depend on repeated engagement decisions across disconnected systems. The existing model indicates an initial annual software opportunity of roughly $392 million, an adjacent serviceable market of roughly $820 million, and a broader U.S. professional-services expansion market of roughly $2.7 billion. These figures are modeled from Census firm counts and pricing assumptions, not analyst-reported AllianceOne revenue.</w:t>
            </w:r>
          </w:p>
        </w:tc>
      </w:tr>
    </w:tbl>
    <w:p>
      <w:pPr>
        <w:spacing w:after="40"/>
      </w:pPr>
    </w:p>
    <w:p>
      <w:r>
        <w:rPr>
          <w:rFonts w:ascii="Segoe UI" w:hAnsi="Segoe UI" w:eastAsia="Segoe UI"/>
          <w:color w:val="07100E"/>
          <w:sz w:val="21"/>
        </w:rPr>
        <w:t>The most persuasive venture-scale proof remains simple:</w:t>
      </w:r>
    </w:p>
    <w:p>
      <w:pPr>
        <w:pStyle w:val="ListBullet"/>
      </w:pPr>
      <w:r>
        <w:rPr>
          <w:rFonts w:ascii="Segoe UI" w:hAnsi="Segoe UI" w:eastAsia="Segoe UI"/>
          <w:color w:val="07100E"/>
          <w:sz w:val="21"/>
        </w:rPr>
        <w:t>125 customers at $80,000 average ACV produce $10 million ARR.</w:t>
      </w:r>
    </w:p>
    <w:p>
      <w:pPr>
        <w:pStyle w:val="ListBullet"/>
      </w:pPr>
      <w:r>
        <w:rPr>
          <w:rFonts w:ascii="Segoe UI" w:hAnsi="Segoe UI" w:eastAsia="Segoe UI"/>
          <w:color w:val="07100E"/>
          <w:sz w:val="21"/>
        </w:rPr>
        <w:t>1,000 customers at $100,000 average ACV produce $100 million ARR.</w:t>
      </w:r>
    </w:p>
    <w:p>
      <w:pPr>
        <w:pStyle w:val="ListBullet"/>
      </w:pPr>
      <w:r>
        <w:rPr>
          <w:rFonts w:ascii="Segoe UI" w:hAnsi="Segoe UI" w:eastAsia="Segoe UI"/>
          <w:color w:val="07100E"/>
          <w:sz w:val="21"/>
        </w:rPr>
        <w:t>Both require a small share of the existing U.S. firm universe, but they require a repeatable sales and implementation engine that does not yet exist.</w:t>
      </w:r>
    </w:p>
    <w:p>
      <w:pPr>
        <w:pStyle w:val="Heading1"/>
        <w:pBdr>
          <w:bottom w:val="single" w:sz="4" w:space="5" w:color="CAD2CA"/>
        </w:pBdr>
      </w:pPr>
      <w:r>
        <w:rPr>
          <w:rFonts w:ascii="Segoe UI" w:hAnsi="Segoe UI" w:eastAsia="Segoe UI"/>
          <w:color w:val="07100E"/>
          <w:sz w:val="32"/>
        </w:rPr>
        <w:t>10. Why now</w:t>
      </w:r>
    </w:p>
    <w:p>
      <w:r>
        <w:rPr>
          <w:rFonts w:ascii="Segoe UI" w:hAnsi="Segoe UI" w:eastAsia="Segoe UI"/>
          <w:color w:val="07100E"/>
          <w:sz w:val="21"/>
        </w:rPr>
        <w:t>The market evidence supports the timing:</w:t>
      </w:r>
    </w:p>
    <w:p>
      <w:pPr>
        <w:pStyle w:val="ListBullet"/>
      </w:pPr>
      <w:r>
        <w:rPr>
          <w:rFonts w:ascii="Segoe UI" w:hAnsi="Segoe UI" w:eastAsia="Segoe UI"/>
          <w:color w:val="07100E"/>
          <w:sz w:val="21"/>
        </w:rPr>
        <w:t>The U.S. Bureau of Labor Statistics projects professional, scientific, and technical services to be the second-fastest-growing sector from 2024 to 2034, adding an estimated 812,500 jobs.</w:t>
      </w:r>
    </w:p>
    <w:p>
      <w:pPr>
        <w:pStyle w:val="ListBullet"/>
      </w:pPr>
      <w:r>
        <w:rPr>
          <w:rFonts w:ascii="Segoe UI" w:hAnsi="Segoe UI" w:eastAsia="Segoe UI"/>
          <w:color w:val="07100E"/>
          <w:sz w:val="21"/>
        </w:rPr>
        <w:t>McKinsey reported that 88% of surveyed organizations used AI in at least one business function in 2025, while nearly two-thirds had not begun scaling it across the enterprise.</w:t>
      </w:r>
    </w:p>
    <w:p>
      <w:pPr>
        <w:pStyle w:val="ListBullet"/>
      </w:pPr>
      <w:r>
        <w:rPr>
          <w:rFonts w:ascii="Segoe UI" w:hAnsi="Segoe UI" w:eastAsia="Segoe UI"/>
          <w:color w:val="07100E"/>
          <w:sz w:val="21"/>
        </w:rPr>
        <w:t>Thomson Reuters reported in 2026 that professional-services organization-wide AI use had almost doubled to 40%, but only 18% of respondents said their organizations tracked AI ROI.</w:t>
      </w:r>
    </w:p>
    <w:p>
      <w:pPr>
        <w:pStyle w:val="ListBullet"/>
      </w:pPr>
      <w:r>
        <w:rPr>
          <w:rFonts w:ascii="Segoe UI" w:hAnsi="Segoe UI" w:eastAsia="Segoe UI"/>
          <w:color w:val="07100E"/>
          <w:sz w:val="21"/>
        </w:rPr>
        <w:t>Deltek's reporting on the 2026 SPI benchmark says average billable utilization fell to 66.4% in 2025 and average revenue leakage reached 4.5%.</w:t>
      </w:r>
    </w:p>
    <w:p>
      <w:r>
        <w:rPr>
          <w:rFonts w:ascii="Segoe UI" w:hAnsi="Segoe UI" w:eastAsia="Segoe UI"/>
          <w:color w:val="07100E"/>
          <w:sz w:val="21"/>
        </w:rPr>
        <w:t>These data do not prove demand for AllianceOne. They show the environment in which the product can be valuable: firms are adopting AI, struggling to operationalize it, and facing measurable pressure on delivery economics.</w:t>
      </w:r>
    </w:p>
    <w:p>
      <w:r>
        <w:br w:type="page"/>
      </w:r>
    </w:p>
    <w:p>
      <w:pPr>
        <w:pStyle w:val="Heading1"/>
        <w:pBdr>
          <w:bottom w:val="single" w:sz="4" w:space="5" w:color="CAD2CA"/>
        </w:pBdr>
      </w:pPr>
      <w:r>
        <w:rPr>
          <w:rFonts w:ascii="Segoe UI" w:hAnsi="Segoe UI" w:eastAsia="Segoe UI"/>
          <w:color w:val="07100E"/>
          <w:sz w:val="32"/>
        </w:rPr>
        <w:t>11. Investor objections the business case must answer</w:t>
      </w:r>
    </w:p>
    <w:p>
      <w:pPr>
        <w:pStyle w:val="Heading2"/>
      </w:pPr>
      <w:r>
        <w:rPr>
          <w:rFonts w:ascii="Segoe UI" w:hAnsi="Segoe UI" w:eastAsia="Segoe UI"/>
          <w:color w:val="10291A"/>
          <w:sz w:val="26"/>
        </w:rPr>
        <w:t>"This is too broad for a small team."</w:t>
      </w:r>
    </w:p>
    <w:p>
      <w:r>
        <w:rPr>
          <w:rFonts w:ascii="Segoe UI" w:hAnsi="Segoe UI" w:eastAsia="Segoe UI"/>
          <w:color w:val="07100E"/>
          <w:sz w:val="21"/>
        </w:rPr>
        <w:t>Answer with the wedge. The company is not productionizing every lifecycle module for every stack in this round. It is proving a complete intent-to-execution loop for one customer profile and one primary operating stack.</w:t>
      </w:r>
    </w:p>
    <w:p>
      <w:pPr>
        <w:pStyle w:val="Heading2"/>
      </w:pPr>
      <w:r>
        <w:rPr>
          <w:rFonts w:ascii="Segoe UI" w:hAnsi="Segoe UI" w:eastAsia="Segoe UI"/>
          <w:color w:val="10291A"/>
          <w:sz w:val="26"/>
        </w:rPr>
        <w:t>"Why will a PSA or CRM vendor not build this?"</w:t>
      </w:r>
    </w:p>
    <w:p>
      <w:r>
        <w:rPr>
          <w:rFonts w:ascii="Segoe UI" w:hAnsi="Segoe UI" w:eastAsia="Segoe UI"/>
          <w:color w:val="07100E"/>
          <w:sz w:val="21"/>
        </w:rPr>
        <w:t>Those systems optimize the state they already own. AllianceOne's value comes from preserving the reasoning and commitment that span systems, then reconciling them without requiring one vendor to become the entire operating stack.</w:t>
      </w:r>
    </w:p>
    <w:p>
      <w:pPr>
        <w:pStyle w:val="Heading2"/>
      </w:pPr>
      <w:r>
        <w:rPr>
          <w:rFonts w:ascii="Segoe UI" w:hAnsi="Segoe UI" w:eastAsia="Segoe UI"/>
          <w:color w:val="10291A"/>
          <w:sz w:val="26"/>
        </w:rPr>
        <w:t>"Why can a foundation-model provider not do this?"</w:t>
      </w:r>
    </w:p>
    <w:p>
      <w:r>
        <w:rPr>
          <w:rFonts w:ascii="Segoe UI" w:hAnsi="Segoe UI" w:eastAsia="Segoe UI"/>
          <w:color w:val="07100E"/>
          <w:sz w:val="21"/>
        </w:rPr>
        <w:t>A model can reason over supplied context. The product challenge is maintaining governed engagement state, approval lineage, firm-specific ontology, system writeback, execution receipts, and learning across engagements. Model capability improves the product but does not replace those controls and integrations.</w:t>
      </w:r>
    </w:p>
    <w:p>
      <w:pPr>
        <w:pStyle w:val="Heading2"/>
      </w:pPr>
      <w:r>
        <w:rPr>
          <w:rFonts w:ascii="Segoe UI" w:hAnsi="Segoe UI" w:eastAsia="Segoe UI"/>
          <w:color w:val="10291A"/>
          <w:sz w:val="26"/>
        </w:rPr>
        <w:t>"Will services destroy the software margin?"</w:t>
      </w:r>
    </w:p>
    <w:p>
      <w:r>
        <w:rPr>
          <w:rFonts w:ascii="Segoe UI" w:hAnsi="Segoe UI" w:eastAsia="Segoe UI"/>
          <w:color w:val="07100E"/>
          <w:sz w:val="21"/>
        </w:rPr>
        <w:t>The first deployments will contain services. The round must prove that connectors, mappings, ontology patterns, and onboarding can be reused. Implementation revenue should be reported separately from ARR, and internal deployment effort should be tracked from the first customer.</w:t>
      </w:r>
    </w:p>
    <w:p>
      <w:pPr>
        <w:pStyle w:val="Heading2"/>
      </w:pPr>
      <w:r>
        <w:rPr>
          <w:rFonts w:ascii="Segoe UI" w:hAnsi="Segoe UI" w:eastAsia="Segoe UI"/>
          <w:color w:val="10291A"/>
          <w:sz w:val="26"/>
        </w:rPr>
        <w:t>"Is $500,000 enough for enterprise software?"</w:t>
      </w:r>
    </w:p>
    <w:p>
      <w:r>
        <w:rPr>
          <w:rFonts w:ascii="Segoe UI" w:hAnsi="Segoe UI" w:eastAsia="Segoe UI"/>
          <w:color w:val="07100E"/>
          <w:sz w:val="21"/>
        </w:rPr>
        <w:t>It is enough only if the scope remains narrow, the founder leads sales and product, the engineer is senior and product-oriented, early customers pay, and the reserve is protected. It is not enough for a broad enterprise go-to-market organization or many bespoke integrations.</w:t>
      </w:r>
    </w:p>
    <w:p>
      <w:pPr>
        <w:pStyle w:val="Heading2"/>
      </w:pPr>
      <w:r>
        <w:rPr>
          <w:rFonts w:ascii="Segoe UI" w:hAnsi="Segoe UI" w:eastAsia="Segoe UI"/>
          <w:color w:val="10291A"/>
          <w:sz w:val="26"/>
        </w:rPr>
        <w:t>"What is the team risk?"</w:t>
      </w:r>
    </w:p>
    <w:p>
      <w:r>
        <w:rPr>
          <w:rFonts w:ascii="Segoe UI" w:hAnsi="Segoe UI" w:eastAsia="Segoe UI"/>
          <w:color w:val="07100E"/>
          <w:sz w:val="21"/>
        </w:rPr>
        <w:t>A single founder and one international contractor create continuity, technical-leadership, and investor-perception risk. The mitigation is strong IP assignment, clear technical ownership, documented architecture, disciplined deployment, and a plan to recruit a founding or senior engineering leader once commercial evidence justifies it.</w:t>
      </w:r>
    </w:p>
    <w:p>
      <w:pPr>
        <w:pStyle w:val="Heading1"/>
        <w:pBdr>
          <w:bottom w:val="single" w:sz="4" w:space="5" w:color="CAD2CA"/>
        </w:pBdr>
      </w:pPr>
      <w:r>
        <w:rPr>
          <w:rFonts w:ascii="Segoe UI" w:hAnsi="Segoe UI" w:eastAsia="Segoe UI"/>
          <w:color w:val="07100E"/>
          <w:sz w:val="32"/>
        </w:rPr>
        <w:t>12. Evidence still required before fundraising</w:t>
      </w:r>
    </w:p>
    <w:p>
      <w:pPr>
        <w:pStyle w:val="Heading2"/>
      </w:pPr>
      <w:r>
        <w:rPr>
          <w:rFonts w:ascii="Segoe UI" w:hAnsi="Segoe UI" w:eastAsia="Segoe UI"/>
          <w:color w:val="10291A"/>
          <w:sz w:val="26"/>
        </w:rPr>
        <w:t>Must have</w:t>
      </w:r>
    </w:p>
    <w:p>
      <w:pPr>
        <w:pStyle w:val="ListBullet"/>
      </w:pPr>
      <w:r>
        <w:rPr>
          <w:rFonts w:ascii="Segoe UI" w:hAnsi="Segoe UI" w:eastAsia="Segoe UI"/>
          <w:color w:val="07100E"/>
          <w:sz w:val="21"/>
        </w:rPr>
        <w:t>A precise current cap table and incorporation status.</w:t>
      </w:r>
    </w:p>
    <w:p>
      <w:pPr>
        <w:pStyle w:val="ListBullet"/>
      </w:pPr>
      <w:r>
        <w:rPr>
          <w:rFonts w:ascii="Segoe UI" w:hAnsi="Segoe UI" w:eastAsia="Segoe UI"/>
          <w:color w:val="07100E"/>
          <w:sz w:val="21"/>
        </w:rPr>
        <w:t>Proof that all existing code and product IP are assigned to the company.</w:t>
      </w:r>
    </w:p>
    <w:p>
      <w:pPr>
        <w:pStyle w:val="ListBullet"/>
      </w:pPr>
      <w:r>
        <w:rPr>
          <w:rFonts w:ascii="Segoe UI" w:hAnsi="Segoe UI" w:eastAsia="Segoe UI"/>
          <w:color w:val="07100E"/>
          <w:sz w:val="21"/>
        </w:rPr>
        <w:t>Three customer problem interviews that explicitly validate the engagement-intent problem.</w:t>
      </w:r>
    </w:p>
    <w:p>
      <w:pPr>
        <w:pStyle w:val="ListBullet"/>
      </w:pPr>
      <w:r>
        <w:rPr>
          <w:rFonts w:ascii="Segoe UI" w:hAnsi="Segoe UI" w:eastAsia="Segoe UI"/>
          <w:color w:val="07100E"/>
          <w:sz w:val="21"/>
        </w:rPr>
        <w:t>At least two written design-partner expressions of interest, preferably with budget and timing.</w:t>
      </w:r>
    </w:p>
    <w:p>
      <w:pPr>
        <w:pStyle w:val="ListBullet"/>
      </w:pPr>
      <w:r>
        <w:rPr>
          <w:rFonts w:ascii="Segoe UI" w:hAnsi="Segoe UI" w:eastAsia="Segoe UI"/>
          <w:color w:val="07100E"/>
          <w:sz w:val="21"/>
        </w:rPr>
        <w:t>One pricing and packaging page for the initial deployment.</w:t>
      </w:r>
    </w:p>
    <w:p>
      <w:pPr>
        <w:pStyle w:val="ListBullet"/>
      </w:pPr>
      <w:r>
        <w:rPr>
          <w:rFonts w:ascii="Segoe UI" w:hAnsi="Segoe UI" w:eastAsia="Segoe UI"/>
          <w:color w:val="07100E"/>
          <w:sz w:val="21"/>
        </w:rPr>
        <w:t>A current architecture and data-flow diagram.</w:t>
      </w:r>
    </w:p>
    <w:p>
      <w:pPr>
        <w:pStyle w:val="ListBullet"/>
      </w:pPr>
      <w:r>
        <w:rPr>
          <w:rFonts w:ascii="Segoe UI" w:hAnsi="Segoe UI" w:eastAsia="Segoe UI"/>
          <w:color w:val="07100E"/>
          <w:sz w:val="21"/>
        </w:rPr>
        <w:t>A security plan tied to actual customer procurement requirements.</w:t>
      </w:r>
    </w:p>
    <w:p>
      <w:pPr>
        <w:pStyle w:val="ListBullet"/>
      </w:pPr>
      <w:r>
        <w:rPr>
          <w:rFonts w:ascii="Segoe UI" w:hAnsi="Segoe UI" w:eastAsia="Segoe UI"/>
          <w:color w:val="07100E"/>
          <w:sz w:val="21"/>
        </w:rPr>
        <w:t>A twelve-month cash model with monthly timing, not only annual totals.</w:t>
      </w:r>
    </w:p>
    <w:p>
      <w:pPr>
        <w:pStyle w:val="ListBullet"/>
      </w:pPr>
      <w:r>
        <w:rPr>
          <w:rFonts w:ascii="Segoe UI" w:hAnsi="Segoe UI" w:eastAsia="Segoe UI"/>
          <w:color w:val="07100E"/>
          <w:sz w:val="21"/>
        </w:rPr>
        <w:t>A product roadmap that distinguishes current capability, in-progress capability, and future state.</w:t>
      </w:r>
    </w:p>
    <w:p>
      <w:pPr>
        <w:pStyle w:val="Heading2"/>
      </w:pPr>
      <w:r>
        <w:rPr>
          <w:rFonts w:ascii="Segoe UI" w:hAnsi="Segoe UI" w:eastAsia="Segoe UI"/>
          <w:color w:val="10291A"/>
          <w:sz w:val="26"/>
        </w:rPr>
        <w:t>Should have</w:t>
      </w:r>
    </w:p>
    <w:p>
      <w:pPr>
        <w:pStyle w:val="ListBullet"/>
      </w:pPr>
      <w:r>
        <w:rPr>
          <w:rFonts w:ascii="Segoe UI" w:hAnsi="Segoe UI" w:eastAsia="Segoe UI"/>
          <w:color w:val="07100E"/>
          <w:sz w:val="21"/>
        </w:rPr>
        <w:t>Named initial account list and founder-led outreach plan.</w:t>
      </w:r>
    </w:p>
    <w:p>
      <w:pPr>
        <w:pStyle w:val="ListBullet"/>
      </w:pPr>
      <w:r>
        <w:rPr>
          <w:rFonts w:ascii="Segoe UI" w:hAnsi="Segoe UI" w:eastAsia="Segoe UI"/>
          <w:color w:val="07100E"/>
          <w:sz w:val="21"/>
        </w:rPr>
        <w:t>Baseline ROI worksheet for scope leakage, change orders, staffing time, project margin variance, and partner hours.</w:t>
      </w:r>
    </w:p>
    <w:p>
      <w:pPr>
        <w:pStyle w:val="ListBullet"/>
      </w:pPr>
      <w:r>
        <w:rPr>
          <w:rFonts w:ascii="Segoe UI" w:hAnsi="Segoe UI" w:eastAsia="Segoe UI"/>
          <w:color w:val="07100E"/>
          <w:sz w:val="21"/>
        </w:rPr>
        <w:t>Customer implementation plan with responsibilities and exit criteria.</w:t>
      </w:r>
    </w:p>
    <w:p>
      <w:pPr>
        <w:pStyle w:val="ListBullet"/>
      </w:pPr>
      <w:r>
        <w:rPr>
          <w:rFonts w:ascii="Segoe UI" w:hAnsi="Segoe UI" w:eastAsia="Segoe UI"/>
          <w:color w:val="07100E"/>
          <w:sz w:val="21"/>
        </w:rPr>
        <w:t>Competitive teardown focused on the engagement-intent layer.</w:t>
      </w:r>
    </w:p>
    <w:p>
      <w:pPr>
        <w:pStyle w:val="ListBullet"/>
      </w:pPr>
      <w:r>
        <w:rPr>
          <w:rFonts w:ascii="Segoe UI" w:hAnsi="Segoe UI" w:eastAsia="Segoe UI"/>
          <w:color w:val="07100E"/>
          <w:sz w:val="21"/>
        </w:rPr>
        <w:t>Seed financing milestones and an expected financing window.</w:t>
      </w:r>
    </w:p>
    <w:p>
      <w:r>
        <w:br w:type="page"/>
      </w:r>
    </w:p>
    <w:p>
      <w:pPr>
        <w:pStyle w:val="Heading1"/>
        <w:pBdr>
          <w:bottom w:val="single" w:sz="4" w:space="5" w:color="CAD2CA"/>
        </w:pBdr>
      </w:pPr>
      <w:r>
        <w:rPr>
          <w:rFonts w:ascii="Segoe UI" w:hAnsi="Segoe UI" w:eastAsia="Segoe UI"/>
          <w:color w:val="07100E"/>
          <w:sz w:val="32"/>
        </w:rPr>
        <w:t>13. Recommended investor message</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shd w:fill="10291A"/>
            <w:tcMar>
              <w:top w:w="150" w:type="dxa"/>
              <w:start w:w="190" w:type="dxa"/>
              <w:bottom w:w="150" w:type="dxa"/>
              <w:end w:w="190" w:type="dxa"/>
            </w:tcMar>
          </w:tcPr>
          <w:p>
            <w:pPr>
              <w:spacing w:after="100"/>
            </w:pPr>
            <w:r>
              <w:rPr>
                <w:rFonts w:ascii="Segoe UI" w:hAnsi="Segoe UI" w:eastAsia="Segoe UI"/>
                <w:color w:val="FAFBF7"/>
                <w:sz w:val="20"/>
              </w:rPr>
              <w:t>Professional-services firms run each engagement across CRM, email, documents, PSA, project-management, and billing systems. Those systems record activity, but none preserves the intent of the engagement: what was promised, why it was structured that way, how the team and effort were chosen, what changed, and whether delivery matched the commitment.</w:t>
            </w:r>
          </w:p>
          <w:p>
            <w:pPr>
              <w:spacing w:after="100"/>
            </w:pPr>
          </w:p>
          <w:p>
            <w:pPr>
              <w:spacing w:after="100"/>
            </w:pPr>
            <w:r>
              <w:rPr>
                <w:rFonts w:ascii="Segoe UI" w:hAnsi="Segoe UI" w:eastAsia="Segoe UI"/>
                <w:color w:val="FAFBF7"/>
                <w:sz w:val="20"/>
              </w:rPr>
              <w:t>AllianceOne is the system of record for that engagement intent. It helps firms scope and plan work from precedent, writes the approved plan into the operating stack, gives delivery teams the context behind their assignments, reconciles actual delivery against the commitment, and turns the result into evidence for the next engagement.</w:t>
            </w:r>
          </w:p>
          <w:p>
            <w:pPr>
              <w:spacing w:after="100"/>
            </w:pPr>
          </w:p>
          <w:p>
            <w:pPr>
              <w:spacing w:after="0"/>
            </w:pPr>
            <w:r>
              <w:rPr>
                <w:rFonts w:ascii="Segoe UI" w:hAnsi="Segoe UI" w:eastAsia="Segoe UI"/>
                <w:color w:val="FAFBF7"/>
                <w:sz w:val="20"/>
              </w:rPr>
              <w:t>We are raising a minimum of $500,000, with a target of approximately $530,000, to prove this loop with three paid design partners, productionize the first integrations, establish enterprise security readiness, and reach repeatable implementation with measurable customer outcomes. The target funds a focused twelve-month plan and approximately five months of additional runway protection.</w:t>
            </w:r>
          </w:p>
        </w:tc>
      </w:tr>
    </w:tbl>
    <w:p>
      <w:pPr>
        <w:spacing w:after="40"/>
      </w:pPr>
    </w:p>
    <w:p>
      <w:r>
        <w:br w:type="page"/>
      </w:r>
    </w:p>
    <w:p>
      <w:pPr>
        <w:pStyle w:val="Heading1"/>
        <w:pBdr>
          <w:bottom w:val="single" w:sz="4" w:space="5" w:color="CAD2CA"/>
        </w:pBdr>
      </w:pPr>
      <w:r>
        <w:rPr>
          <w:rFonts w:ascii="Segoe UI" w:hAnsi="Segoe UI" w:eastAsia="Segoe UI"/>
          <w:color w:val="07100E"/>
          <w:sz w:val="32"/>
        </w:rPr>
        <w:t>14. External benchmarks used</w:t>
      </w:r>
    </w:p>
    <w:p>
      <w:pPr>
        <w:pStyle w:val="ListBullet"/>
      </w:pPr>
      <w:hyperlink r:id="rId12">
        <w:r>
          <w:rPr>
            <w:rFonts w:ascii="Segoe UI" w:hAnsi="Segoe UI"/>
            <w:color w:val="10291A"/>
            <w:sz w:val="21"/>
            <w:u w:val="single"/>
          </w:rPr>
          <w:t>U.S. Census Bureau, 2022 SUSB annual data</w:t>
        </w:r>
      </w:hyperlink>
    </w:p>
    <w:p>
      <w:pPr>
        <w:pStyle w:val="ListBullet"/>
      </w:pPr>
      <w:hyperlink r:id="rId13">
        <w:r>
          <w:rPr>
            <w:rFonts w:ascii="Segoe UI" w:hAnsi="Segoe UI"/>
            <w:color w:val="10291A"/>
            <w:sz w:val="21"/>
            <w:u w:val="single"/>
          </w:rPr>
          <w:t>U.S. Bureau of Labor Statistics, 2024 to 2034 industry projections</w:t>
        </w:r>
      </w:hyperlink>
    </w:p>
    <w:p>
      <w:pPr>
        <w:pStyle w:val="ListBullet"/>
      </w:pPr>
      <w:hyperlink r:id="rId14">
        <w:r>
          <w:rPr>
            <w:rFonts w:ascii="Segoe UI" w:hAnsi="Segoe UI"/>
            <w:color w:val="10291A"/>
            <w:sz w:val="21"/>
            <w:u w:val="single"/>
          </w:rPr>
          <w:t>Carta, State of Pre-Seed Q2 2025</w:t>
        </w:r>
      </w:hyperlink>
    </w:p>
    <w:p>
      <w:pPr>
        <w:pStyle w:val="ListBullet"/>
      </w:pPr>
      <w:hyperlink r:id="rId15">
        <w:r>
          <w:rPr>
            <w:rFonts w:ascii="Segoe UI" w:hAnsi="Segoe UI"/>
            <w:color w:val="10291A"/>
            <w:sz w:val="21"/>
            <w:u w:val="single"/>
          </w:rPr>
          <w:t>Carta, State of Startup Compensation H2 2025</w:t>
        </w:r>
      </w:hyperlink>
    </w:p>
    <w:p>
      <w:pPr>
        <w:pStyle w:val="ListBullet"/>
      </w:pPr>
      <w:hyperlink r:id="rId16">
        <w:r>
          <w:rPr>
            <w:rFonts w:ascii="Segoe UI" w:hAnsi="Segoe UI"/>
            <w:color w:val="10291A"/>
            <w:sz w:val="21"/>
            <w:u w:val="single"/>
          </w:rPr>
          <w:t>McKinsey, State of AI 2025</w:t>
        </w:r>
      </w:hyperlink>
    </w:p>
    <w:p>
      <w:pPr>
        <w:pStyle w:val="ListBullet"/>
      </w:pPr>
      <w:hyperlink r:id="rId17">
        <w:r>
          <w:rPr>
            <w:rFonts w:ascii="Segoe UI" w:hAnsi="Segoe UI"/>
            <w:color w:val="10291A"/>
            <w:sz w:val="21"/>
            <w:u w:val="single"/>
          </w:rPr>
          <w:t>Thomson Reuters, 2026 AI in Professional Services Report</w:t>
        </w:r>
      </w:hyperlink>
    </w:p>
    <w:p>
      <w:pPr>
        <w:pStyle w:val="ListBullet"/>
      </w:pPr>
      <w:hyperlink r:id="rId18">
        <w:r>
          <w:rPr>
            <w:rFonts w:ascii="Segoe UI" w:hAnsi="Segoe UI"/>
            <w:color w:val="10291A"/>
            <w:sz w:val="21"/>
            <w:u w:val="single"/>
          </w:rPr>
          <w:t>Deltek, 2026 SPI benchmark KPI summary</w:t>
        </w:r>
      </w:hyperlink>
    </w:p>
    <w:p>
      <w:pPr>
        <w:pStyle w:val="ListBullet"/>
      </w:pPr>
      <w:hyperlink r:id="rId19">
        <w:r>
          <w:rPr>
            <w:rFonts w:ascii="Segoe UI" w:hAnsi="Segoe UI"/>
            <w:color w:val="10291A"/>
            <w:sz w:val="21"/>
            <w:u w:val="single"/>
          </w:rPr>
          <w:t>AICPA, System and Organization Controls resources</w:t>
        </w:r>
      </w:hyperlink>
    </w:p>
    <w:p>
      <w:pPr>
        <w:pStyle w:val="ListBullet"/>
      </w:pPr>
      <w:hyperlink r:id="rId20">
        <w:r>
          <w:rPr>
            <w:rFonts w:ascii="Segoe UI" w:hAnsi="Segoe UI"/>
            <w:color w:val="10291A"/>
            <w:sz w:val="21"/>
            <w:u w:val="single"/>
          </w:rPr>
          <w:t>Social Security Administration, 2026 contribution and benefit base</w:t>
        </w:r>
      </w:hyperlink>
    </w:p>
    <w:p>
      <w:pPr>
        <w:pStyle w:val="ListBullet"/>
      </w:pPr>
      <w:hyperlink r:id="rId21">
        <w:r>
          <w:rPr>
            <w:rFonts w:ascii="Segoe UI" w:hAnsi="Segoe UI"/>
            <w:color w:val="10291A"/>
            <w:sz w:val="21"/>
            <w:u w:val="single"/>
          </w:rPr>
          <w:t>Internal Revenue Service, Publication 15 (2026)</w:t>
        </w:r>
      </w:hyperlink>
    </w:p>
    <w:p>
      <w:pPr>
        <w:pStyle w:val="ListBullet"/>
      </w:pPr>
      <w:hyperlink r:id="rId22">
        <w:r>
          <w:rPr>
            <w:rFonts w:ascii="Segoe UI" w:hAnsi="Segoe UI"/>
            <w:color w:val="10291A"/>
            <w:sz w:val="21"/>
            <w:u w:val="single"/>
          </w:rPr>
          <w:t>Minnesota Unemployment Insurance, 2026 tax rates</w:t>
        </w:r>
      </w:hyperlink>
    </w:p>
    <w:p>
      <w:pPr>
        <w:pStyle w:val="ListBullet"/>
      </w:pPr>
      <w:hyperlink r:id="rId23">
        <w:r>
          <w:rPr>
            <w:rFonts w:ascii="Segoe UI" w:hAnsi="Segoe UI"/>
            <w:color w:val="10291A"/>
            <w:sz w:val="21"/>
            <w:u w:val="single"/>
          </w:rPr>
          <w:t>Minnesota Unemployment Insurance, 2026 new-employer rates</w:t>
        </w:r>
      </w:hyperlink>
    </w:p>
    <w:p>
      <w:pPr>
        <w:pStyle w:val="ListBullet"/>
      </w:pPr>
      <w:hyperlink r:id="rId24">
        <w:r>
          <w:rPr>
            <w:rFonts w:ascii="Segoe UI" w:hAnsi="Segoe UI"/>
            <w:color w:val="10291A"/>
            <w:sz w:val="21"/>
            <w:u w:val="single"/>
          </w:rPr>
          <w:t>Minnesota DEED, 2026 Paid Leave premium rate</w:t>
        </w:r>
      </w:hyperlink>
    </w:p>
    <w:p>
      <w:pPr>
        <w:pStyle w:val="ListBullet"/>
      </w:pPr>
      <w:hyperlink r:id="rId25">
        <w:r>
          <w:rPr>
            <w:rFonts w:ascii="Segoe UI" w:hAnsi="Segoe UI"/>
            <w:color w:val="10291A"/>
            <w:sz w:val="21"/>
            <w:u w:val="single"/>
          </w:rPr>
          <w:t>Minnesota Department of Labor and Industry, workers' compensation coverage</w:t>
        </w:r>
      </w:hyperlink>
    </w:p>
    <w:p>
      <w:pPr>
        <w:pStyle w:val="Heading1"/>
        <w:pBdr>
          <w:bottom w:val="single" w:sz="4" w:space="5" w:color="CAD2CA"/>
        </w:pBdr>
      </w:pPr>
      <w:r>
        <w:rPr>
          <w:rFonts w:ascii="Segoe UI" w:hAnsi="Segoe UI" w:eastAsia="Segoe UI"/>
          <w:color w:val="07100E"/>
          <w:sz w:val="32"/>
        </w:rPr>
        <w:t>15. Immediate next decisions</w:t>
      </w:r>
    </w:p>
    <w:p>
      <w:pPr>
        <w:spacing w:after="40"/>
        <w:ind w:left="605" w:hanging="346"/>
      </w:pPr>
      <w:r>
        <w:rPr>
          <w:rFonts w:ascii="Segoe UI" w:hAnsi="Segoe UI" w:eastAsia="Segoe UI"/>
          <w:color w:val="07100E"/>
          <w:sz w:val="21"/>
        </w:rPr>
        <w:t>1.  Confirm the initial integration stack to be supported during the round.</w:t>
      </w:r>
    </w:p>
    <w:p>
      <w:pPr>
        <w:spacing w:after="40"/>
        <w:ind w:left="605" w:hanging="346"/>
      </w:pPr>
      <w:r>
        <w:rPr>
          <w:rFonts w:ascii="Segoe UI" w:hAnsi="Segoe UI" w:eastAsia="Segoe UI"/>
          <w:color w:val="07100E"/>
          <w:sz w:val="21"/>
        </w:rPr>
        <w:t>2.  Decide whether the security milestone is Type I, Type II observation, or a full Type II report based on design-partner procurement requirements.</w:t>
      </w:r>
    </w:p>
    <w:p>
      <w:pPr>
        <w:spacing w:after="40"/>
        <w:ind w:left="605" w:hanging="346"/>
      </w:pPr>
      <w:r>
        <w:rPr>
          <w:rFonts w:ascii="Segoe UI" w:hAnsi="Segoe UI" w:eastAsia="Segoe UI"/>
          <w:color w:val="07100E"/>
          <w:sz w:val="21"/>
        </w:rPr>
        <w:t>3.  Complete the market-size workbook around the defined ICP and preserve the calculation trail.</w:t>
      </w:r>
    </w:p>
    <w:p>
      <w:pPr>
        <w:spacing w:after="40"/>
        <w:ind w:left="605" w:hanging="346"/>
      </w:pPr>
      <w:r>
        <w:rPr>
          <w:rFonts w:ascii="Segoe UI" w:hAnsi="Segoe UI" w:eastAsia="Segoe UI"/>
          <w:color w:val="07100E"/>
          <w:sz w:val="21"/>
        </w:rPr>
        <w:t>4.  Convert the annual use-of-funds table into a monthly cash model with base, downside, and paid-design-partner scenarios.</w:t>
      </w:r>
    </w:p>
    <w:p>
      <w:pPr>
        <w:spacing w:after="40"/>
        <w:ind w:left="605" w:hanging="346"/>
      </w:pPr>
      <w:r>
        <w:rPr>
          <w:rFonts w:ascii="Segoe UI" w:hAnsi="Segoe UI" w:eastAsia="Segoe UI"/>
          <w:color w:val="07100E"/>
          <w:sz w:val="21"/>
        </w:rPr>
        <w:t>5.  Turn this business case into a concise investor deck and data-room evidence checklist.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0" w:type="dxa"/>
    </w:tblPr>
    <w:tblGrid>
      <w:gridCol w:w="7200"/>
      <w:gridCol w:w="2160"/>
    </w:tblGrid>
    <w:tr>
      <w:tc>
        <w:tcPr>
          <w:tcW w:type="dxa" w:w="7200"/>
          <w:tcMar>
            <w:top w:w="20" w:type="dxa"/>
            <w:start w:w="0" w:type="dxa"/>
            <w:bottom w:w="0" w:type="dxa"/>
            <w:end w:w="0" w:type="dxa"/>
          </w:tcMar>
        </w:tcPr>
        <w:p>
          <w:r>
            <w:rPr>
              <w:rFonts w:ascii="Cascadia Mono" w:hAnsi="Cascadia Mono" w:eastAsia="Cascadia Mono"/>
              <w:color w:val="526059"/>
              <w:sz w:val="14"/>
            </w:rPr>
            <w:t>CONFIDENTIAL  |  AUGUST 2026</w:t>
          </w:r>
        </w:p>
      </w:tc>
      <w:tc>
        <w:tcPr>
          <w:tcW w:type="dxa" w:w="2160"/>
          <w:tcMar>
            <w:top w:w="20" w:type="dxa"/>
            <w:start w:w="0" w:type="dxa"/>
            <w:bottom w:w="0" w:type="dxa"/>
            <w:end w:w="0" w:type="dxa"/>
          </w:tcMar>
        </w:tcPr>
        <w:p>
          <w:pPr>
            <w:jc w:val="right"/>
          </w:pPr>
          <w:r>
            <w:rPr>
              <w:rFonts w:ascii="Cascadia Mono" w:hAnsi="Cascadia Mono" w:eastAsia="Cascadia Mono"/>
              <w:color w:val="526059"/>
              <w:sz w:val="14"/>
            </w:rPr>
            <w:t xml:space="preserve">PAGE </w:t>
          </w:r>
          <w:r>
            <w:rPr>
              <w:rFonts w:ascii="Cascadia Mono" w:hAnsi="Cascadia Mono" w:eastAsia="Cascadia Mono"/>
              <w:color w:val="526059"/>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tcMar>
            <w:top w:w="0" w:type="dxa"/>
            <w:start w:w="0" w:type="dxa"/>
            <w:bottom w:w="20" w:type="dxa"/>
            <w:end w:w="0" w:type="dxa"/>
          </w:tcMar>
          <w:vAlign w:val="center"/>
        </w:tcPr>
        <w:p>
          <w:pPr>
            <w:spacing w:after="0"/>
          </w:pPr>
          <w:r>
            <w:rPr>
              <w:rFonts w:ascii="Segoe UI Variable Display" w:hAnsi="Segoe UI Variable Display" w:eastAsia="Segoe UI Variable Display"/>
              <w:b/>
              <w:color w:val="07100E"/>
              <w:sz w:val="18"/>
            </w:rPr>
            <w:t>AllianceOne</w:t>
          </w:r>
        </w:p>
      </w:tc>
      <w:tc>
        <w:tcPr>
          <w:tcW w:type="dxa" w:w="4680"/>
          <w:tcMar>
            <w:top w:w="0" w:type="dxa"/>
            <w:start w:w="0" w:type="dxa"/>
            <w:bottom w:w="20" w:type="dxa"/>
            <w:end w:w="0" w:type="dxa"/>
          </w:tcMar>
          <w:vAlign w:val="center"/>
        </w:tcPr>
        <w:p>
          <w:pPr>
            <w:spacing w:after="0"/>
            <w:jc w:val="right"/>
          </w:pPr>
          <w:r>
            <w:rPr>
              <w:rFonts w:ascii="Cascadia Mono" w:hAnsi="Cascadia Mono" w:eastAsia="Cascadia Mono"/>
              <w:b/>
              <w:color w:val="526059"/>
              <w:sz w:val="14"/>
            </w:rPr>
            <w:t>PRE-SEED BUSINESS CASE</w:t>
          </w:r>
        </w:p>
      </w:tc>
    </w:tr>
  </w:tbl>
  <w:p>
    <w:pPr>
      <w:spacing w:before="0" w:after="0"/>
      <w:pBdr>
        <w:bottom w:val="single" w:sz="8" w:space="0" w:color="86C43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Segoe UI" w:hAnsi="Segoe UI"/>
      <w:color w:val="07100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Segoe UI Variable Display" w:hAnsi="Segoe UI Variable Display"/>
      <w:b/>
      <w:bCs/>
      <w:color w:val="07100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Variable Display" w:hAnsi="Segoe UI Variable Display"/>
      <w:b/>
      <w:bCs/>
      <w:color w:val="10291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Variable Display" w:hAnsi="Segoe UI Variable Display"/>
      <w:b/>
      <w:bCs/>
      <w:color w:val="1029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Cascadia Mono" w:hAnsi="Cascadia Mono"/>
      <w:b/>
      <w:color w:val="5260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ensus.gov/data/tables/2022/econ/susb/2022-susb-annual.html" TargetMode="External"/><Relationship Id="rId13" Type="http://schemas.openxmlformats.org/officeDocument/2006/relationships/hyperlink" Target="https://www.bls.gov/opub/mlr/2026/article/industry-and-occupational-employment-projections-overview.htm" TargetMode="External"/><Relationship Id="rId14" Type="http://schemas.openxmlformats.org/officeDocument/2006/relationships/hyperlink" Target="https://carta.com/data/state-of-pre-seed-q2-2025/" TargetMode="External"/><Relationship Id="rId15" Type="http://schemas.openxmlformats.org/officeDocument/2006/relationships/hyperlink" Target="https://carta.com/data/startup-compensation-h2-2025/" TargetMode="External"/><Relationship Id="rId16" Type="http://schemas.openxmlformats.org/officeDocument/2006/relationships/hyperlink" Target="https://www.mckinsey.com/capabilities/quantumblack/our-insights/the-state-of-ai" TargetMode="External"/><Relationship Id="rId17" Type="http://schemas.openxmlformats.org/officeDocument/2006/relationships/hyperlink" Target="https://www.thomsonreuters.com/en/reports/2026-ai-in-professional-services-report" TargetMode="External"/><Relationship Id="rId18" Type="http://schemas.openxmlformats.org/officeDocument/2006/relationships/hyperlink" Target="https://www.deltek.com/resources/articles/5-kpis-from-the-spi-professional-services-maturity-benchmark-report-every-pso-must-track-for-sustainable-growth/" TargetMode="External"/><Relationship Id="rId19" Type="http://schemas.openxmlformats.org/officeDocument/2006/relationships/hyperlink" Target="https://www.aicpa-cima.com/soc" TargetMode="External"/><Relationship Id="rId20" Type="http://schemas.openxmlformats.org/officeDocument/2006/relationships/hyperlink" Target="https://www.ssa.gov/OACT/cola/cbb.html" TargetMode="External"/><Relationship Id="rId21" Type="http://schemas.openxmlformats.org/officeDocument/2006/relationships/hyperlink" Target="https://www.irs.gov/publications/p15" TargetMode="External"/><Relationship Id="rId22" Type="http://schemas.openxmlformats.org/officeDocument/2006/relationships/hyperlink" Target="https://mn.gov/uimn/employers/wages-taxes/tax-rates/" TargetMode="External"/><Relationship Id="rId23" Type="http://schemas.openxmlformats.org/officeDocument/2006/relationships/hyperlink" Target="https://mn.gov/uimn/employers/wages-taxes/tax-rates/new-employer-rates.jsp" TargetMode="External"/><Relationship Id="rId24" Type="http://schemas.openxmlformats.org/officeDocument/2006/relationships/hyperlink" Target="https://mn.gov/deed/newscenter/press-releases/?id=1045-670064" TargetMode="External"/><Relationship Id="rId25" Type="http://schemas.openxmlformats.org/officeDocument/2006/relationships/hyperlink" Target="https://www.dli.mn.gov/business/workers-compensation/work-comp-who-needs-workers-compensation-co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AllianceOne Pre-Seed Business Case</dc:title>
  <dc:subject>Financing case, market assessment, operating plan, and proof milestones</dc:subject>
  <dc:creator>AllianceOne</dc:creator>
  <cp:keywords>AllianceOne, pre-seed, professional services, engagement intent, fundraising</cp:keywords>
  <dc:description>generated by python-docx</dc:description>
  <cp:lastModifiedBy/>
  <cp:revision>1</cp:revision>
  <dcterms:created xsi:type="dcterms:W3CDTF">2013-12-23T23:15:00Z</dcterms:created>
  <dcterms:modified xsi:type="dcterms:W3CDTF">2013-12-23T23:15:00Z</dcterms:modified>
  <cp:category/>
</cp:coreProperties>
</file>