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Data readiness assessment</w:t>
      </w:r>
    </w:p>
    <w:p>
      <w:pPr>
        <w:pStyle w:val="Subtitle"/>
      </w:pPr>
      <w:r>
        <w:t>Northstar Foods</w:t>
        <w:br/>
        <w:t>Decision rights and operating model</w:t>
      </w:r>
    </w:p>
    <w:p>
      <w:r>
        <w:rPr>
          <w:sz w:val="18"/>
        </w:rPr>
        <w:t>Prepared by Avery Ross  |  Reviewed by Sofia Patel</w:t>
        <w:br/>
        <w:t>September 7, 2026  |  Approved revision 2</w:t>
      </w:r>
    </w:p>
    <w:p>
      <w:pPr>
        <w:pStyle w:val="Heading1"/>
      </w:pPr>
      <w:r>
        <w:t>Executive assessment</w:t>
      </w:r>
    </w:p>
    <w:p>
      <w:r>
        <w:rPr>
          <w:b/>
        </w:rPr>
        <w:t>Proceed with diagnosis; hold the affected design decisions.</w:t>
      </w:r>
    </w:p>
    <w:p>
      <w:r>
        <w:t>The evidence supports a bounded diagnostic, not an eight-region design-readiness conclusion. Six regional extracts have been received. Two absent extracts, incomplete Northeast ownership fields and Central’s older inventory leave material questions about who makes decisions today. These gaps affect the completeness and reliability of the diagnostic baseline; they are not evidence that the proposed operating model is wrong.</w:t>
      </w:r>
    </w:p>
    <w:p>
      <w:pPr>
        <w:pStyle w:val="Heading2"/>
      </w:pPr>
      <w:r>
        <w:t>Proceed  Initial diagnostic work</w:t>
      </w:r>
    </w:p>
    <w:p>
      <w:r>
        <w:t>Use the six supplied extracts to identify decision patterns and prepare validation questions. Record the coverage and source date of each material finding.</w:t>
      </w:r>
    </w:p>
    <w:p>
      <w:pPr>
        <w:pStyle w:val="Heading2"/>
      </w:pPr>
      <w:r>
        <w:t>Conditional  Ownership and escalation design</w:t>
      </w:r>
    </w:p>
    <w:p>
      <w:r>
        <w:t>Validate Northeast decision owners and establish whether Central’s inventory remains current before relying on those records for design.</w:t>
      </w:r>
    </w:p>
    <w:p>
      <w:pPr>
        <w:pStyle w:val="Heading2"/>
      </w:pPr>
      <w:r>
        <w:t>Hold  Eight-region diagnostic baseline</w:t>
      </w:r>
    </w:p>
    <w:p>
      <w:r>
        <w:t>Do not generalize to West or Southeast until their evidence and regional responses are received. Sofia reviews the residual gaps before Margaret accepts the baseline.</w:t>
      </w:r>
    </w:p>
    <w:p>
      <w:pPr>
        <w:pStyle w:val="Heading1"/>
      </w:pPr>
      <w:r>
        <w:t>Assessment method</w:t>
      </w:r>
    </w:p>
    <w:p>
      <w:r>
        <w:rPr>
          <w:b/>
        </w:rPr>
        <w:t xml:space="preserve">Coverage. </w:t>
      </w:r>
      <w:r>
        <w:t>Reconcile the evidence register to all eight regions and the decisions in scope.</w:t>
      </w:r>
    </w:p>
    <w:p>
      <w:r>
        <w:rPr>
          <w:b/>
        </w:rPr>
        <w:t xml:space="preserve">Currency. </w:t>
      </w:r>
      <w:r>
        <w:t>Check the source period and ask whether subsequent operating changes invalidate the record.</w:t>
      </w:r>
    </w:p>
    <w:p>
      <w:r>
        <w:rPr>
          <w:b/>
        </w:rPr>
        <w:t xml:space="preserve">Completeness. </w:t>
      </w:r>
      <w:r>
        <w:t>Identify missing decision owners, unresolved ownership disputes and absent regional responses.</w:t>
      </w:r>
    </w:p>
    <w:p>
      <w:r>
        <w:rPr>
          <w:b/>
        </w:rPr>
        <w:t xml:space="preserve">Traceability. </w:t>
      </w:r>
      <w:r>
        <w:t>Retain the source, date and validation response behind each finding; separate observed ownership from proposed design.</w:t>
      </w:r>
    </w:p>
    <w:p>
      <w:r>
        <w:br w:type="page"/>
      </w:r>
    </w:p>
    <w:p>
      <w:pPr>
        <w:pStyle w:val="Heading1"/>
      </w:pPr>
      <w:r>
        <w:t>Findings and decision limits</w:t>
      </w:r>
    </w:p>
    <w:p>
      <w:pPr>
        <w:pStyle w:val="Heading2"/>
      </w:pPr>
      <w:r>
        <w:t>F01  Regional coverage is incomplete</w:t>
      </w:r>
    </w:p>
    <w:p>
      <w:r>
        <w:rPr>
          <w:i/>
          <w:sz w:val="18"/>
        </w:rPr>
        <w:t>NS-DATA01 · coverage log, reviewed September 7</w:t>
      </w:r>
    </w:p>
    <w:p>
      <w:r>
        <w:t>Six of eight regional extracts are received. West and Southeast remain outstanding.</w:t>
      </w:r>
    </w:p>
    <w:p>
      <w:r>
        <w:rPr>
          <w:b/>
        </w:rPr>
        <w:t xml:space="preserve">Decision consequence. </w:t>
      </w:r>
      <w:r>
        <w:t>Cross-region findings must state their six-region coverage. The team cannot yet conclude that the ownership pattern applies across Northstar.</w:t>
      </w:r>
    </w:p>
    <w:p>
      <w:r>
        <w:rPr>
          <w:b/>
        </w:rPr>
        <w:t xml:space="preserve">Release condition. </w:t>
      </w:r>
      <w:r>
        <w:t>Receive both extracts, record their coverage and dates, and obtain regional responses to the diagnostic questions.</w:t>
      </w:r>
    </w:p>
    <w:p>
      <w:pPr>
        <w:pStyle w:val="Heading2"/>
      </w:pPr>
      <w:r>
        <w:t>F02  Northeast ownership requires validation</w:t>
      </w:r>
    </w:p>
    <w:p>
      <w:r>
        <w:rPr>
          <w:i/>
          <w:sz w:val="18"/>
        </w:rPr>
        <w:t>NS-DATA01 · Northeast ownership exceptions</w:t>
      </w:r>
    </w:p>
    <w:p>
      <w:r>
        <w:t>The supplied extract has incomplete decision-owner fields. A missing field does not identify who currently holds the decision right.</w:t>
      </w:r>
    </w:p>
    <w:p>
      <w:r>
        <w:rPr>
          <w:b/>
        </w:rPr>
        <w:t xml:space="preserve">Decision consequence. </w:t>
      </w:r>
      <w:r>
        <w:t>Do not present proposed owners as observed facts. Decisions that depend on those owners remain conditional until the regional lead validates them.</w:t>
      </w:r>
    </w:p>
    <w:p>
      <w:r>
        <w:rPr>
          <w:b/>
        </w:rPr>
        <w:t xml:space="preserve">Release condition. </w:t>
      </w:r>
      <w:r>
        <w:t>Record the observed owner, source and dated regional response; retain any dispute for Sofia’s review.</w:t>
      </w:r>
    </w:p>
    <w:p>
      <w:pPr>
        <w:pStyle w:val="Heading2"/>
      </w:pPr>
      <w:r>
        <w:t>F03  Central’s inventory may not reflect current operations</w:t>
      </w:r>
    </w:p>
    <w:p>
      <w:r>
        <w:rPr>
          <w:i/>
          <w:sz w:val="18"/>
        </w:rPr>
        <w:t>NS-DATA01 · Central inventory source-period note</w:t>
      </w:r>
    </w:p>
    <w:p>
      <w:r>
        <w:t>Central supplied a prior-quarter inventory. Its age is established; its suitability for the current diagnostic remains unresolved.</w:t>
      </w:r>
    </w:p>
    <w:p>
      <w:r>
        <w:rPr>
          <w:b/>
        </w:rPr>
        <w:t xml:space="preserve">Decision consequence. </w:t>
      </w:r>
      <w:r>
        <w:t>Use the inventory to frame questions, with its period visible. Do not treat it as confirmation of current ownership or escalation routes.</w:t>
      </w:r>
    </w:p>
    <w:p>
      <w:r>
        <w:rPr>
          <w:b/>
        </w:rPr>
        <w:t xml:space="preserve">Release condition. </w:t>
      </w:r>
      <w:r>
        <w:t>Obtain a current extract or a dated confirmation identifying subsequent changes and confirming which entries remain valid.</w:t>
      </w:r>
    </w:p>
    <w:p>
      <w:pPr>
        <w:pStyle w:val="Heading1"/>
      </w:pPr>
      <w:r>
        <w:t>Assessment boundaries</w:t>
      </w:r>
    </w:p>
    <w:p>
      <w:r>
        <w:t>Receipt of an extract establishes availability, not validated ownership or readiness. This report does not certify data quality across all fields, conclude that every supplied region is ready for design, or assess implementation readiness. Implementation remains outside the accepted scope.</w:t>
      </w:r>
    </w:p>
    <w:p>
      <w:r>
        <w:br w:type="page"/>
      </w:r>
    </w:p>
    <w:p>
      <w:pPr>
        <w:pStyle w:val="Heading1"/>
      </w:pPr>
      <w:r>
        <w:t>Actions before the diagnostic baseline</w:t>
      </w:r>
    </w:p>
    <w:p>
      <w:r>
        <w:t>Follow-up targets precede the September 11 baseline gate. Northstar owns its evidence; Avery coordinates validation and Sofia reviews the remaining conditions.</w:t>
      </w:r>
    </w:p>
    <w:tbl>
      <w:tblPr>
        <w:tblW w:type="auto" w:w="0"/>
        <w:tblLayout w:type="fixed"/>
        <w:tblLook w:firstColumn="1" w:firstRow="1" w:lastColumn="0" w:lastRow="0" w:noHBand="0" w:noVBand="1" w:val="04A0"/>
      </w:tblPr>
      <w:tblGrid>
        <w:gridCol w:w="3360"/>
        <w:gridCol w:w="3360"/>
        <w:gridCol w:w="3360"/>
      </w:tblGrid>
      <w:tr>
        <w:trPr>
          <w:tblHeader/>
        </w:trPr>
        <w:tc>
          <w:tcPr>
            <w:tcW w:type="dxa" w:w="5904"/>
            <w:shd w:fill="EAF0F3"/>
          </w:tcPr>
          <w:p>
            <w:r>
              <w:rPr>
                <w:b/>
                <w:sz w:val="18"/>
              </w:rPr>
              <w:t>Action and completion condition</w:t>
            </w:r>
          </w:p>
        </w:tc>
        <w:tc>
          <w:tcPr>
            <w:tcW w:type="dxa" w:w="2736"/>
            <w:shd w:fill="EAF0F3"/>
          </w:tcPr>
          <w:p>
            <w:r>
              <w:rPr>
                <w:b/>
                <w:sz w:val="18"/>
              </w:rPr>
              <w:t>Accountable owner</w:t>
            </w:r>
          </w:p>
        </w:tc>
        <w:tc>
          <w:tcPr>
            <w:tcW w:type="dxa" w:w="1440"/>
            <w:shd w:fill="EAF0F3"/>
          </w:tcPr>
          <w:p>
            <w:r>
              <w:rPr>
                <w:b/>
                <w:sz w:val="18"/>
              </w:rPr>
              <w:t>Target</w:t>
            </w:r>
          </w:p>
        </w:tc>
      </w:tr>
      <w:tr>
        <w:trPr>
          <w:cantSplit/>
        </w:trPr>
        <w:tc>
          <w:tcPr>
            <w:tcW w:type="dxa" w:w="5904"/>
            <w:vAlign w:val="center"/>
            <w:tcMar>
              <w:top w:w="90" w:type="dxa"/>
              <w:bottom w:w="90" w:type="dxa"/>
              <w:start w:w="90" w:type="dxa"/>
              <w:end w:w="90" w:type="dxa"/>
            </w:tcMar>
          </w:tcPr>
          <w:p>
            <w:pPr>
              <w:spacing w:after="60"/>
            </w:pPr>
            <w:r>
              <w:rPr>
                <w:sz w:val="20"/>
              </w:rPr>
              <w:t>A01  Obtain West and Southeast evidence and regional responses</w:t>
              <w:br/>
              <w:t>F01. Both extracts are registered with source dates, coverage and responses to the diagnostic questions.</w:t>
            </w:r>
          </w:p>
        </w:tc>
        <w:tc>
          <w:tcPr>
            <w:tcW w:type="dxa" w:w="2736"/>
            <w:vAlign w:val="center"/>
            <w:tcMar>
              <w:top w:w="90" w:type="dxa"/>
              <w:bottom w:w="90" w:type="dxa"/>
              <w:start w:w="90" w:type="dxa"/>
              <w:end w:w="90" w:type="dxa"/>
            </w:tcMar>
          </w:tcPr>
          <w:p>
            <w:pPr>
              <w:spacing w:after="60"/>
            </w:pPr>
            <w:r>
              <w:rPr>
                <w:sz w:val="20"/>
              </w:rPr>
              <w:t>Northstar regional leads</w:t>
              <w:br/>
              <w:t>Coordinate: Avery Ross</w:t>
            </w:r>
          </w:p>
        </w:tc>
        <w:tc>
          <w:tcPr>
            <w:tcW w:type="dxa" w:w="1440"/>
            <w:vAlign w:val="center"/>
            <w:tcMar>
              <w:top w:w="90" w:type="dxa"/>
              <w:bottom w:w="90" w:type="dxa"/>
              <w:start w:w="90" w:type="dxa"/>
              <w:end w:w="90" w:type="dxa"/>
            </w:tcMar>
          </w:tcPr>
          <w:p>
            <w:pPr>
              <w:spacing w:after="60"/>
            </w:pPr>
            <w:r>
              <w:rPr>
                <w:sz w:val="20"/>
              </w:rPr>
              <w:t>September 9</w:t>
            </w:r>
          </w:p>
        </w:tc>
      </w:tr>
      <w:tr>
        <w:trPr>
          <w:cantSplit/>
        </w:trPr>
        <w:tc>
          <w:tcPr>
            <w:tcW w:type="dxa" w:w="5904"/>
            <w:vAlign w:val="center"/>
            <w:tcMar>
              <w:top w:w="90" w:type="dxa"/>
              <w:bottom w:w="90" w:type="dxa"/>
              <w:start w:w="90" w:type="dxa"/>
              <w:end w:w="90" w:type="dxa"/>
            </w:tcMar>
          </w:tcPr>
          <w:p>
            <w:pPr>
              <w:spacing w:after="60"/>
            </w:pPr>
            <w:r>
              <w:rPr>
                <w:sz w:val="20"/>
              </w:rPr>
              <w:t>A02  Validate Northeast’s missing decision owners</w:t>
              <w:br/>
              <w:t>F02. Observed owners and their supporting records are confirmed; disputes remain identified separately.</w:t>
            </w:r>
          </w:p>
        </w:tc>
        <w:tc>
          <w:tcPr>
            <w:tcW w:type="dxa" w:w="2736"/>
            <w:vAlign w:val="center"/>
            <w:tcMar>
              <w:top w:w="90" w:type="dxa"/>
              <w:bottom w:w="90" w:type="dxa"/>
              <w:start w:w="90" w:type="dxa"/>
              <w:end w:w="90" w:type="dxa"/>
            </w:tcMar>
          </w:tcPr>
          <w:p>
            <w:pPr>
              <w:spacing w:after="60"/>
            </w:pPr>
            <w:r>
              <w:rPr>
                <w:sz w:val="20"/>
              </w:rPr>
              <w:t>Northeast regional lead</w:t>
              <w:br/>
              <w:t>Coordinate: Avery Ross</w:t>
            </w:r>
          </w:p>
        </w:tc>
        <w:tc>
          <w:tcPr>
            <w:tcW w:type="dxa" w:w="1440"/>
            <w:vAlign w:val="center"/>
            <w:tcMar>
              <w:top w:w="90" w:type="dxa"/>
              <w:bottom w:w="90" w:type="dxa"/>
              <w:start w:w="90" w:type="dxa"/>
              <w:end w:w="90" w:type="dxa"/>
            </w:tcMar>
          </w:tcPr>
          <w:p>
            <w:pPr>
              <w:spacing w:after="60"/>
            </w:pPr>
            <w:r>
              <w:rPr>
                <w:sz w:val="20"/>
              </w:rPr>
              <w:t>September 9</w:t>
            </w:r>
          </w:p>
        </w:tc>
      </w:tr>
      <w:tr>
        <w:trPr>
          <w:cantSplit/>
        </w:trPr>
        <w:tc>
          <w:tcPr>
            <w:tcW w:type="dxa" w:w="5904"/>
            <w:vAlign w:val="center"/>
            <w:tcMar>
              <w:top w:w="90" w:type="dxa"/>
              <w:bottom w:w="90" w:type="dxa"/>
              <w:start w:w="90" w:type="dxa"/>
              <w:end w:w="90" w:type="dxa"/>
            </w:tcMar>
          </w:tcPr>
          <w:p>
            <w:pPr>
              <w:spacing w:after="60"/>
            </w:pPr>
            <w:r>
              <w:rPr>
                <w:sz w:val="20"/>
              </w:rPr>
              <w:t>A03  Confirm Central’s inventory or replace it</w:t>
              <w:br/>
              <w:t>F03. A current extract or dated confirmation explains which entries remain valid and what changed.</w:t>
            </w:r>
          </w:p>
        </w:tc>
        <w:tc>
          <w:tcPr>
            <w:tcW w:type="dxa" w:w="2736"/>
            <w:vAlign w:val="center"/>
            <w:tcMar>
              <w:top w:w="90" w:type="dxa"/>
              <w:bottom w:w="90" w:type="dxa"/>
              <w:start w:w="90" w:type="dxa"/>
              <w:end w:w="90" w:type="dxa"/>
            </w:tcMar>
          </w:tcPr>
          <w:p>
            <w:pPr>
              <w:spacing w:after="60"/>
            </w:pPr>
            <w:r>
              <w:rPr>
                <w:sz w:val="20"/>
              </w:rPr>
              <w:t>Central regional lead</w:t>
              <w:br/>
              <w:t>Coordinate: Avery Ross</w:t>
            </w:r>
          </w:p>
        </w:tc>
        <w:tc>
          <w:tcPr>
            <w:tcW w:type="dxa" w:w="1440"/>
            <w:vAlign w:val="center"/>
            <w:tcMar>
              <w:top w:w="90" w:type="dxa"/>
              <w:bottom w:w="90" w:type="dxa"/>
              <w:start w:w="90" w:type="dxa"/>
              <w:end w:w="90" w:type="dxa"/>
            </w:tcMar>
          </w:tcPr>
          <w:p>
            <w:pPr>
              <w:spacing w:after="60"/>
            </w:pPr>
            <w:r>
              <w:rPr>
                <w:sz w:val="20"/>
              </w:rPr>
              <w:t>September 9</w:t>
            </w:r>
          </w:p>
        </w:tc>
      </w:tr>
      <w:tr>
        <w:trPr>
          <w:cantSplit/>
        </w:trPr>
        <w:tc>
          <w:tcPr>
            <w:tcW w:type="dxa" w:w="5904"/>
            <w:vAlign w:val="center"/>
            <w:tcMar>
              <w:top w:w="90" w:type="dxa"/>
              <w:bottom w:w="90" w:type="dxa"/>
              <w:start w:w="90" w:type="dxa"/>
              <w:end w:w="90" w:type="dxa"/>
            </w:tcMar>
          </w:tcPr>
          <w:p>
            <w:pPr>
              <w:spacing w:after="60"/>
            </w:pPr>
            <w:r>
              <w:rPr>
                <w:sz w:val="20"/>
              </w:rPr>
              <w:t>A04  Review the evidence exceptions before the baseline gate</w:t>
              <w:br/>
              <w:t>F01–F03. The diagnostic baseline records resolved gaps, remaining conditions and Margaret’s acceptance decision.</w:t>
            </w:r>
          </w:p>
        </w:tc>
        <w:tc>
          <w:tcPr>
            <w:tcW w:type="dxa" w:w="2736"/>
            <w:vAlign w:val="center"/>
            <w:tcMar>
              <w:top w:w="90" w:type="dxa"/>
              <w:bottom w:w="90" w:type="dxa"/>
              <w:start w:w="90" w:type="dxa"/>
              <w:end w:w="90" w:type="dxa"/>
            </w:tcMar>
          </w:tcPr>
          <w:p>
            <w:pPr>
              <w:spacing w:after="60"/>
            </w:pPr>
            <w:r>
              <w:rPr>
                <w:sz w:val="20"/>
              </w:rPr>
              <w:t>Sofia Patel</w:t>
              <w:br/>
              <w:t>Coordinate: Margaret Whitfield</w:t>
            </w:r>
          </w:p>
        </w:tc>
        <w:tc>
          <w:tcPr>
            <w:tcW w:type="dxa" w:w="1440"/>
            <w:vAlign w:val="center"/>
            <w:tcMar>
              <w:top w:w="90" w:type="dxa"/>
              <w:bottom w:w="90" w:type="dxa"/>
              <w:start w:w="90" w:type="dxa"/>
              <w:end w:w="90" w:type="dxa"/>
            </w:tcMar>
          </w:tcPr>
          <w:p>
            <w:pPr>
              <w:spacing w:after="60"/>
            </w:pPr>
            <w:r>
              <w:rPr>
                <w:sz w:val="20"/>
              </w:rPr>
              <w:t>September 11</w:t>
            </w:r>
          </w:p>
        </w:tc>
      </w:tr>
    </w:tbl>
    <w:p>
      <w:pPr>
        <w:pStyle w:val="Heading1"/>
      </w:pPr>
      <w:r>
        <w:t>Reviewed revision</w:t>
      </w:r>
    </w:p>
    <w:p>
      <w:r>
        <w:t>Sofia’s review of revision 1 challenged the jump from evidence received to design readiness. Revision 2 makes each finding’s decision consequence and release condition explicit, assigns follow-up owners and dates, and prevents a six-region diagnostic from being presented as an eight-region conclusion. Approval of the report does not close the client’s outstanding evidence actions.</w:t>
      </w:r>
    </w:p>
    <w:p>
      <w:pPr>
        <w:pStyle w:val="Heading1"/>
      </w:pPr>
      <w:r>
        <w:t>Source register</w:t>
      </w:r>
    </w:p>
    <w:p>
      <w:r>
        <w:rPr>
          <w:b/>
          <w:sz w:val="20"/>
        </w:rPr>
        <w:t xml:space="preserve">S01  NS-DATA01 · Regional evidence register. </w:t>
      </w:r>
      <w:r>
        <w:rPr>
          <w:sz w:val="20"/>
        </w:rPr>
        <w:t>Northstar evidence: receipt status, ownership exceptions and source periods. Reviewed September 7, 2026.</w:t>
      </w:r>
    </w:p>
    <w:p>
      <w:r>
        <w:rPr>
          <w:b/>
          <w:sz w:val="20"/>
        </w:rPr>
        <w:t xml:space="preserve">S02  Approved engagement plan v1 · NS-D01 / G1. </w:t>
      </w:r>
      <w:r>
        <w:rPr>
          <w:sz w:val="20"/>
        </w:rPr>
        <w:t>Assignment: Avery, 36 hours, September 7; Sofia reviews before the September 11 diagnostic baseline.</w:t>
      </w:r>
    </w:p>
    <w:p>
      <w:r>
        <w:rPr>
          <w:b/>
          <w:sz w:val="20"/>
        </w:rPr>
        <w:t xml:space="preserve">S03  Data Readiness Assessment · Practice library. </w:t>
      </w:r>
      <w:r>
        <w:rPr>
          <w:sz w:val="20"/>
        </w:rPr>
        <w:t>Firm method: coverage, currency, completeness, traceability and the report structure.</w:t>
      </w:r>
    </w:p>
    <w:p>
      <w:r>
        <w:rPr>
          <w:b/>
          <w:sz w:val="20"/>
        </w:rPr>
        <w:t xml:space="preserve">S04  Evidence review guidance · Shared by Sofia. </w:t>
      </w:r>
      <w:r>
        <w:rPr>
          <w:sz w:val="20"/>
        </w:rPr>
        <w:t>Approved guidance on observed versus proposed ownership, source dates and unresolved conflicts. Informs the method; does not establish facts about Northstar.</w:t>
      </w:r>
    </w:p>
    <w:sectPr w:rsidR="00FC693F" w:rsidRPr="0006063C" w:rsidSect="00034616">
      <w:headerReference w:type="default" r:id="rId9"/>
      <w:footerReference w:type="default" r:id="rId10"/>
      <w:pgSz w:w="12240" w:h="15840"/>
      <w:pgMar w:top="1080" w:right="1080" w:bottom="1008"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Northstar Foods  |  Confidential  |  September 7,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246888" cy="246888"/>
          <wp:docPr id="1" name="Picture 1"/>
          <wp:cNvGraphicFramePr>
            <a:graphicFrameLocks noChangeAspect="1"/>
          </wp:cNvGraphicFramePr>
          <a:graphic>
            <a:graphicData uri="http://schemas.openxmlformats.org/drawingml/2006/picture">
              <pic:pic>
                <pic:nvPicPr>
                  <pic:cNvPr id="0" name="alliance-systems-group-mark-refined.png"/>
                  <pic:cNvPicPr/>
                </pic:nvPicPr>
                <pic:blipFill>
                  <a:blip r:embed="rId1"/>
                  <a:stretch>
                    <a:fillRect/>
                  </a:stretch>
                </pic:blipFill>
                <pic:spPr>
                  <a:xfrm>
                    <a:off x="0" y="0"/>
                    <a:ext cx="246888" cy="246888"/>
                  </a:xfrm>
                  <a:prstGeom prst="rect"/>
                </pic:spPr>
              </pic:pic>
            </a:graphicData>
          </a:graphic>
        </wp:inline>
      </w:drawing>
    </w:r>
    <w:r>
      <w:rPr>
        <w:sz w:val="18"/>
      </w:rPr>
      <w:t xml:space="preserve">  ALLIANCE SYSTEMS GROUP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0" w:lineRule="auto" w:after="12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libri" w:hAnsi="Calibri"/>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contextualSpacing/>
    </w:pPr>
    <w:rPr>
      <w:rFonts w:asciiTheme="majorHAnsi" w:eastAsiaTheme="majorEastAsia" w:hAnsiTheme="majorHAnsi" w:cstheme="majorBidi" w:ascii="Calibri" w:hAnsi="Calibri"/>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readiness assessment</dc:title>
  <dc:subject>Northstar Foods operating-model diagnostic</dc:subject>
  <dc:creator>Avery Ross</dc:creator>
  <cp:keywords/>
  <dc:description>generated by python-docx</dc:description>
  <cp:lastModifiedBy>Sofia Patel</cp:lastModifiedBy>
  <cp:revision>2</cp:revision>
  <dcterms:created xsi:type="dcterms:W3CDTF">2026-09-07T00:00:00Z</dcterms:created>
  <dcterms:modified xsi:type="dcterms:W3CDTF">2026-09-07T00:00:00Z</dcterms:modified>
  <cp:category/>
  <dc:identifier>NS-DR01-R2</dc:identifier>
</cp:coreProperties>
</file>