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Sample Business Plan</w:t>
      </w:r>
    </w:p>
    <w:p>
      <w:pPr>
        <w:pStyle w:val="Heading1"/>
      </w:pPr>
      <w:r>
        <w:t xml:space="preserve">Company Overview</w:t>
      </w:r>
    </w:p>
    <w:p>
      <w:r>
        <w:t xml:space="preserve">This synthetic business plan is generated for regression and performance testing only. It contains representative structure, no customer data, and enough content to exercise the DOCX extraction paths reliably.</w:t>
      </w:r>
    </w:p>
    <w:p>
      <w:pPr>
        <w:pStyle w:val="Heading2"/>
      </w:pPr>
      <w:r>
        <w:t xml:space="preserve">Company Overview Detail</w:t>
      </w:r>
    </w:p>
    <w:p>
      <w:r>
        <w:t xml:space="preserve">This synthetic business plan is generated for regression and performance testing only. It contains representative structure, no customer data, and enough content to exercise the DOCX extraction paths reliably. The plan assumes disciplined monthly reviews, supplier scorecards, and staged capital allocation tied to working capital limits.</w:t>
      </w:r>
    </w:p>
    <w:p>
      <w:pPr>
        <w:pStyle w:val="Heading3"/>
      </w:pPr>
      <w:r>
        <w:t xml:space="preserve">Company Overview Actions</w:t>
      </w:r>
    </w:p>
    <w:p>
      <w:pPr>
        <w:pStyle w:val="Heading1"/>
      </w:pPr>
      <w:r>
        <w:t xml:space="preserve">Operations Plan</w:t>
      </w:r>
    </w:p>
    <w:p>
      <w:r>
        <w:t xml:space="preserve">Operations focus on resilient sourcing, line balancing, inventory controls, and seasonal demand planning across farming, processing, and outbound distribution checkpoints.</w:t>
      </w:r>
    </w:p>
    <w:p>
      <w:pPr>
        <w:pStyle w:val="Heading2"/>
      </w:pPr>
      <w:r>
        <w:t xml:space="preserve">Operations Plan Detail</w:t>
      </w:r>
    </w:p>
    <w:p>
      <w:r>
        <w:t xml:space="preserve">Operations focus on resilient sourcing, line balancing, inventory controls, and seasonal demand planning across farming, processing, and outbound distribution checkpoints. The plan assumes disciplined monthly reviews, supplier scorecards, and staged capital allocation tied to working capital limits.</w:t>
      </w:r>
    </w:p>
    <w:p>
      <w:pPr>
        <w:pStyle w:val="Heading3"/>
      </w:pPr>
      <w:r>
        <w:t xml:space="preserve">Operations Plan Actions</w:t>
      </w:r>
    </w:p>
    <w:p>
      <w:pPr>
        <w:pStyle w:val="Heading1"/>
      </w:pPr>
      <w:r>
        <w:t xml:space="preserve">Market Strategy</w:t>
      </w:r>
    </w:p>
    <w:p>
      <w:r>
        <w:t xml:space="preserve">The market strategy combines farmer outreach, partner channels, price discipline, and a staged regional launch plan supported by traceability messaging and quality assurances.</w:t>
      </w:r>
    </w:p>
    <w:p>
      <w:pPr>
        <w:pStyle w:val="Heading2"/>
      </w:pPr>
      <w:r>
        <w:t xml:space="preserve">Market Strategy Detail</w:t>
      </w:r>
    </w:p>
    <w:p>
      <w:r>
        <w:t xml:space="preserve">The market strategy combines farmer outreach, partner channels, price discipline, and a staged regional launch plan supported by traceability messaging and quality assurances. The plan assumes disciplined monthly reviews, supplier scorecards, and staged capital allocation tied to working capital limits.</w:t>
      </w:r>
    </w:p>
    <w:p>
      <w:pPr>
        <w:pStyle w:val="Heading3"/>
      </w:pPr>
      <w:r>
        <w:t xml:space="preserve">Market Strategy Actions</w:t>
      </w:r>
    </w:p>
    <w:p>
      <w:pPr>
        <w:pStyle w:val="Heading2"/>
      </w:pPr>
      <w:r>
        <w:t xml:space="preserve">Priority Actions</w:t>
      </w:r>
    </w:p>
    <w:p>
      <w:pPr>
        <w:pStyle w:val="ListBullet"/>
      </w:pPr>
      <w:r>
        <w:t xml:space="preserve">Build a resilient smallholder supply network</w:t>
      </w:r>
    </w:p>
    <w:p>
      <w:pPr>
        <w:pStyle w:val="ListBullet"/>
      </w:pPr>
      <w:r>
        <w:t xml:space="preserve">Improve production planning with weekly checkpoints</w:t>
      </w:r>
    </w:p>
    <w:p>
      <w:pPr>
        <w:pStyle w:val="ListBullet"/>
      </w:pPr>
      <w:r>
        <w:t xml:space="preserve">Maintain export-grade quality controls</w:t>
      </w:r>
    </w:p>
    <w:p>
      <w:pPr>
        <w:pStyle w:val="ListBullet"/>
      </w:pPr>
      <w:r>
        <w:t xml:space="preserve">Expand into two adjacent regional markets</w:t>
      </w:r>
    </w:p>
    <w:p>
      <w:pPr>
        <w:pStyle w:val="Heading2"/>
      </w:pPr>
      <w:r>
        <w:t xml:space="preserve">Revenue Forecast</w:t>
      </w:r>
    </w:p>
    <w:tbl>
      <w:tblPr>
        <w:tblStyle w:val="TableGrid"/>
      </w:tblPr>
      <w:tr>
        <w:tc>
          <w:p>
            <w:r>
              <w:t xml:space="preserve">Year</w:t>
            </w:r>
          </w:p>
        </w:tc>
        <w:tc>
          <w:p>
            <w:r>
              <w:t xml:space="preserve">Volume (tons)</w:t>
            </w:r>
          </w:p>
        </w:tc>
        <w:tc>
          <w:p>
            <w:r>
              <w:t xml:space="preserve">Avg Price</w:t>
            </w:r>
          </w:p>
        </w:tc>
        <w:tc>
          <w:p>
            <w:r>
              <w:t xml:space="preserve">Revenue</w:t>
            </w:r>
          </w:p>
        </w:tc>
        <w:tc>
          <w:p>
            <w:r>
              <w:t xml:space="preserve">Margin</w:t>
            </w:r>
          </w:p>
        </w:tc>
      </w:tr>
      <w:tr>
        <w:tc>
          <w:p>
            <w:r>
              <w:t xml:space="preserve">2026</w:t>
            </w:r>
          </w:p>
        </w:tc>
        <w:tc>
          <w:p>
            <w:r>
              <w:t xml:space="preserve">180</w:t>
            </w:r>
          </w:p>
        </w:tc>
        <w:tc>
          <w:p>
            <w:r>
              <w:t xml:space="preserve">1450</w:t>
            </w:r>
          </w:p>
        </w:tc>
        <w:tc>
          <w:p>
            <w:r>
              <w:t xml:space="preserve">261000</w:t>
            </w:r>
          </w:p>
        </w:tc>
        <w:tc>
          <w:p>
            <w:r>
              <w:t xml:space="preserve">18%</w:t>
            </w:r>
          </w:p>
        </w:tc>
      </w:tr>
      <w:tr>
        <w:tc>
          <w:p>
            <w:r>
              <w:t xml:space="preserve">2027</w:t>
            </w:r>
          </w:p>
        </w:tc>
        <w:tc>
          <w:p>
            <w:r>
              <w:t xml:space="preserve">240</w:t>
            </w:r>
          </w:p>
        </w:tc>
        <w:tc>
          <w:p>
            <w:r>
              <w:t xml:space="preserve">1495</w:t>
            </w:r>
          </w:p>
        </w:tc>
        <w:tc>
          <w:p>
            <w:r>
              <w:t xml:space="preserve">358800</w:t>
            </w:r>
          </w:p>
        </w:tc>
        <w:tc>
          <w:p>
            <w:r>
              <w:t xml:space="preserve">21%</w:t>
            </w:r>
          </w:p>
        </w:tc>
      </w:tr>
      <w:tr>
        <w:tc>
          <w:p>
            <w:r>
              <w:t xml:space="preserve">2028</w:t>
            </w:r>
          </w:p>
        </w:tc>
        <w:tc>
          <w:p>
            <w:r>
              <w:t xml:space="preserve">315</w:t>
            </w:r>
          </w:p>
        </w:tc>
        <w:tc>
          <w:p>
            <w:r>
              <w:t xml:space="preserve">1530</w:t>
            </w:r>
          </w:p>
        </w:tc>
        <w:tc>
          <w:p>
            <w:r>
              <w:t xml:space="preserve">481950</w:t>
            </w:r>
          </w:p>
        </w:tc>
        <w:tc>
          <w:p>
            <w:r>
              <w:t xml:space="preserve">23%</w:t>
            </w:r>
          </w:p>
        </w:tc>
      </w:tr>
      <w:tr>
        <w:tc>
          <w:p>
            <w:r>
              <w:t xml:space="preserve">2029</w:t>
            </w:r>
          </w:p>
        </w:tc>
        <w:tc>
          <w:p>
            <w:r>
              <w:t xml:space="preserve">390</w:t>
            </w:r>
          </w:p>
        </w:tc>
        <w:tc>
          <w:p>
            <w:r>
              <w:t xml:space="preserve">1560</w:t>
            </w:r>
          </w:p>
        </w:tc>
        <w:tc>
          <w:p>
            <w:r>
              <w:t xml:space="preserve">608400</w:t>
            </w:r>
          </w:p>
        </w:tc>
        <w:tc>
          <w:p>
            <w:r>
              <w:t xml:space="preserve">24%</w:t>
            </w:r>
          </w:p>
        </w:tc>
      </w:tr>
      <w:tr>
        <w:tc>
          <w:p>
            <w:r>
              <w:t xml:space="preserve">2030</w:t>
            </w:r>
          </w:p>
        </w:tc>
        <w:tc>
          <w:p>
            <w:r>
              <w:t xml:space="preserve">460</w:t>
            </w:r>
          </w:p>
        </w:tc>
        <w:tc>
          <w:p>
            <w:r>
              <w:t xml:space="preserve">1600</w:t>
            </w:r>
          </w:p>
        </w:tc>
        <w:tc>
          <w:p>
            <w:r>
              <w:t xml:space="preserve">736000</w:t>
            </w:r>
          </w:p>
        </w:tc>
        <w:tc>
          <w:p>
            <w:r>
              <w:t xml:space="preserve">25%</w:t>
            </w:r>
          </w:p>
        </w:tc>
      </w:tr>
    </w:tbl>
    <w:p/>
    <w:p>
      <w:pPr>
        <w:pStyle w:val="Heading2"/>
      </w:pPr>
      <w:r>
        <w:t xml:space="preserve">Operating Costs</w:t>
      </w:r>
    </w:p>
    <w:tbl>
      <w:tblPr>
        <w:tblStyle w:val="TableGrid"/>
      </w:tblPr>
      <w:tr>
        <w:tc>
          <w:p>
            <w:r>
              <w:t xml:space="preserve">Category</w:t>
            </w:r>
          </w:p>
        </w:tc>
        <w:tc>
          <w:p>
            <w:r>
              <w:t xml:space="preserve">Q1</w:t>
            </w:r>
          </w:p>
        </w:tc>
        <w:tc>
          <w:p>
            <w:r>
              <w:t xml:space="preserve">Q2</w:t>
            </w:r>
          </w:p>
        </w:tc>
        <w:tc>
          <w:p>
            <w:r>
              <w:t xml:space="preserve">Q3</w:t>
            </w:r>
          </w:p>
        </w:tc>
        <w:tc>
          <w:p>
            <w:r>
              <w:t xml:space="preserve">Q4</w:t>
            </w:r>
          </w:p>
        </w:tc>
        <w:tc>
          <w:p>
            <w:r>
              <w:t xml:space="preserve">Annual</w:t>
            </w:r>
          </w:p>
        </w:tc>
      </w:tr>
      <w:tr>
        <w:tc>
          <w:p>
            <w:r>
              <w:t xml:space="preserve">Raw materials</w:t>
            </w:r>
          </w:p>
        </w:tc>
        <w:tc>
          <w:p>
            <w:r>
              <w:t xml:space="preserve">42000</w:t>
            </w:r>
          </w:p>
        </w:tc>
        <w:tc>
          <w:p>
            <w:r>
              <w:t xml:space="preserve">45500</w:t>
            </w:r>
          </w:p>
        </w:tc>
        <w:tc>
          <w:p>
            <w:r>
              <w:t xml:space="preserve">47000</w:t>
            </w:r>
          </w:p>
        </w:tc>
        <w:tc>
          <w:p>
            <w:r>
              <w:t xml:space="preserve">49000</w:t>
            </w:r>
          </w:p>
        </w:tc>
        <w:tc>
          <w:p>
            <w:r>
              <w:t xml:space="preserve">183500</w:t>
            </w:r>
          </w:p>
        </w:tc>
      </w:tr>
      <w:tr>
        <w:tc>
          <w:p>
            <w:r>
              <w:t xml:space="preserve">Labor</w:t>
            </w:r>
          </w:p>
        </w:tc>
        <w:tc>
          <w:p>
            <w:r>
              <w:t xml:space="preserve">18000</w:t>
            </w:r>
          </w:p>
        </w:tc>
        <w:tc>
          <w:p>
            <w:r>
              <w:t xml:space="preserve">18250</w:t>
            </w:r>
          </w:p>
        </w:tc>
        <w:tc>
          <w:p>
            <w:r>
              <w:t xml:space="preserve">18500</w:t>
            </w:r>
          </w:p>
        </w:tc>
        <w:tc>
          <w:p>
            <w:r>
              <w:t xml:space="preserve">18800</w:t>
            </w:r>
          </w:p>
        </w:tc>
        <w:tc>
          <w:p>
            <w:r>
              <w:t xml:space="preserve">73550</w:t>
            </w:r>
          </w:p>
        </w:tc>
      </w:tr>
      <w:tr>
        <w:tc>
          <w:p>
            <w:r>
              <w:t xml:space="preserve">Logistics</w:t>
            </w:r>
          </w:p>
        </w:tc>
        <w:tc>
          <w:p>
            <w:r>
              <w:t xml:space="preserve">9500</w:t>
            </w:r>
          </w:p>
        </w:tc>
        <w:tc>
          <w:p>
            <w:r>
              <w:t xml:space="preserve">9800</w:t>
            </w:r>
          </w:p>
        </w:tc>
        <w:tc>
          <w:p>
            <w:r>
              <w:t xml:space="preserve">10100</w:t>
            </w:r>
          </w:p>
        </w:tc>
        <w:tc>
          <w:p>
            <w:r>
              <w:t xml:space="preserve">10400</w:t>
            </w:r>
          </w:p>
        </w:tc>
        <w:tc>
          <w:p>
            <w:r>
              <w:t xml:space="preserve">39800</w:t>
            </w:r>
          </w:p>
        </w:tc>
      </w:tr>
      <w:tr>
        <w:tc>
          <w:p>
            <w:r>
              <w:t xml:space="preserve">Utilities</w:t>
            </w:r>
          </w:p>
        </w:tc>
        <w:tc>
          <w:p>
            <w:r>
              <w:t xml:space="preserve">4300</w:t>
            </w:r>
          </w:p>
        </w:tc>
        <w:tc>
          <w:p>
            <w:r>
              <w:t xml:space="preserve">4400</w:t>
            </w:r>
          </w:p>
        </w:tc>
        <w:tc>
          <w:p>
            <w:r>
              <w:t xml:space="preserve">4500</w:t>
            </w:r>
          </w:p>
        </w:tc>
        <w:tc>
          <w:p>
            <w:r>
              <w:t xml:space="preserve">4650</w:t>
            </w:r>
          </w:p>
        </w:tc>
        <w:tc>
          <w:p>
            <w:r>
              <w:t xml:space="preserve">17850</w:t>
            </w:r>
          </w:p>
        </w:tc>
      </w:tr>
      <w:tr>
        <w:tc>
          <w:p>
            <w:r>
              <w:t xml:space="preserve">Maintenance</w:t>
            </w:r>
          </w:p>
        </w:tc>
        <w:tc>
          <w:p>
            <w:r>
              <w:t xml:space="preserve">2100</w:t>
            </w:r>
          </w:p>
        </w:tc>
        <w:tc>
          <w:p>
            <w:r>
              <w:t xml:space="preserve">1900</w:t>
            </w:r>
          </w:p>
        </w:tc>
        <w:tc>
          <w:p>
            <w:r>
              <w:t xml:space="preserve">2400</w:t>
            </w:r>
          </w:p>
        </w:tc>
        <w:tc>
          <w:p>
            <w:r>
              <w:t xml:space="preserve">2200</w:t>
            </w:r>
          </w:p>
        </w:tc>
        <w:tc>
          <w:p>
            <w:r>
              <w:t xml:space="preserve">8600</w:t>
            </w:r>
          </w:p>
        </w:tc>
      </w:tr>
    </w:tbl>
    <w:p/>
    <w:p>
      <w:pPr>
        <w:pStyle w:val="Heading2"/>
      </w:pPr>
      <w:r>
        <w:t xml:space="preserve">Risk Mitigations</w:t>
      </w:r>
    </w:p>
    <w:tbl>
      <w:tblPr>
        <w:tblStyle w:val="TableGrid"/>
      </w:tblPr>
      <w:tr>
        <w:tc>
          <w:p>
            <w:r>
              <w:t xml:space="preserve">Risk</w:t>
            </w:r>
          </w:p>
        </w:tc>
        <w:tc>
          <w:p>
            <w:r>
              <w:t xml:space="preserve">Likelihood</w:t>
            </w:r>
          </w:p>
        </w:tc>
        <w:tc>
          <w:p>
            <w:r>
              <w:t xml:space="preserve">Impact</w:t>
            </w:r>
          </w:p>
        </w:tc>
        <w:tc>
          <w:p>
            <w:r>
              <w:t xml:space="preserve">Owner</w:t>
            </w:r>
          </w:p>
        </w:tc>
        <w:tc>
          <w:p>
            <w:r>
              <w:t xml:space="preserve">Mitigation</w:t>
            </w:r>
          </w:p>
        </w:tc>
      </w:tr>
      <w:tr>
        <w:tc>
          <w:p>
            <w:r>
              <w:t xml:space="preserve">Drought-driven supply loss</w:t>
            </w:r>
          </w:p>
        </w:tc>
        <w:tc>
          <w:p>
            <w:r>
              <w:t xml:space="preserve">Medium</w:t>
            </w:r>
          </w:p>
        </w:tc>
        <w:tc>
          <w:p>
            <w:r>
              <w:t xml:space="preserve">High</w:t>
            </w:r>
          </w:p>
        </w:tc>
        <w:tc>
          <w:p>
            <w:r>
              <w:t xml:space="preserve">COO</w:t>
            </w:r>
          </w:p>
        </w:tc>
        <w:tc>
          <w:p>
            <w:r>
              <w:t xml:space="preserve">Diversify suppliers and pre-buy inputs</w:t>
            </w:r>
          </w:p>
        </w:tc>
      </w:tr>
      <w:tr>
        <w:tc>
          <w:p>
            <w:r>
              <w:t xml:space="preserve">Processing line downtime</w:t>
            </w:r>
          </w:p>
        </w:tc>
        <w:tc>
          <w:p>
            <w:r>
              <w:t xml:space="preserve">Low</w:t>
            </w:r>
          </w:p>
        </w:tc>
        <w:tc>
          <w:p>
            <w:r>
              <w:t xml:space="preserve">High</w:t>
            </w:r>
          </w:p>
        </w:tc>
        <w:tc>
          <w:p>
            <w:r>
              <w:t xml:space="preserve">Plant Manager</w:t>
            </w:r>
          </w:p>
        </w:tc>
        <w:tc>
          <w:p>
            <w:r>
              <w:t xml:space="preserve">Preventive maintenance calendar</w:t>
            </w:r>
          </w:p>
        </w:tc>
      </w:tr>
      <w:tr>
        <w:tc>
          <w:p>
            <w:r>
              <w:t xml:space="preserve">FX volatility</w:t>
            </w:r>
          </w:p>
        </w:tc>
        <w:tc>
          <w:p>
            <w:r>
              <w:t xml:space="preserve">Medium</w:t>
            </w:r>
          </w:p>
        </w:tc>
        <w:tc>
          <w:p>
            <w:r>
              <w:t xml:space="preserve">Medium</w:t>
            </w:r>
          </w:p>
        </w:tc>
        <w:tc>
          <w:p>
            <w:r>
              <w:t xml:space="preserve">Finance Lead</w:t>
            </w:r>
          </w:p>
        </w:tc>
        <w:tc>
          <w:p>
            <w:r>
              <w:t xml:space="preserve">Quarterly hedge review</w:t>
            </w:r>
          </w:p>
        </w:tc>
      </w:tr>
      <w:tr>
        <w:tc>
          <w:p>
            <w:r>
              <w:t xml:space="preserve">Port congestion</w:t>
            </w:r>
          </w:p>
        </w:tc>
        <w:tc>
          <w:p>
            <w:r>
              <w:t xml:space="preserve">Medium</w:t>
            </w:r>
          </w:p>
        </w:tc>
        <w:tc>
          <w:p>
            <w:r>
              <w:t xml:space="preserve">Medium</w:t>
            </w:r>
          </w:p>
        </w:tc>
        <w:tc>
          <w:p>
            <w:r>
              <w:t xml:space="preserve">Logistics Lead</w:t>
            </w:r>
          </w:p>
        </w:tc>
        <w:tc>
          <w:p>
            <w:r>
              <w:t xml:space="preserve">Two-carrier routing plan</w:t>
            </w:r>
          </w:p>
        </w:tc>
      </w:tr>
      <w:tr>
        <w:tc>
          <w:p>
            <w:r>
              <w:t xml:space="preserve">Quality rejection</w:t>
            </w:r>
          </w:p>
        </w:tc>
        <w:tc>
          <w:p>
            <w:r>
              <w:t xml:space="preserve">Low</w:t>
            </w:r>
          </w:p>
        </w:tc>
        <w:tc>
          <w:p>
            <w:r>
              <w:t xml:space="preserve">High</w:t>
            </w:r>
          </w:p>
        </w:tc>
        <w:tc>
          <w:p>
            <w:r>
              <w:t xml:space="preserve">QA Lead</w:t>
            </w:r>
          </w:p>
        </w:tc>
        <w:tc>
          <w:p>
            <w:r>
              <w:t xml:space="preserve">Lot sampling and traceability audits</w:t>
            </w:r>
          </w:p>
        </w:tc>
      </w:tr>
    </w:tbl>
    <w:p/>
    <w:p>
      <w:pPr>
        <w:pStyle w:val="Heading2"/>
      </w:pPr>
      <w:r>
        <w:t xml:space="preserve">Conclusion</w:t>
      </w:r>
    </w:p>
    <w:p>
      <w:r>
        <w:t xml:space="preserve">This document closes with a summary that repeats the operating thesis: improve farmer resilience, increase throughput, maintain quality, and grow profitably with disciplined risk management.</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qFormat/>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 w:type="paragraph" w:styleId="ListBullet">
    <w:name w:val="List Bullet"/>
    <w:basedOn w:val="Normal"/>
    <w:qFormat/>
  </w:style>
  <w:style w:type="table" w:styleId="TableGrid">
    <w:name w:val="Table Grid"/>
  </w:style>
</w:styles>
</file>

<file path=word/_rels/document.xml.rels><?xml version="1.0" encoding="UTF-8" standalone="yes"?><Relationships xmlns="http://schemas.openxmlformats.org/package/2006/relationships"></Relationships>
</file>