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60"/>
      </w:pPr>
      <w:r>
        <w:rPr/>
        <w:t>PRMS ⇄ Progress Tracker — the pull bridge: how it works, getting started, what remains</w:t>
      </w:r>
    </w:p>
    <w:p>
      <w:pPr>
        <w:keepNext/>
        <w:spacing w:before="0" w:after="20" w:line="252" w:lineRule="auto"/>
      </w:pPr>
      <w:r>
        <w:rPr>
          <w:b/>
          <w:color w:val="555B63"/>
          <w:sz w:val="20"/>
        </w:rPr>
        <w:t>Prepared by:</w:t>
      </w:r>
      <w:r>
        <w:rPr>
          <w:color w:val="555B63"/>
          <w:sz w:val="20"/>
        </w:rPr>
        <w:t xml:space="preserve"> Jose Berenguer, Technical Lead – AI, CGIAR System Organization</w:t>
      </w:r>
    </w:p>
    <w:p>
      <w:pPr>
        <w:keepNext/>
        <w:spacing w:before="0" w:after="20" w:line="252" w:lineRule="auto"/>
      </w:pPr>
      <w:r>
        <w:rPr>
          <w:b/>
          <w:color w:val="555B63"/>
          <w:sz w:val="20"/>
        </w:rPr>
        <w:t>For:</w:t>
      </w:r>
      <w:r>
        <w:rPr>
          <w:color w:val="555B63"/>
          <w:sz w:val="20"/>
        </w:rPr>
        <w:t xml:space="preserve"> the PRMS technical team (Alliance Bioversity–CIAT) and the Portfolio Performance &amp; Results team</w:t>
      </w:r>
    </w:p>
    <w:p>
      <w:pPr>
        <w:keepNext/>
        <w:pBdr>
          <w:bottom w:val="single" w:sz="12" w:space="6" w:color="2E8B8B"/>
        </w:pBdr>
        <w:spacing w:before="0" w:after="200" w:line="252" w:lineRule="auto"/>
      </w:pPr>
      <w:r>
        <w:rPr>
          <w:b/>
          <w:color w:val="555B63"/>
          <w:sz w:val="20"/>
        </w:rPr>
        <w:t>Date:</w:t>
      </w:r>
      <w:r>
        <w:rPr>
          <w:color w:val="555B63"/>
          <w:sz w:val="20"/>
        </w:rPr>
        <w:t xml:space="preserve"> 15 September 2026 · </w:t>
      </w:r>
      <w:r>
        <w:rPr>
          <w:b/>
          <w:color w:val="555B63"/>
          <w:sz w:val="20"/>
        </w:rPr>
        <w:t>Version:</w:t>
      </w:r>
      <w:r>
        <w:rPr>
          <w:color w:val="555B63"/>
          <w:sz w:val="20"/>
        </w:rPr>
        <w:t xml:space="preserve"> 1.0 (draft for review) · </w:t>
      </w:r>
      <w:r>
        <w:rPr>
          <w:b/>
          <w:color w:val="555B63"/>
          <w:sz w:val="20"/>
        </w:rPr>
        <w:t>Companion to:</w:t>
      </w:r>
      <w:r>
        <w:rPr>
          <w:color w:val="555B63"/>
          <w:sz w:val="20"/>
        </w:rPr>
        <w:t xml:space="preserve"> “Progress Tracker → PRMS on-ramp: the record, the five questions, and a proposed way forward” and the FAQ for Programs and Accelerators</w:t>
      </w:r>
    </w:p>
    <w:tbl>
      <w:tblPr>
        <w:tblW w:type="dxa" w:w="9637"/>
        <w:jc w:val="center"/>
        <w:tblBorders>
          <w:top w:val="single" w:sz="4" w:space="0" w:color="9FCACA"/>
          <w:left w:val="single" w:sz="24" w:space="0" w:color="2E8B8B"/>
          <w:bottom w:val="single" w:sz="4" w:space="0" w:color="9FCACA"/>
          <w:right w:val="single" w:sz="4" w:space="0" w:color="9FCACA"/>
          <w:insideH w:val="nil" w:sz="4" w:space="0" w:color="BFC9D4"/>
          <w:insideV w:val="nil" w:sz="4" w:space="0" w:color="BFC9D4"/>
        </w:tblBorders>
        <w:tblLayout w:type="fixed"/>
        <w:tblLayout w:type="fixed"/>
        <w:tblCellMar>
          <w:top w:w="120" w:type="dxa"/>
          <w:left w:w="200" w:type="dxa"/>
          <w:bottom w:w="140" w:type="dxa"/>
          <w:right w:w="200" w:type="dxa"/>
        </w:tblCellMar>
        <w:tblLook w:firstColumn="1" w:firstRow="1" w:lastColumn="0" w:lastRow="0" w:noHBand="0" w:noVBand="1" w:val="04A0"/>
      </w:tblPr>
      <w:tblGrid>
        <w:gridCol w:w="9638"/>
      </w:tblGrid>
      <w:tr>
        <w:tc>
          <w:tcPr>
            <w:tcW w:type="dxa" w:w="9638"/>
            <w:shd w:val="clear" w:color="auto" w:fill="EAF4F4"/>
          </w:tcPr>
          <w:p>
            <w:pPr>
              <w:pStyle w:val="Heading1"/>
              <w:spacing w:before="0" w:after="120"/>
            </w:pPr>
            <w:bookmarkStart w:id="101" w:name="_Toc1"/>
            <w:r>
              <w:rPr>
                <w:color w:val="2E8B8B"/>
              </w:rPr>
              <w:t>In five lines</w:t>
            </w:r>
            <w:bookmarkEnd w:id="101"/>
          </w:p>
          <w:p>
            <w:pPr>
              <w:pStyle w:val="ListNumber"/>
              <w:numPr>
                <w:ilvl w:val="0"/>
                <w:numId w:val="10"/>
              </w:numPr>
              <w:spacing w:after="60" w:line="259" w:lineRule="auto"/>
            </w:pPr>
            <w:r>
              <w:rPr>
                <w:sz w:val="20"/>
              </w:rPr>
              <w:t xml:space="preserve">On </w:t>
            </w:r>
            <w:r>
              <w:rPr>
                <w:b/>
                <w:sz w:val="20"/>
              </w:rPr>
              <w:t>15 September</w:t>
            </w:r>
            <w:r>
              <w:rPr>
                <w:sz w:val="20"/>
              </w:rPr>
              <w:t xml:space="preserve"> the PRMS technical team and Jose agreed that the minimum product is two-way, and that the more valuable half is the </w:t>
            </w:r>
            <w:r>
              <w:rPr>
                <w:b/>
                <w:sz w:val="20"/>
              </w:rPr>
              <w:t>pull</w:t>
            </w:r>
            <w:r>
              <w:rPr>
                <w:sz w:val="20"/>
              </w:rPr>
              <w:t>: when a user is about to report on a KPI in the PRMS Reporting Tool, PRMS fetches the results the Progress Tracker can propose for that KPI (Héctor, Juan Carlos; Juan David: “the technical challenge is very low”).</w:t>
            </w:r>
          </w:p>
          <w:p>
            <w:pPr>
              <w:pStyle w:val="ListNumber"/>
              <w:numPr>
                <w:ilvl w:val="0"/>
                <w:numId w:val="10"/>
              </w:numPr>
              <w:spacing w:after="60" w:line="259" w:lineRule="auto"/>
            </w:pPr>
            <w:r>
              <w:rPr>
                <w:sz w:val="20"/>
              </w:rPr>
              <w:t xml:space="preserve">That half now exists end to end as a working prototype: </w:t>
            </w:r>
            <w:r>
              <w:rPr>
                <w:b/>
                <w:sz w:val="20"/>
              </w:rPr>
              <w:t>three read-only endpoints</w:t>
            </w:r>
            <w:r>
              <w:rPr>
                <w:sz w:val="20"/>
              </w:rPr>
              <w:t xml:space="preserve"> are live on the Progress Tracker Interoperability API (dev and staging; production off by flag), and a </w:t>
            </w:r>
            <w:r>
              <w:rPr>
                <w:b/>
                <w:sz w:val="20"/>
              </w:rPr>
              <w:t>“Progress Tracker” source</w:t>
            </w:r>
            <w:r>
              <w:rPr>
                <w:sz w:val="20"/>
              </w:rPr>
              <w:t xml:space="preserve"> sits inside the Report form of an adjusted local copy of the PRMS Reporting Tool, built from the public code with synthetic data, on the current upstream look and feel.</w:t>
            </w:r>
          </w:p>
          <w:p>
            <w:pPr>
              <w:pStyle w:val="ListNumber"/>
              <w:numPr>
                <w:ilvl w:val="0"/>
                <w:numId w:val="10"/>
              </w:numPr>
              <w:spacing w:after="60" w:line="259" w:lineRule="auto"/>
            </w:pPr>
            <w:r>
              <w:rPr>
                <w:sz w:val="20"/>
              </w:rPr>
              <w:t xml:space="preserve">The operating model is </w:t>
            </w:r>
            <w:r>
              <w:rPr>
                <w:b/>
                <w:sz w:val="20"/>
              </w:rPr>
              <w:t>pull → check → confirm → pre-fill → the user presses Create</w:t>
            </w:r>
            <w:r>
              <w:rPr>
                <w:sz w:val="20"/>
              </w:rPr>
              <w:t>. The API never writes to PRMS; nothing is saved until the user creates; a person finalises every result; PRMS remains the system of record; pooled Window 1/2 programs only — the same story as the FAQ and the on-ramp document.</w:t>
            </w:r>
          </w:p>
          <w:p>
            <w:pPr>
              <w:pStyle w:val="ListNumber"/>
              <w:numPr>
                <w:ilvl w:val="0"/>
                <w:numId w:val="10"/>
              </w:numPr>
              <w:spacing w:after="60" w:line="259" w:lineRule="auto"/>
            </w:pPr>
            <w:r>
              <w:rPr>
                <w:sz w:val="20"/>
              </w:rPr>
              <w:t xml:space="preserve">Getting started is one GET — </w:t>
            </w:r>
            <w:r>
              <w:rPr>
                <w:rFonts w:ascii="Consolas" w:hAnsi="Consolas"/>
                <w:color w:val="1F3A5F"/>
                <w:sz w:val="18"/>
              </w:rPr>
              <w:t>…/dev/api/prms/indicators/{indicator_id}/results</w:t>
            </w:r>
            <w:r>
              <w:rPr>
                <w:sz w:val="20"/>
              </w:rPr>
              <w:t xml:space="preserve"> — with interactive documentation at </w:t>
            </w:r>
            <w:r>
              <w:rPr>
                <w:rFonts w:ascii="Consolas" w:hAnsi="Consolas"/>
                <w:color w:val="1F3A5F"/>
                <w:sz w:val="18"/>
              </w:rPr>
              <w:t>…/dev/docs</w:t>
            </w:r>
            <w:r>
              <w:rPr>
                <w:sz w:val="20"/>
              </w:rPr>
              <w:t>. A first draft for a KPI with evidence costs about US$0.01 and 20 seconds; every later call is served from cache in 0.2 s. Sections 4 to 7 give the URLs, real responses, the field table and the numbered port list for the real Reporting Tool.</w:t>
            </w:r>
          </w:p>
          <w:p>
            <w:pPr>
              <w:pStyle w:val="ListNumber"/>
              <w:numPr>
                <w:ilvl w:val="0"/>
                <w:numId w:val="10"/>
              </w:numPr>
              <w:spacing w:after="60" w:line="259" w:lineRule="auto"/>
            </w:pPr>
            <w:r>
              <w:rPr>
                <w:sz w:val="20"/>
              </w:rPr>
              <w:t xml:space="preserve">What remains is listed as </w:t>
            </w:r>
            <w:r>
              <w:rPr>
                <w:b/>
                <w:sz w:val="20"/>
              </w:rPr>
              <w:t>decisions versus work</w:t>
            </w:r>
            <w:r>
              <w:rPr>
                <w:sz w:val="20"/>
              </w:rPr>
              <w:t xml:space="preserve"> in section 8 (API key, production flag, ownership of the indicator ids, duplicate check, evidence coverage, prompt tuning, TEST before PROD, FAQ co-sign). Hosting the whole PRMS copy in the cloud, should it be useful, is about 1.5–2.5 days and US$60–110 a month (section 9).</w:t>
            </w:r>
          </w:p>
        </w:tc>
      </w:tr>
    </w:tbl>
    <w:p>
      <w:pPr>
        <w:keepNext/>
        <w:spacing w:before="280" w:after="80"/>
      </w:pPr>
      <w:r>
        <w:rPr>
          <w:b/>
          <w:color w:val="00477A"/>
          <w:sz w:val="24"/>
        </w:rPr>
        <w:t>Contents</w:t>
      </w:r>
    </w:p>
    <w:p>
      <w:pPr>
        <w:tabs>
          <w:tab w:val="right" w:leader="dot" w:pos="9637"/>
        </w:tabs>
        <w:spacing w:before="0" w:after="40" w:line="240" w:lineRule="auto"/>
        <w:ind w:left="0" w:right="0"/>
      </w:pPr>
      <w:r>
        <w:fldChar w:fldCharType="begin"/>
      </w:r>
      <w:r>
        <w:instrText xml:space="preserve"> TOC \o "1-2" \h \z \u </w:instrText>
      </w:r>
      <w:r>
        <w:fldChar w:fldCharType="separate"/>
      </w:r>
      <w:hyperlink w:anchor="_Toc1" w:history="1">
        <w:r>
          <w:rPr>
            <w:rFonts w:ascii="Calibri" w:hAnsi="Calibri" w:cs="Calibri"/>
            <w:b/>
            <w:color w:val="00477A"/>
            <w:sz w:val="20"/>
          </w:rPr>
          <w:t xml:space="preserve">In five lines</w:t>
        </w:r>
        <w:r>
          <w:rPr>
            <w:rFonts w:ascii="Calibri" w:hAnsi="Calibri" w:cs="Calibri"/>
            <w:b/>
            <w:color w:val="00477A"/>
            <w:sz w:val="20"/>
          </w:rPr>
          <w:tab/>
        </w:r>
        <w:r>
          <w:rPr>
            <w:rFonts w:ascii="Calibri" w:hAnsi="Calibri" w:cs="Calibri"/>
            <w:b/>
            <w:color w:val="00477A"/>
            <w:sz w:val="20"/>
          </w:rPr>
          <w:t xml:space="preserve">1</w:t>
        </w:r>
      </w:hyperlink>
    </w:p>
    <w:p>
      <w:pPr>
        <w:tabs>
          <w:tab w:val="right" w:leader="dot" w:pos="9637"/>
        </w:tabs>
        <w:spacing w:before="0" w:after="40" w:line="240" w:lineRule="auto"/>
        <w:ind w:left="0" w:right="0"/>
      </w:pPr>
      <w:hyperlink w:anchor="_Toc2" w:history="1">
        <w:r>
          <w:rPr>
            <w:rFonts w:ascii="Calibri" w:hAnsi="Calibri" w:cs="Calibri"/>
            <w:b/>
            <w:color w:val="00477A"/>
            <w:sz w:val="20"/>
          </w:rPr>
          <w:t xml:space="preserve">1. What was agreed on 15 September</w:t>
        </w:r>
        <w:r>
          <w:rPr>
            <w:rFonts w:ascii="Calibri" w:hAnsi="Calibri" w:cs="Calibri"/>
            <w:b/>
            <w:color w:val="00477A"/>
            <w:sz w:val="20"/>
          </w:rPr>
          <w:tab/>
        </w:r>
        <w:r>
          <w:rPr>
            <w:rFonts w:ascii="Calibri" w:hAnsi="Calibri" w:cs="Calibri"/>
            <w:b/>
            <w:color w:val="00477A"/>
            <w:sz w:val="20"/>
          </w:rPr>
          <w:t xml:space="preserve">2</w:t>
        </w:r>
      </w:hyperlink>
    </w:p>
    <w:p>
      <w:pPr>
        <w:tabs>
          <w:tab w:val="right" w:leader="dot" w:pos="9637"/>
        </w:tabs>
        <w:spacing w:before="0" w:after="40" w:line="240" w:lineRule="auto"/>
        <w:ind w:left="0" w:right="0"/>
      </w:pPr>
      <w:hyperlink w:anchor="_Toc3" w:history="1">
        <w:r>
          <w:rPr>
            <w:rFonts w:ascii="Calibri" w:hAnsi="Calibri" w:cs="Calibri"/>
            <w:b/>
            <w:color w:val="00477A"/>
            <w:sz w:val="20"/>
          </w:rPr>
          <w:t xml:space="preserve">2. The operating model</w:t>
        </w:r>
        <w:r>
          <w:rPr>
            <w:rFonts w:ascii="Calibri" w:hAnsi="Calibri" w:cs="Calibri"/>
            <w:b/>
            <w:color w:val="00477A"/>
            <w:sz w:val="20"/>
          </w:rPr>
          <w:tab/>
        </w:r>
        <w:r>
          <w:rPr>
            <w:rFonts w:ascii="Calibri" w:hAnsi="Calibri" w:cs="Calibri"/>
            <w:b/>
            <w:color w:val="00477A"/>
            <w:sz w:val="20"/>
          </w:rPr>
          <w:t xml:space="preserve">3</w:t>
        </w:r>
      </w:hyperlink>
    </w:p>
    <w:p>
      <w:pPr>
        <w:tabs>
          <w:tab w:val="right" w:leader="dot" w:pos="9637"/>
        </w:tabs>
        <w:spacing w:before="0" w:after="40" w:line="240" w:lineRule="auto"/>
        <w:ind w:left="0" w:right="0"/>
      </w:pPr>
      <w:hyperlink w:anchor="_Toc4" w:history="1">
        <w:r>
          <w:rPr>
            <w:rFonts w:ascii="Calibri" w:hAnsi="Calibri" w:cs="Calibri"/>
            <w:b/>
            <w:color w:val="00477A"/>
            <w:sz w:val="20"/>
          </w:rPr>
          <w:t xml:space="preserve">3. Architecture</w:t>
        </w:r>
        <w:r>
          <w:rPr>
            <w:rFonts w:ascii="Calibri" w:hAnsi="Calibri" w:cs="Calibri"/>
            <w:b/>
            <w:color w:val="00477A"/>
            <w:sz w:val="20"/>
          </w:rPr>
          <w:tab/>
        </w:r>
        <w:r>
          <w:rPr>
            <w:rFonts w:ascii="Calibri" w:hAnsi="Calibri" w:cs="Calibri"/>
            <w:b/>
            <w:color w:val="00477A"/>
            <w:sz w:val="20"/>
          </w:rPr>
          <w:t xml:space="preserve">4</w:t>
        </w:r>
      </w:hyperlink>
    </w:p>
    <w:p>
      <w:pPr>
        <w:tabs>
          <w:tab w:val="right" w:leader="dot" w:pos="9637"/>
        </w:tabs>
        <w:spacing w:before="0" w:after="40" w:line="240" w:lineRule="auto"/>
        <w:ind w:left="0" w:right="0"/>
      </w:pPr>
      <w:hyperlink w:anchor="_Toc5" w:history="1">
        <w:r>
          <w:rPr>
            <w:rFonts w:ascii="Calibri" w:hAnsi="Calibri" w:cs="Calibri"/>
            <w:b/>
            <w:color w:val="00477A"/>
            <w:sz w:val="20"/>
          </w:rPr>
          <w:t xml:space="preserve">4. The endpoints (getting started)</w:t>
        </w:r>
        <w:r>
          <w:rPr>
            <w:rFonts w:ascii="Calibri" w:hAnsi="Calibri" w:cs="Calibri"/>
            <w:b/>
            <w:color w:val="00477A"/>
            <w:sz w:val="20"/>
          </w:rPr>
          <w:tab/>
        </w:r>
        <w:r>
          <w:rPr>
            <w:rFonts w:ascii="Calibri" w:hAnsi="Calibri" w:cs="Calibri"/>
            <w:b/>
            <w:color w:val="00477A"/>
            <w:sz w:val="20"/>
          </w:rPr>
          <w:t xml:space="preserve">5</w:t>
        </w:r>
      </w:hyperlink>
    </w:p>
    <w:p>
      <w:pPr>
        <w:tabs>
          <w:tab w:val="right" w:leader="dot" w:pos="9637"/>
        </w:tabs>
        <w:spacing w:before="0" w:after="20" w:line="240" w:lineRule="auto"/>
        <w:ind w:left="440" w:right="0"/>
      </w:pPr>
      <w:hyperlink w:anchor="_Toc6" w:history="1">
        <w:r>
          <w:rPr>
            <w:rFonts w:ascii="Calibri" w:hAnsi="Calibri" w:cs="Calibri"/>
            <w:color w:val="333333"/>
            <w:sz w:val="19"/>
          </w:rPr>
          <w:t xml:space="preserve">4.1 GET /api/prms/indicators/{indicator_id}/results — the proposals for one KPI</w:t>
        </w:r>
        <w:r>
          <w:rPr>
            <w:rFonts w:ascii="Calibri" w:hAnsi="Calibri" w:cs="Calibri"/>
            <w:color w:val="333333"/>
            <w:sz w:val="19"/>
          </w:rPr>
          <w:tab/>
        </w:r>
        <w:r>
          <w:rPr>
            <w:rFonts w:ascii="Calibri" w:hAnsi="Calibri" w:cs="Calibri"/>
            <w:color w:val="333333"/>
            <w:sz w:val="19"/>
          </w:rPr>
          <w:t xml:space="preserve">5</w:t>
        </w:r>
      </w:hyperlink>
    </w:p>
    <w:p>
      <w:pPr>
        <w:tabs>
          <w:tab w:val="right" w:leader="dot" w:pos="9637"/>
        </w:tabs>
        <w:spacing w:before="0" w:after="20" w:line="240" w:lineRule="auto"/>
        <w:ind w:left="440" w:right="0"/>
      </w:pPr>
      <w:hyperlink w:anchor="_Toc7" w:history="1">
        <w:r>
          <w:rPr>
            <w:rFonts w:ascii="Calibri" w:hAnsi="Calibri" w:cs="Calibri"/>
            <w:color w:val="333333"/>
            <w:sz w:val="19"/>
          </w:rPr>
          <w:t xml:space="preserve">4.2 GET /api/prms/indicators/resolve — from PORB texts to the Progress Tracker id</w:t>
        </w:r>
        <w:r>
          <w:rPr>
            <w:rFonts w:ascii="Calibri" w:hAnsi="Calibri" w:cs="Calibri"/>
            <w:color w:val="333333"/>
            <w:sz w:val="19"/>
          </w:rPr>
          <w:tab/>
        </w:r>
        <w:r>
          <w:rPr>
            <w:rFonts w:ascii="Calibri" w:hAnsi="Calibri" w:cs="Calibri"/>
            <w:color w:val="333333"/>
            <w:sz w:val="19"/>
          </w:rPr>
          <w:t xml:space="preserve">8</w:t>
        </w:r>
      </w:hyperlink>
    </w:p>
    <w:p>
      <w:pPr>
        <w:tabs>
          <w:tab w:val="right" w:leader="dot" w:pos="9637"/>
        </w:tabs>
        <w:spacing w:before="0" w:after="20" w:line="240" w:lineRule="auto"/>
        <w:ind w:left="440" w:right="0"/>
      </w:pPr>
      <w:hyperlink w:anchor="_Toc8" w:history="1">
        <w:r>
          <w:rPr>
            <w:rFonts w:ascii="Calibri" w:hAnsi="Calibri" w:cs="Calibri"/>
            <w:color w:val="333333"/>
            <w:sz w:val="19"/>
          </w:rPr>
          <w:t xml:space="preserve">4.3 GET /api/prms/programs/{program_id}/ready-counts — the “N results ready” badge</w:t>
        </w:r>
        <w:r>
          <w:rPr>
            <w:rFonts w:ascii="Calibri" w:hAnsi="Calibri" w:cs="Calibri"/>
            <w:color w:val="333333"/>
            <w:sz w:val="19"/>
          </w:rPr>
          <w:tab/>
        </w:r>
        <w:r>
          <w:rPr>
            <w:rFonts w:ascii="Calibri" w:hAnsi="Calibri" w:cs="Calibri"/>
            <w:color w:val="333333"/>
            <w:sz w:val="19"/>
          </w:rPr>
          <w:t xml:space="preserve">8</w:t>
        </w:r>
      </w:hyperlink>
    </w:p>
    <w:p>
      <w:pPr>
        <w:tabs>
          <w:tab w:val="right" w:leader="dot" w:pos="9637"/>
        </w:tabs>
        <w:spacing w:before="0" w:after="20" w:line="240" w:lineRule="auto"/>
        <w:ind w:left="440" w:right="0"/>
      </w:pPr>
      <w:hyperlink w:anchor="_Toc9" w:history="1">
        <w:r>
          <w:rPr>
            <w:rFonts w:ascii="Calibri" w:hAnsi="Calibri" w:cs="Calibri"/>
            <w:color w:val="333333"/>
            <w:sz w:val="19"/>
          </w:rPr>
          <w:t xml:space="preserve">4.4 Errors, edge cases, timing and cost</w:t>
        </w:r>
        <w:r>
          <w:rPr>
            <w:rFonts w:ascii="Calibri" w:hAnsi="Calibri" w:cs="Calibri"/>
            <w:color w:val="333333"/>
            <w:sz w:val="19"/>
          </w:rPr>
          <w:tab/>
        </w:r>
        <w:r>
          <w:rPr>
            <w:rFonts w:ascii="Calibri" w:hAnsi="Calibri" w:cs="Calibri"/>
            <w:color w:val="333333"/>
            <w:sz w:val="19"/>
          </w:rPr>
          <w:t xml:space="preserve">9</w:t>
        </w:r>
      </w:hyperlink>
    </w:p>
    <w:p>
      <w:pPr>
        <w:tabs>
          <w:tab w:val="right" w:leader="dot" w:pos="9637"/>
        </w:tabs>
        <w:spacing w:before="0" w:after="40" w:line="240" w:lineRule="auto"/>
        <w:ind w:left="0" w:right="0"/>
      </w:pPr>
      <w:hyperlink w:anchor="_Toc10" w:history="1">
        <w:r>
          <w:rPr>
            <w:rFonts w:ascii="Calibri" w:hAnsi="Calibri" w:cs="Calibri"/>
            <w:b/>
            <w:color w:val="00477A"/>
            <w:sz w:val="20"/>
          </w:rPr>
          <w:t xml:space="preserve">5. Mapping the KPI</w:t>
        </w:r>
        <w:r>
          <w:rPr>
            <w:rFonts w:ascii="Calibri" w:hAnsi="Calibri" w:cs="Calibri"/>
            <w:b/>
            <w:color w:val="00477A"/>
            <w:sz w:val="20"/>
          </w:rPr>
          <w:tab/>
        </w:r>
        <w:r>
          <w:rPr>
            <w:rFonts w:ascii="Calibri" w:hAnsi="Calibri" w:cs="Calibri"/>
            <w:b/>
            <w:color w:val="00477A"/>
            <w:sz w:val="20"/>
          </w:rPr>
          <w:t xml:space="preserve">10</w:t>
        </w:r>
      </w:hyperlink>
    </w:p>
    <w:p>
      <w:pPr>
        <w:tabs>
          <w:tab w:val="right" w:leader="dot" w:pos="9637"/>
        </w:tabs>
        <w:spacing w:before="0" w:after="40" w:line="240" w:lineRule="auto"/>
        <w:ind w:left="0" w:right="0"/>
      </w:pPr>
      <w:hyperlink w:anchor="_Toc11" w:history="1">
        <w:r>
          <w:rPr>
            <w:rFonts w:ascii="Calibri" w:hAnsi="Calibri" w:cs="Calibri"/>
            <w:b/>
            <w:color w:val="00477A"/>
            <w:sz w:val="20"/>
          </w:rPr>
          <w:t xml:space="preserve">6. What it looks like</w:t>
        </w:r>
        <w:r>
          <w:rPr>
            <w:rFonts w:ascii="Calibri" w:hAnsi="Calibri" w:cs="Calibri"/>
            <w:b/>
            <w:color w:val="00477A"/>
            <w:sz w:val="20"/>
          </w:rPr>
          <w:tab/>
        </w:r>
        <w:r>
          <w:rPr>
            <w:rFonts w:ascii="Calibri" w:hAnsi="Calibri" w:cs="Calibri"/>
            <w:b/>
            <w:color w:val="00477A"/>
            <w:sz w:val="20"/>
          </w:rPr>
          <w:t xml:space="preserve">11</w:t>
        </w:r>
      </w:hyperlink>
    </w:p>
    <w:p>
      <w:pPr>
        <w:tabs>
          <w:tab w:val="right" w:leader="dot" w:pos="9637"/>
        </w:tabs>
        <w:spacing w:before="0" w:after="40" w:line="240" w:lineRule="auto"/>
        <w:ind w:left="0" w:right="0"/>
      </w:pPr>
      <w:hyperlink w:anchor="_Toc12" w:history="1">
        <w:r>
          <w:rPr>
            <w:rFonts w:ascii="Calibri" w:hAnsi="Calibri" w:cs="Calibri"/>
            <w:b/>
            <w:color w:val="00477A"/>
            <w:sz w:val="20"/>
          </w:rPr>
          <w:t xml:space="preserve">7. What the PRMS team would implement</w:t>
        </w:r>
        <w:r>
          <w:rPr>
            <w:rFonts w:ascii="Calibri" w:hAnsi="Calibri" w:cs="Calibri"/>
            <w:b/>
            <w:color w:val="00477A"/>
            <w:sz w:val="20"/>
          </w:rPr>
          <w:tab/>
        </w:r>
        <w:r>
          <w:rPr>
            <w:rFonts w:ascii="Calibri" w:hAnsi="Calibri" w:cs="Calibri"/>
            <w:b/>
            <w:color w:val="00477A"/>
            <w:sz w:val="20"/>
          </w:rPr>
          <w:t xml:space="preserve">16</w:t>
        </w:r>
      </w:hyperlink>
    </w:p>
    <w:p>
      <w:pPr>
        <w:tabs>
          <w:tab w:val="right" w:leader="dot" w:pos="9637"/>
        </w:tabs>
        <w:spacing w:before="0" w:after="40" w:line="240" w:lineRule="auto"/>
        <w:ind w:left="0" w:right="0"/>
      </w:pPr>
      <w:hyperlink w:anchor="_Toc13" w:history="1">
        <w:r>
          <w:rPr>
            <w:rFonts w:ascii="Calibri" w:hAnsi="Calibri" w:cs="Calibri"/>
            <w:b/>
            <w:color w:val="00477A"/>
            <w:sz w:val="20"/>
          </w:rPr>
          <w:t xml:space="preserve">8. Missing and necessary steps before this is real</w:t>
        </w:r>
        <w:r>
          <w:rPr>
            <w:rFonts w:ascii="Calibri" w:hAnsi="Calibri" w:cs="Calibri"/>
            <w:b/>
            <w:color w:val="00477A"/>
            <w:sz w:val="20"/>
          </w:rPr>
          <w:tab/>
        </w:r>
        <w:r>
          <w:rPr>
            <w:rFonts w:ascii="Calibri" w:hAnsi="Calibri" w:cs="Calibri"/>
            <w:b/>
            <w:color w:val="00477A"/>
            <w:sz w:val="20"/>
          </w:rPr>
          <w:t xml:space="preserve">17</w:t>
        </w:r>
      </w:hyperlink>
    </w:p>
    <w:p>
      <w:pPr>
        <w:tabs>
          <w:tab w:val="right" w:leader="dot" w:pos="9637"/>
        </w:tabs>
        <w:spacing w:before="0" w:after="20" w:line="240" w:lineRule="auto"/>
        <w:ind w:left="440" w:right="0"/>
      </w:pPr>
      <w:hyperlink w:anchor="_Toc14" w:history="1">
        <w:r>
          <w:rPr>
            <w:rFonts w:ascii="Calibri" w:hAnsi="Calibri" w:cs="Calibri"/>
            <w:color w:val="333333"/>
            <w:sz w:val="19"/>
          </w:rPr>
          <w:t xml:space="preserve">8.1 Alliance side (PRMS Reporting Tool)</w:t>
        </w:r>
        <w:r>
          <w:rPr>
            <w:rFonts w:ascii="Calibri" w:hAnsi="Calibri" w:cs="Calibri"/>
            <w:color w:val="333333"/>
            <w:sz w:val="19"/>
          </w:rPr>
          <w:tab/>
        </w:r>
        <w:r>
          <w:rPr>
            <w:rFonts w:ascii="Calibri" w:hAnsi="Calibri" w:cs="Calibri"/>
            <w:color w:val="333333"/>
            <w:sz w:val="19"/>
          </w:rPr>
          <w:t xml:space="preserve">17</w:t>
        </w:r>
      </w:hyperlink>
    </w:p>
    <w:p>
      <w:pPr>
        <w:tabs>
          <w:tab w:val="right" w:leader="dot" w:pos="9637"/>
        </w:tabs>
        <w:spacing w:before="0" w:after="20" w:line="240" w:lineRule="auto"/>
        <w:ind w:left="440" w:right="0"/>
      </w:pPr>
      <w:hyperlink w:anchor="_Toc15" w:history="1">
        <w:r>
          <w:rPr>
            <w:rFonts w:ascii="Calibri" w:hAnsi="Calibri" w:cs="Calibri"/>
            <w:color w:val="333333"/>
            <w:sz w:val="19"/>
          </w:rPr>
          <w:t xml:space="preserve">8.2 Progress Tracker side (Interoperability API)</w:t>
        </w:r>
        <w:r>
          <w:rPr>
            <w:rFonts w:ascii="Calibri" w:hAnsi="Calibri" w:cs="Calibri"/>
            <w:color w:val="333333"/>
            <w:sz w:val="19"/>
          </w:rPr>
          <w:tab/>
        </w:r>
        <w:r>
          <w:rPr>
            <w:rFonts w:ascii="Calibri" w:hAnsi="Calibri" w:cs="Calibri"/>
            <w:color w:val="333333"/>
            <w:sz w:val="19"/>
          </w:rPr>
          <w:t xml:space="preserve">17</w:t>
        </w:r>
      </w:hyperlink>
    </w:p>
    <w:p>
      <w:pPr>
        <w:tabs>
          <w:tab w:val="right" w:leader="dot" w:pos="9637"/>
        </w:tabs>
        <w:spacing w:before="0" w:after="20" w:line="240" w:lineRule="auto"/>
        <w:ind w:left="440" w:right="0"/>
      </w:pPr>
      <w:hyperlink w:anchor="_Toc16" w:history="1">
        <w:r>
          <w:rPr>
            <w:rFonts w:ascii="Calibri" w:hAnsi="Calibri" w:cs="Calibri"/>
            <w:color w:val="333333"/>
            <w:sz w:val="19"/>
          </w:rPr>
          <w:t xml:space="preserve">8.3 Joint</w:t>
        </w:r>
        <w:r>
          <w:rPr>
            <w:rFonts w:ascii="Calibri" w:hAnsi="Calibri" w:cs="Calibri"/>
            <w:color w:val="333333"/>
            <w:sz w:val="19"/>
          </w:rPr>
          <w:tab/>
        </w:r>
        <w:r>
          <w:rPr>
            <w:rFonts w:ascii="Calibri" w:hAnsi="Calibri" w:cs="Calibri"/>
            <w:color w:val="333333"/>
            <w:sz w:val="19"/>
          </w:rPr>
          <w:t xml:space="preserve">18</w:t>
        </w:r>
      </w:hyperlink>
    </w:p>
    <w:p>
      <w:pPr>
        <w:tabs>
          <w:tab w:val="right" w:leader="dot" w:pos="9637"/>
        </w:tabs>
        <w:spacing w:before="0" w:after="40" w:line="240" w:lineRule="auto"/>
        <w:ind w:left="0" w:right="0"/>
      </w:pPr>
      <w:hyperlink w:anchor="_Toc17" w:history="1">
        <w:r>
          <w:rPr>
            <w:rFonts w:ascii="Calibri" w:hAnsi="Calibri" w:cs="Calibri"/>
            <w:b/>
            <w:color w:val="00477A"/>
            <w:sz w:val="20"/>
          </w:rPr>
          <w:t xml:space="preserve">9. Hosting the PRMS prototype in the cloud</w:t>
        </w:r>
        <w:r>
          <w:rPr>
            <w:rFonts w:ascii="Calibri" w:hAnsi="Calibri" w:cs="Calibri"/>
            <w:b/>
            <w:color w:val="00477A"/>
            <w:sz w:val="20"/>
          </w:rPr>
          <w:tab/>
        </w:r>
        <w:r>
          <w:rPr>
            <w:rFonts w:ascii="Calibri" w:hAnsi="Calibri" w:cs="Calibri"/>
            <w:b/>
            <w:color w:val="00477A"/>
            <w:sz w:val="20"/>
          </w:rPr>
          <w:t xml:space="preserve">19</w:t>
        </w:r>
      </w:hyperlink>
    </w:p>
    <w:p>
      <w:pPr>
        <w:tabs>
          <w:tab w:val="right" w:leader="dot" w:pos="9637"/>
        </w:tabs>
        <w:spacing w:before="0" w:after="40" w:line="240" w:lineRule="auto"/>
        <w:ind w:left="0" w:right="0"/>
      </w:pPr>
      <w:hyperlink w:anchor="_Toc18" w:history="1">
        <w:r>
          <w:rPr>
            <w:rFonts w:ascii="Calibri" w:hAnsi="Calibri" w:cs="Calibri"/>
            <w:b/>
            <w:color w:val="00477A"/>
            <w:sz w:val="20"/>
          </w:rPr>
          <w:t xml:space="preserve">Annex A — Glossary</w:t>
        </w:r>
        <w:r>
          <w:rPr>
            <w:rFonts w:ascii="Calibri" w:hAnsi="Calibri" w:cs="Calibri"/>
            <w:b/>
            <w:color w:val="00477A"/>
            <w:sz w:val="20"/>
          </w:rPr>
          <w:tab/>
        </w:r>
        <w:r>
          <w:rPr>
            <w:rFonts w:ascii="Calibri" w:hAnsi="Calibri" w:cs="Calibri"/>
            <w:b/>
            <w:color w:val="00477A"/>
            <w:sz w:val="20"/>
          </w:rPr>
          <w:t xml:space="preserve">20</w:t>
        </w:r>
      </w:hyperlink>
    </w:p>
    <w:p>
      <w:pPr>
        <w:tabs>
          <w:tab w:val="right" w:leader="dot" w:pos="9637"/>
        </w:tabs>
        <w:spacing w:before="0" w:after="40" w:line="240" w:lineRule="auto"/>
        <w:ind w:left="0" w:right="0"/>
      </w:pPr>
      <w:hyperlink w:anchor="_Toc19" w:history="1">
        <w:r>
          <w:rPr>
            <w:rFonts w:ascii="Calibri" w:hAnsi="Calibri" w:cs="Calibri"/>
            <w:b/>
            <w:color w:val="00477A"/>
            <w:sz w:val="20"/>
          </w:rPr>
          <w:t xml:space="preserve">Annex B — Sources and references</w:t>
        </w:r>
        <w:r>
          <w:rPr>
            <w:rFonts w:ascii="Calibri" w:hAnsi="Calibri" w:cs="Calibri"/>
            <w:b/>
            <w:color w:val="00477A"/>
            <w:sz w:val="20"/>
          </w:rPr>
          <w:tab/>
        </w:r>
        <w:r>
          <w:rPr>
            <w:rFonts w:ascii="Calibri" w:hAnsi="Calibri" w:cs="Calibri"/>
            <w:b/>
            <w:color w:val="00477A"/>
            <w:sz w:val="20"/>
          </w:rPr>
          <w:t xml:space="preserve">20</w:t>
        </w:r>
      </w:hyperlink>
      <w:r>
        <w:fldChar w:fldCharType="end"/>
      </w:r>
    </w:p>
    <w:p>
      <w:pPr>
        <w:spacing w:before="240" w:after="80"/>
        <w:keepNext/>
      </w:pPr>
      <w:r>
        <w:rPr>
          <w:b/>
          <w:color w:val="00477A"/>
          <w:sz w:val="24"/>
        </w:rPr>
        <w:t>List of figures</w:t>
      </w:r>
    </w:p>
    <w:p>
      <w:pPr>
        <w:tabs>
          <w:tab w:val="right" w:leader="dot" w:pos="9637"/>
        </w:tabs>
        <w:spacing w:before="0" w:after="20" w:line="240" w:lineRule="auto"/>
        <w:ind w:left="0" w:right="0"/>
      </w:pPr>
      <w:r>
        <w:fldChar w:fldCharType="begin"/>
      </w:r>
      <w:r>
        <w:instrText xml:space="preserve"> TOC \h \z \c "Figure" </w:instrText>
      </w:r>
      <w:r>
        <w:fldChar w:fldCharType="separate"/>
      </w:r>
      <w:hyperlink w:anchor="_Fig1" w:history="1">
        <w:r>
          <w:rPr>
            <w:rFonts w:ascii="Calibri" w:hAnsi="Calibri" w:cs="Calibri"/>
            <w:color w:val="333333"/>
            <w:sz w:val="18"/>
          </w:rPr>
          <w:t xml:space="preserve">Figure 1 — The pull in six steps: the user starts and ends in PRMS; the Progress Tracker is only read</w:t>
        </w:r>
        <w:r>
          <w:rPr>
            <w:rFonts w:ascii="Calibri" w:hAnsi="Calibri" w:cs="Calibri"/>
            <w:color w:val="333333"/>
            <w:sz w:val="18"/>
          </w:rPr>
          <w:tab/>
        </w:r>
        <w:r>
          <w:rPr>
            <w:rFonts w:ascii="Calibri" w:hAnsi="Calibri" w:cs="Calibri"/>
            <w:color w:val="333333"/>
            <w:sz w:val="18"/>
          </w:rPr>
          <w:t xml:space="preserve">3</w:t>
        </w:r>
      </w:hyperlink>
    </w:p>
    <w:p>
      <w:pPr>
        <w:tabs>
          <w:tab w:val="right" w:leader="dot" w:pos="9637"/>
        </w:tabs>
        <w:spacing w:before="0" w:after="20" w:line="240" w:lineRule="auto"/>
        <w:ind w:left="0" w:right="0"/>
      </w:pPr>
      <w:hyperlink w:anchor="_Fig2" w:history="1">
        <w:r>
          <w:rPr>
            <w:rFonts w:ascii="Calibri" w:hAnsi="Calibri" w:cs="Calibri"/>
            <w:color w:val="333333"/>
            <w:sz w:val="18"/>
          </w:rPr>
          <w:t xml:space="preserve">Figure 2 — Architecture: the PRMS server proxies one read-only call to the Interoperability API; the…</w:t>
        </w:r>
        <w:r>
          <w:rPr>
            <w:rFonts w:ascii="Calibri" w:hAnsi="Calibri" w:cs="Calibri"/>
            <w:color w:val="333333"/>
            <w:sz w:val="18"/>
          </w:rPr>
          <w:tab/>
        </w:r>
        <w:r>
          <w:rPr>
            <w:rFonts w:ascii="Calibri" w:hAnsi="Calibri" w:cs="Calibri"/>
            <w:color w:val="333333"/>
            <w:sz w:val="18"/>
          </w:rPr>
          <w:t xml:space="preserve">4</w:t>
        </w:r>
      </w:hyperlink>
    </w:p>
    <w:p>
      <w:pPr>
        <w:tabs>
          <w:tab w:val="right" w:leader="dot" w:pos="9637"/>
        </w:tabs>
        <w:spacing w:before="0" w:after="20" w:line="240" w:lineRule="auto"/>
        <w:ind w:left="0" w:right="0"/>
      </w:pPr>
      <w:hyperlink w:anchor="_Fig3" w:history="1">
        <w:r>
          <w:rPr>
            <w:rFonts w:ascii="Calibri" w:hAnsi="Calibri" w:cs="Calibri"/>
            <w:color w:val="333333"/>
            <w:sz w:val="18"/>
          </w:rPr>
          <w:t xml:space="preserve">Figure 3 — Mapping a PRMS indicator row to the Progress Tracker id: same PORB texts, one deterministic…</w:t>
        </w:r>
        <w:r>
          <w:rPr>
            <w:rFonts w:ascii="Calibri" w:hAnsi="Calibri" w:cs="Calibri"/>
            <w:color w:val="333333"/>
            <w:sz w:val="18"/>
          </w:rPr>
          <w:tab/>
        </w:r>
        <w:r>
          <w:rPr>
            <w:rFonts w:ascii="Calibri" w:hAnsi="Calibri" w:cs="Calibri"/>
            <w:color w:val="333333"/>
            <w:sz w:val="18"/>
          </w:rPr>
          <w:t xml:space="preserve">10</w:t>
        </w:r>
      </w:hyperlink>
    </w:p>
    <w:p>
      <w:pPr>
        <w:tabs>
          <w:tab w:val="right" w:leader="dot" w:pos="9637"/>
        </w:tabs>
        <w:spacing w:before="0" w:after="20" w:line="240" w:lineRule="auto"/>
        <w:ind w:left="0" w:right="0"/>
      </w:pPr>
      <w:hyperlink w:anchor="_Fig4" w:history="1">
        <w:r>
          <w:rPr>
            <w:rFonts w:ascii="Calibri" w:hAnsi="Calibri" w:cs="Calibri"/>
            <w:color w:val="333333"/>
            <w:sz w:val="18"/>
          </w:rPr>
          <w:t xml:space="preserve">Figure 4 — The Reporting tab (AOW01 Market Intelligence, 22 KPIs, the Report button on every indicator…</w:t>
        </w:r>
        <w:r>
          <w:rPr>
            <w:rFonts w:ascii="Calibri" w:hAnsi="Calibri" w:cs="Calibri"/>
            <w:color w:val="333333"/>
            <w:sz w:val="18"/>
          </w:rPr>
          <w:tab/>
        </w:r>
        <w:r>
          <w:rPr>
            <w:rFonts w:ascii="Calibri" w:hAnsi="Calibri" w:cs="Calibri"/>
            <w:color w:val="333333"/>
            <w:sz w:val="18"/>
          </w:rPr>
          <w:t xml:space="preserve">11</w:t>
        </w:r>
      </w:hyperlink>
    </w:p>
    <w:p>
      <w:pPr>
        <w:tabs>
          <w:tab w:val="right" w:leader="dot" w:pos="9637"/>
        </w:tabs>
        <w:spacing w:before="0" w:after="20" w:line="240" w:lineRule="auto"/>
        <w:ind w:left="0" w:right="0"/>
      </w:pPr>
      <w:hyperlink w:anchor="_Fig5" w:history="1">
        <w:r>
          <w:rPr>
            <w:rFonts w:ascii="Calibri" w:hAnsi="Calibri" w:cs="Calibri"/>
            <w:color w:val="333333"/>
            <w:sz w:val="18"/>
          </w:rPr>
          <w:t xml:space="preserve">Figure 5 — Left: the existing external-source pattern for knowledge-product KPIs, “Browse repositories |…</w:t>
        </w:r>
        <w:r>
          <w:rPr>
            <w:rFonts w:ascii="Calibri" w:hAnsi="Calibri" w:cs="Calibri"/>
            <w:color w:val="333333"/>
            <w:sz w:val="18"/>
          </w:rPr>
          <w:tab/>
        </w:r>
        <w:r>
          <w:rPr>
            <w:rFonts w:ascii="Calibri" w:hAnsi="Calibri" w:cs="Calibri"/>
            <w:color w:val="333333"/>
            <w:sz w:val="18"/>
          </w:rPr>
          <w:t xml:space="preserve">12</w:t>
        </w:r>
      </w:hyperlink>
    </w:p>
    <w:p>
      <w:pPr>
        <w:tabs>
          <w:tab w:val="right" w:leader="dot" w:pos="9637"/>
        </w:tabs>
        <w:spacing w:before="0" w:after="20" w:line="240" w:lineRule="auto"/>
        <w:ind w:left="0" w:right="0"/>
      </w:pPr>
      <w:hyperlink w:anchor="_Fig6" w:history="1">
        <w:r>
          <w:rPr>
            <w:rFonts w:ascii="Calibri" w:hAnsi="Calibri" w:cs="Calibri"/>
            <w:color w:val="333333"/>
            <w:sz w:val="18"/>
          </w:rPr>
          <w:t xml:space="preserve">Figure 6 — Left: the Progress Tracker tab lists the proposal fetched live from the Interoperability API…</w:t>
        </w:r>
        <w:r>
          <w:rPr>
            <w:rFonts w:ascii="Calibri" w:hAnsi="Calibri" w:cs="Calibri"/>
            <w:color w:val="333333"/>
            <w:sz w:val="18"/>
          </w:rPr>
          <w:tab/>
        </w:r>
        <w:r>
          <w:rPr>
            <w:rFonts w:ascii="Calibri" w:hAnsi="Calibri" w:cs="Calibri"/>
            <w:color w:val="333333"/>
            <w:sz w:val="18"/>
          </w:rPr>
          <w:t xml:space="preserve">13</w:t>
        </w:r>
      </w:hyperlink>
    </w:p>
    <w:p>
      <w:pPr>
        <w:tabs>
          <w:tab w:val="right" w:leader="dot" w:pos="9637"/>
        </w:tabs>
        <w:spacing w:before="0" w:after="20" w:line="240" w:lineRule="auto"/>
        <w:ind w:left="0" w:right="0"/>
      </w:pPr>
      <w:hyperlink w:anchor="_Fig7" w:history="1">
        <w:r>
          <w:rPr>
            <w:rFonts w:ascii="Calibri" w:hAnsi="Calibri" w:cs="Calibri"/>
            <w:color w:val="333333"/>
            <w:sz w:val="18"/>
          </w:rPr>
          <w:t xml:space="preserve">Figure 7 — Left: after “Use this result” — the title (8 of 30 words) and description are pre-filled, the…</w:t>
        </w:r>
        <w:r>
          <w:rPr>
            <w:rFonts w:ascii="Calibri" w:hAnsi="Calibri" w:cs="Calibri"/>
            <w:color w:val="333333"/>
            <w:sz w:val="18"/>
          </w:rPr>
          <w:tab/>
        </w:r>
        <w:r>
          <w:rPr>
            <w:rFonts w:ascii="Calibri" w:hAnsi="Calibri" w:cs="Calibri"/>
            <w:color w:val="333333"/>
            <w:sz w:val="18"/>
          </w:rPr>
          <w:t xml:space="preserve">14</w:t>
        </w:r>
      </w:hyperlink>
    </w:p>
    <w:p>
      <w:pPr>
        <w:tabs>
          <w:tab w:val="right" w:leader="dot" w:pos="9637"/>
        </w:tabs>
        <w:spacing w:before="0" w:after="20" w:line="240" w:lineRule="auto"/>
        <w:ind w:left="0" w:right="0"/>
      </w:pPr>
      <w:hyperlink w:anchor="_Fig8" w:history="1">
        <w:r>
          <w:rPr>
            <w:rFonts w:ascii="Calibri" w:hAnsi="Calibri" w:cs="Calibri"/>
            <w:color w:val="333333"/>
            <w:sz w:val="18"/>
          </w:rPr>
          <w:t xml:space="preserve">Figure 8 — After the user typed the contribution and pressed Create and continue: result 21, Editing,…</w:t>
        </w:r>
        <w:r>
          <w:rPr>
            <w:rFonts w:ascii="Calibri" w:hAnsi="Calibri" w:cs="Calibri"/>
            <w:color w:val="333333"/>
            <w:sz w:val="18"/>
          </w:rPr>
          <w:tab/>
        </w:r>
        <w:r>
          <w:rPr>
            <w:rFonts w:ascii="Calibri" w:hAnsi="Calibri" w:cs="Calibri"/>
            <w:color w:val="333333"/>
            <w:sz w:val="18"/>
          </w:rPr>
          <w:t xml:space="preserve">15</w:t>
        </w:r>
      </w:hyperlink>
    </w:p>
    <w:p>
      <w:pPr>
        <w:tabs>
          <w:tab w:val="right" w:leader="dot" w:pos="9637"/>
        </w:tabs>
        <w:spacing w:before="0" w:after="20" w:line="240" w:lineRule="auto"/>
        <w:ind w:left="0" w:right="0"/>
      </w:pPr>
      <w:hyperlink w:anchor="_Fig9" w:history="1">
        <w:r>
          <w:rPr>
            <w:rFonts w:ascii="Calibri" w:hAnsi="Calibri" w:cs="Calibri"/>
            <w:color w:val="333333"/>
            <w:sz w:val="18"/>
          </w:rPr>
          <w:t xml:space="preserve">Figure 9 — A demo-grade cloud shape for the adjusted local copy: one instance, one managed database,…</w:t>
        </w:r>
        <w:r>
          <w:rPr>
            <w:rFonts w:ascii="Calibri" w:hAnsi="Calibri" w:cs="Calibri"/>
            <w:color w:val="333333"/>
            <w:sz w:val="18"/>
          </w:rPr>
          <w:tab/>
        </w:r>
        <w:r>
          <w:rPr>
            <w:rFonts w:ascii="Calibri" w:hAnsi="Calibri" w:cs="Calibri"/>
            <w:color w:val="333333"/>
            <w:sz w:val="18"/>
          </w:rPr>
          <w:t xml:space="preserve">19</w:t>
        </w:r>
      </w:hyperlink>
      <w:r>
        <w:fldChar w:fldCharType="end"/>
      </w:r>
    </w:p>
    <w:p>
      <w:pPr>
        <w:pStyle w:val="Heading1"/>
      </w:pPr>
      <w:bookmarkStart w:id="102" w:name="_Toc2"/>
      <w:r>
        <w:rPr/>
        <w:t>1. What was agreed on 15 September</w:t>
      </w:r>
      <w:bookmarkEnd w:id="102"/>
    </w:p>
    <w:p>
      <w:pPr>
        <w:keepNext/>
        <w:keepLines/>
        <w:spacing w:after="40"/>
      </w:pPr>
      <w:r>
        <w:rPr/>
        <w:t>The call (31 minutes, recorded, in Spanish; Héctor Tobón, Juan Carlos Cadavid, Juan David Delgado, Ángel Jarrín, Jose Berenguer) closed the loop opened by the 24 August e-mail. Quoted sparingly, the points that shape this prototype:</w:t>
      </w:r>
    </w:p>
    <w:p>
      <w:pPr>
        <w:pStyle w:val="ListBullet"/>
        <w:keepLines/>
      </w:pPr>
      <w:r>
        <w:rPr>
          <w:b/>
        </w:rPr>
        <w:t>Two-way, two APIs.</w:t>
      </w:r>
      <w:r>
        <w:rPr/>
        <w:t xml:space="preserve"> Héctor (14:46): the minimum viable product is (a) adapting the existing bilateral ingestion API to accept W1/W2, which enables the Progress Tracker’s existing “send” button, and (b) </w:t>
      </w:r>
      <w:r>
        <w:rPr>
          <w:i/>
        </w:rPr>
        <w:t>“el consumo de la información del Progress Tracker para que cargue dentro del PRMS Reporting Tool”</w:t>
      </w:r>
      <w:r>
        <w:rPr/>
        <w:t xml:space="preserve"> — a module “much like the CGSpace one” (25:14).</w:t>
      </w:r>
    </w:p>
    <w:p>
      <w:pPr>
        <w:pStyle w:val="ListBullet"/>
        <w:keepLines/>
      </w:pPr>
      <w:r>
        <w:rPr>
          <w:b/>
        </w:rPr>
        <w:t>The pull is the valuable half.</w:t>
      </w:r>
      <w:r>
        <w:rPr/>
        <w:t xml:space="preserve"> Juan Carlos (17:50): </w:t>
      </w:r>
      <w:r>
        <w:rPr>
          <w:i/>
        </w:rPr>
        <w:t>“no tanto el push… sino el de recuperar, eso va a ser como algo muy positivo para el usuario final”</w:t>
      </w:r>
      <w:r>
        <w:rPr/>
        <w:t>; a person opens the indicator, sees that results are ready to bring, and brings them (25:19). Juan David (24:51): the technical viability is there and “the technical challenge is very low”.</w:t>
      </w:r>
    </w:p>
    <w:p>
      <w:pPr>
        <w:pStyle w:val="ListBullet"/>
        <w:keepLines/>
      </w:pPr>
      <w:r>
        <w:rPr>
          <w:b/>
        </w:rPr>
        <w:t>Shape of the service.</w:t>
      </w:r>
      <w:r>
        <w:rPr/>
        <w:t xml:space="preserve"> Jose (11:39, 19:39–23:54): adjust the Interoperability API so there is an endpoint where you pick the KPI and it returns results — a KPI can have several, so it is not one to one — and PRMS pulls the text into the box; the user presses create or save. Jose builds it as something external and hands it over.</w:t>
      </w:r>
    </w:p>
    <w:p>
      <w:pPr>
        <w:pStyle w:val="ListBullet"/>
        <w:keepLines/>
      </w:pPr>
      <w:r>
        <w:rPr>
          <w:b/>
        </w:rPr>
        <w:t>Scope.</w:t>
      </w:r>
      <w:r>
        <w:rPr/>
        <w:t xml:space="preserve"> Ángel (26:19) asked whether this applies only to programs; Jose: pooled Window 1/2 only, never Centers or bilateral projects.</w:t>
      </w:r>
    </w:p>
    <w:p>
      <w:pPr>
        <w:pStyle w:val="ListBullet"/>
        <w:keepLines/>
      </w:pPr>
      <w:r>
        <w:rPr>
          <w:b/>
        </w:rPr>
        <w:t>A prototype instead of a mock-up.</w:t>
      </w:r>
      <w:r>
        <w:rPr/>
        <w:t xml:space="preserve"> Héctor (29:18) proposed a mock-up for Nicoleta; Jose asked to wait for something tangible built from the transcript. This document and the screenshots in section 6 are that prototype.</w:t>
      </w:r>
    </w:p>
    <w:p>
      <w:pPr>
        <w:pStyle w:val="ListBullet"/>
        <w:keepLines/>
      </w:pPr>
      <w:r>
        <w:rPr>
          <w:b/>
        </w:rPr>
        <w:t>Capacity and dates.</w:t>
      </w:r>
      <w:r>
        <w:rPr/>
        <w:t xml:space="preserve"> The Alliance team is fully on pooled-funding and W3/bilateral deliveries this week and next; Juan Carlos can dedicate time with Juan David after the week of 21–25 September. The 2026 Reporting Tool opened on 14 September; the information session for Programs and Accelerators is on 17 September.</w:t>
      </w:r>
    </w:p>
    <w:p>
      <w:pPr>
        <w:pStyle w:val="ListBullet"/>
        <w:keepLines/>
      </w:pPr>
      <w:r>
        <w:rPr>
          <w:b/>
        </w:rPr>
        <w:t>Duplicates.</w:t>
      </w:r>
      <w:r>
        <w:rPr/>
        <w:t xml:space="preserve"> Ángel (0:06): PRMS already validates duplicate titles and is building a metadata-based check (same metadata, different title); this becomes the natural home of the duplicate rule in section 8.</w:t>
      </w:r>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2948"/>
        <w:gridCol w:w="1701"/>
        <w:gridCol w:w="4989"/>
      </w:tblGrid>
      <w:tr>
        <w:trPr>
          <w:cantSplit/>
          <w:tblHeader/>
        </w:trPr>
        <w:tc>
          <w:tcPr>
            <w:tcW w:type="dxa" w:w="2948"/>
            <w:shd w:val="clear" w:color="auto" w:fill="E8EEF4"/>
            <w:vAlign w:val="top"/>
          </w:tcPr>
          <w:p>
            <w:pPr>
              <w:keepNext/>
              <w:spacing w:before="0" w:after="0" w:line="240" w:lineRule="auto"/>
            </w:pPr>
            <w:r>
              <w:rPr>
                <w:b/>
                <w:color w:val="00477A"/>
                <w:sz w:val="19"/>
              </w:rPr>
              <w:t>Agreed point</w:t>
            </w:r>
          </w:p>
        </w:tc>
        <w:tc>
          <w:tcPr>
            <w:tcW w:type="dxa" w:w="1701"/>
            <w:shd w:val="clear" w:color="auto" w:fill="E8EEF4"/>
            <w:vAlign w:val="top"/>
          </w:tcPr>
          <w:p>
            <w:pPr>
              <w:keepNext/>
              <w:spacing w:before="0" w:after="0" w:line="240" w:lineRule="auto"/>
            </w:pPr>
            <w:r>
              <w:rPr>
                <w:b/>
                <w:color w:val="00477A"/>
                <w:sz w:val="19"/>
              </w:rPr>
              <w:t>Who</w:t>
            </w:r>
          </w:p>
        </w:tc>
        <w:tc>
          <w:tcPr>
            <w:tcW w:type="dxa" w:w="4989"/>
            <w:shd w:val="clear" w:color="auto" w:fill="E8EEF4"/>
            <w:vAlign w:val="top"/>
          </w:tcPr>
          <w:p>
            <w:pPr>
              <w:keepNext/>
              <w:spacing w:before="0" w:after="0" w:line="240" w:lineRule="auto"/>
            </w:pPr>
            <w:r>
              <w:rPr>
                <w:b/>
                <w:color w:val="00477A"/>
                <w:sz w:val="19"/>
              </w:rPr>
              <w:t>Where it lands in this prototype</w:t>
            </w:r>
          </w:p>
        </w:tc>
      </w:tr>
      <w:tr>
        <w:trPr>
          <w:cantSplit/>
        </w:trPr>
        <w:tc>
          <w:tcPr>
            <w:tcW w:type="dxa" w:w="2948"/>
            <w:vAlign w:val="top"/>
          </w:tcPr>
          <w:p>
            <w:pPr>
              <w:spacing w:before="0" w:after="0" w:line="240" w:lineRule="auto"/>
            </w:pPr>
            <w:r>
              <w:rPr>
                <w:b/>
                <w:sz w:val="19"/>
              </w:rPr>
              <w:t>PRMS pulls results per KPI; the user creates</w:t>
            </w:r>
          </w:p>
        </w:tc>
        <w:tc>
          <w:tcPr>
            <w:tcW w:type="dxa" w:w="1701"/>
            <w:vAlign w:val="top"/>
          </w:tcPr>
          <w:p>
            <w:pPr>
              <w:spacing w:before="0" w:after="0" w:line="240" w:lineRule="auto"/>
            </w:pPr>
            <w:r>
              <w:rPr>
                <w:sz w:val="19"/>
              </w:rPr>
              <w:t>Jose, Juan Carlos, Héctor</w:t>
            </w:r>
          </w:p>
        </w:tc>
        <w:tc>
          <w:tcPr>
            <w:tcW w:type="dxa" w:w="4989"/>
            <w:vAlign w:val="top"/>
          </w:tcPr>
          <w:p>
            <w:pPr>
              <w:spacing w:before="0" w:after="0" w:line="240" w:lineRule="auto"/>
            </w:pPr>
            <w:r>
              <w:rPr>
                <w:sz w:val="19"/>
              </w:rPr>
              <w:t>Section 2 (operating model), section 6 (the Report form)</w:t>
            </w:r>
          </w:p>
        </w:tc>
      </w:tr>
      <w:tr>
        <w:trPr>
          <w:cantSplit/>
        </w:trPr>
        <w:tc>
          <w:tcPr>
            <w:tcW w:type="dxa" w:w="2948"/>
            <w:vAlign w:val="top"/>
          </w:tcPr>
          <w:p>
            <w:pPr>
              <w:spacing w:before="0" w:after="0" w:line="240" w:lineRule="auto"/>
            </w:pPr>
            <w:r>
              <w:rPr>
                <w:b/>
                <w:sz w:val="19"/>
              </w:rPr>
              <w:t>One KPI → one or many results</w:t>
            </w:r>
          </w:p>
        </w:tc>
        <w:tc>
          <w:tcPr>
            <w:tcW w:type="dxa" w:w="1701"/>
            <w:vAlign w:val="top"/>
          </w:tcPr>
          <w:p>
            <w:pPr>
              <w:spacing w:before="0" w:after="0" w:line="240" w:lineRule="auto"/>
            </w:pPr>
            <w:r>
              <w:rPr>
                <w:sz w:val="19"/>
              </w:rPr>
              <w:t>Jose</w:t>
            </w:r>
          </w:p>
        </w:tc>
        <w:tc>
          <w:tcPr>
            <w:tcW w:type="dxa" w:w="4989"/>
            <w:vAlign w:val="top"/>
          </w:tcPr>
          <w:p>
            <w:pPr>
              <w:spacing w:before="0" w:after="0" w:line="240" w:lineRule="auto"/>
            </w:pPr>
            <w:r>
              <w:rPr>
                <w:rFonts w:ascii="Consolas" w:hAnsi="Consolas"/>
                <w:color w:val="1F3A5F"/>
                <w:sz w:val="17"/>
              </w:rPr>
              <w:t>results[]</w:t>
            </w:r>
            <w:r>
              <w:rPr>
                <w:sz w:val="19"/>
              </w:rPr>
              <w:t xml:space="preserve"> in the response contract, section 4</w:t>
            </w:r>
          </w:p>
        </w:tc>
      </w:tr>
      <w:tr>
        <w:trPr>
          <w:cantSplit/>
        </w:trPr>
        <w:tc>
          <w:tcPr>
            <w:tcW w:type="dxa" w:w="2948"/>
            <w:vAlign w:val="top"/>
          </w:tcPr>
          <w:p>
            <w:pPr>
              <w:spacing w:before="0" w:after="0" w:line="240" w:lineRule="auto"/>
            </w:pPr>
            <w:r>
              <w:rPr>
                <w:b/>
                <w:sz w:val="19"/>
              </w:rPr>
              <w:t>Something external, handed over</w:t>
            </w:r>
          </w:p>
        </w:tc>
        <w:tc>
          <w:tcPr>
            <w:tcW w:type="dxa" w:w="1701"/>
            <w:vAlign w:val="top"/>
          </w:tcPr>
          <w:p>
            <w:pPr>
              <w:spacing w:before="0" w:after="0" w:line="240" w:lineRule="auto"/>
            </w:pPr>
            <w:r>
              <w:rPr>
                <w:sz w:val="19"/>
              </w:rPr>
              <w:t>Jose, Juan David</w:t>
            </w:r>
          </w:p>
        </w:tc>
        <w:tc>
          <w:tcPr>
            <w:tcW w:type="dxa" w:w="4989"/>
            <w:vAlign w:val="top"/>
          </w:tcPr>
          <w:p>
            <w:pPr>
              <w:spacing w:before="0" w:after="0" w:line="240" w:lineRule="auto"/>
            </w:pPr>
            <w:r>
              <w:rPr>
                <w:sz w:val="19"/>
              </w:rPr>
              <w:t>Three endpoints (section 4) + the numbered port list (section 7)</w:t>
            </w:r>
          </w:p>
        </w:tc>
      </w:tr>
      <w:tr>
        <w:trPr>
          <w:cantSplit/>
        </w:trPr>
        <w:tc>
          <w:tcPr>
            <w:tcW w:type="dxa" w:w="2948"/>
            <w:vAlign w:val="top"/>
          </w:tcPr>
          <w:p>
            <w:pPr>
              <w:spacing w:before="0" w:after="0" w:line="240" w:lineRule="auto"/>
            </w:pPr>
            <w:r>
              <w:rPr>
                <w:b/>
                <w:sz w:val="19"/>
              </w:rPr>
              <w:t>Programs, pooled W1/W2 only</w:t>
            </w:r>
          </w:p>
        </w:tc>
        <w:tc>
          <w:tcPr>
            <w:tcW w:type="dxa" w:w="1701"/>
            <w:vAlign w:val="top"/>
          </w:tcPr>
          <w:p>
            <w:pPr>
              <w:spacing w:before="0" w:after="0" w:line="240" w:lineRule="auto"/>
            </w:pPr>
            <w:r>
              <w:rPr>
                <w:sz w:val="19"/>
              </w:rPr>
              <w:t>Ángel, Jose</w:t>
            </w:r>
          </w:p>
        </w:tc>
        <w:tc>
          <w:tcPr>
            <w:tcW w:type="dxa" w:w="4989"/>
            <w:vAlign w:val="top"/>
          </w:tcPr>
          <w:p>
            <w:pPr>
              <w:spacing w:before="0" w:after="0" w:line="240" w:lineRule="auto"/>
            </w:pPr>
            <w:r>
              <w:rPr>
                <w:sz w:val="19"/>
              </w:rPr>
              <w:t>The Progress Tracker’s reference data is PORB-only; no Center or bilateral indicators exist in it</w:t>
            </w:r>
          </w:p>
        </w:tc>
      </w:tr>
      <w:tr>
        <w:trPr>
          <w:cantSplit/>
        </w:trPr>
        <w:tc>
          <w:tcPr>
            <w:tcW w:type="dxa" w:w="2948"/>
            <w:vAlign w:val="top"/>
          </w:tcPr>
          <w:p>
            <w:pPr>
              <w:spacing w:before="0" w:after="0" w:line="240" w:lineRule="auto"/>
            </w:pPr>
            <w:r>
              <w:rPr>
                <w:b/>
                <w:sz w:val="19"/>
              </w:rPr>
              <w:t>“N results ready to bring” on the indicator</w:t>
            </w:r>
          </w:p>
        </w:tc>
        <w:tc>
          <w:tcPr>
            <w:tcW w:type="dxa" w:w="1701"/>
            <w:vAlign w:val="top"/>
          </w:tcPr>
          <w:p>
            <w:pPr>
              <w:spacing w:before="0" w:after="0" w:line="240" w:lineRule="auto"/>
            </w:pPr>
            <w:r>
              <w:rPr>
                <w:sz w:val="19"/>
              </w:rPr>
              <w:t>Juan Carlos</w:t>
            </w:r>
          </w:p>
        </w:tc>
        <w:tc>
          <w:tcPr>
            <w:tcW w:type="dxa" w:w="4989"/>
            <w:vAlign w:val="top"/>
          </w:tcPr>
          <w:p>
            <w:pPr>
              <w:spacing w:before="0" w:after="0" w:line="240" w:lineRule="auto"/>
            </w:pPr>
            <w:r>
              <w:rPr>
                <w:rFonts w:ascii="Consolas" w:hAnsi="Consolas"/>
                <w:color w:val="1F3A5F"/>
                <w:sz w:val="17"/>
              </w:rPr>
              <w:t>ready-counts</w:t>
            </w:r>
            <w:r>
              <w:rPr>
                <w:sz w:val="19"/>
              </w:rPr>
              <w:t xml:space="preserve"> endpoint (section 4.3); badge left optional</w:t>
            </w:r>
          </w:p>
        </w:tc>
      </w:tr>
      <w:tr>
        <w:trPr>
          <w:cantSplit/>
        </w:trPr>
        <w:tc>
          <w:tcPr>
            <w:tcW w:type="dxa" w:w="2948"/>
            <w:vAlign w:val="top"/>
          </w:tcPr>
          <w:p>
            <w:pPr>
              <w:spacing w:before="0" w:after="0" w:line="240" w:lineRule="auto"/>
            </w:pPr>
            <w:r>
              <w:rPr>
                <w:b/>
                <w:sz w:val="19"/>
              </w:rPr>
              <w:t>Duplicate detection</w:t>
            </w:r>
          </w:p>
        </w:tc>
        <w:tc>
          <w:tcPr>
            <w:tcW w:type="dxa" w:w="1701"/>
            <w:vAlign w:val="top"/>
          </w:tcPr>
          <w:p>
            <w:pPr>
              <w:spacing w:before="0" w:after="0" w:line="240" w:lineRule="auto"/>
            </w:pPr>
            <w:r>
              <w:rPr>
                <w:sz w:val="19"/>
              </w:rPr>
              <w:t>Ángel, Juan David</w:t>
            </w:r>
          </w:p>
        </w:tc>
        <w:tc>
          <w:tcPr>
            <w:tcW w:type="dxa" w:w="4989"/>
            <w:vAlign w:val="top"/>
          </w:tcPr>
          <w:p>
            <w:pPr>
              <w:spacing w:before="0" w:after="0" w:line="240" w:lineRule="auto"/>
            </w:pPr>
            <w:r>
              <w:rPr>
                <w:rFonts w:ascii="Consolas" w:hAnsi="Consolas"/>
                <w:color w:val="1F3A5F"/>
                <w:sz w:val="17"/>
              </w:rPr>
              <w:t>result_key</w:t>
            </w:r>
            <w:r>
              <w:rPr>
                <w:sz w:val="19"/>
              </w:rPr>
              <w:t xml:space="preserve"> + </w:t>
            </w:r>
            <w:r>
              <w:rPr>
                <w:rFonts w:ascii="Consolas" w:hAnsi="Consolas"/>
                <w:color w:val="1F3A5F"/>
                <w:sz w:val="17"/>
              </w:rPr>
              <w:t>evidence_fingerprint</w:t>
            </w:r>
            <w:r>
              <w:rPr>
                <w:sz w:val="19"/>
              </w:rPr>
              <w:t xml:space="preserve"> on every draft (section 8)</w:t>
            </w:r>
          </w:p>
        </w:tc>
      </w:tr>
      <w:tr>
        <w:trPr>
          <w:cantSplit/>
        </w:trPr>
        <w:tc>
          <w:tcPr>
            <w:tcW w:type="dxa" w:w="2948"/>
            <w:vAlign w:val="top"/>
          </w:tcPr>
          <w:p>
            <w:pPr>
              <w:spacing w:before="0" w:after="0" w:line="240" w:lineRule="auto"/>
            </w:pPr>
            <w:r>
              <w:rPr>
                <w:b/>
                <w:sz w:val="19"/>
              </w:rPr>
              <w:t>Mock-up for Nicoleta</w:t>
            </w:r>
          </w:p>
        </w:tc>
        <w:tc>
          <w:tcPr>
            <w:tcW w:type="dxa" w:w="1701"/>
            <w:vAlign w:val="top"/>
          </w:tcPr>
          <w:p>
            <w:pPr>
              <w:spacing w:before="0" w:after="0" w:line="240" w:lineRule="auto"/>
            </w:pPr>
            <w:r>
              <w:rPr>
                <w:sz w:val="19"/>
              </w:rPr>
              <w:t>Héctor, Jose</w:t>
            </w:r>
          </w:p>
        </w:tc>
        <w:tc>
          <w:tcPr>
            <w:tcW w:type="dxa" w:w="4989"/>
            <w:vAlign w:val="top"/>
          </w:tcPr>
          <w:p>
            <w:pPr>
              <w:spacing w:before="0" w:after="0" w:line="240" w:lineRule="auto"/>
            </w:pPr>
            <w:r>
              <w:rPr>
                <w:sz w:val="19"/>
              </w:rPr>
              <w:t>This document; section 8 (c) proposes the joint sign-off</w:t>
            </w:r>
          </w:p>
        </w:tc>
      </w:tr>
    </w:tbl>
    <w:p>
      <w:pPr>
        <w:spacing w:before="0" w:after="80" w:line="240" w:lineRule="auto"/>
      </w:pPr>
    </w:p>
    <w:p>
      <w:pPr>
        <w:pStyle w:val="Heading1"/>
      </w:pPr>
      <w:bookmarkStart w:id="103" w:name="_Toc3"/>
      <w:r>
        <w:rPr/>
        <w:t>2. The operating model</w:t>
      </w:r>
      <w:bookmarkEnd w:id="103"/>
    </w:p>
    <w:p>
      <w:pPr>
        <w:keepNext/>
        <w:keepLines/>
        <w:spacing w:before="120" w:after="40"/>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operating-model.png"/>
                    <pic:cNvPicPr/>
                  </pic:nvPicPr>
                  <pic:blipFill>
                    <a:blip r:embed="rId13"/>
                    <a:stretch>
                      <a:fillRect/>
                    </a:stretch>
                  </pic:blipFill>
                  <pic:spPr>
                    <a:xfrm>
                      <a:off x="0" y="0"/>
                      <a:ext cx="5760000" cy="3840000"/>
                    </a:xfrm>
                    <a:prstGeom prst="rect"/>
                  </pic:spPr>
                </pic:pic>
              </a:graphicData>
            </a:graphic>
          </wp:inline>
        </w:drawing>
      </w:r>
    </w:p>
    <w:p>
      <w:pPr>
        <w:spacing w:before="0" w:after="200" w:line="240" w:lineRule="auto"/>
        <w:jc w:val="center"/>
      </w:pPr>
      <w:bookmarkStart w:id="104" w:name="_Fig1"/>
      <w:r>
        <w:rPr>
          <w:i/>
          <w:color w:val="555B63"/>
          <w:sz w:val="18"/>
        </w:rPr>
        <w:t>Figure 1 — The pull in six steps: the user starts and ends in PRMS; the Progress Tracker is only read</w:t>
      </w:r>
      <w:bookmarkEnd w:id="104"/>
    </w:p>
    <w:p>
      <w:pPr>
        <w:keepLines/>
      </w:pPr>
      <w:r>
        <w:rPr/>
        <w:t xml:space="preserve">The user never leaves the PRMS Reporting Tool. On the Reporting tab they open the KPI they want to report and press </w:t>
      </w:r>
      <w:r>
        <w:rPr>
          <w:b/>
        </w:rPr>
        <w:t>Report</w:t>
      </w:r>
      <w:r>
        <w:rPr/>
        <w:t xml:space="preserve">, as today. Inside the Report form, next to the existing entry mode, there is a source called </w:t>
      </w:r>
      <w:r>
        <w:rPr>
          <w:b/>
        </w:rPr>
        <w:t>Progress Tracker</w:t>
      </w:r>
      <w:r>
        <w:rPr/>
        <w:t xml:space="preserve">. Opening it asks the Progress Tracker for the results it can propose for that KPI; the user reads them, opens the details (which evidence supports the draft, why this result type, what is still missing), and presses </w:t>
      </w:r>
      <w:r>
        <w:rPr>
          <w:b/>
        </w:rPr>
        <w:t>Use this result</w:t>
      </w:r>
      <w:r>
        <w:rPr/>
        <w:t xml:space="preserve">. The free-text fields of PRMS’s own create form — title, description and, where the KPI leaves it open, the result type — are pre-filled and left unsaved for review. The result exists only when the user presses PRMS’s own </w:t>
      </w:r>
      <w:r>
        <w:rPr>
          <w:b/>
        </w:rPr>
        <w:t>Create and continue</w:t>
      </w:r>
      <w:r>
        <w:rPr/>
        <w:t xml:space="preserve">; it then lands exactly where any manually created result lands, in </w:t>
      </w:r>
      <w:r>
        <w:rPr>
          <w:b/>
        </w:rPr>
        <w:t>Editing</w:t>
      </w:r>
      <w:r>
        <w:rPr/>
        <w:t>, owned by the Science Program, labelled W1/W2.</w:t>
      </w:r>
    </w:p>
    <w:p>
      <w:pPr>
        <w:keepNext/>
        <w:keepLines/>
        <w:spacing w:after="40"/>
      </w:pPr>
      <w:r>
        <w:rPr/>
        <w:t>Stated plainly, and consistent with the FAQ (questions 3, 6, 9 and 10) and the on-ramp document:</w:t>
      </w:r>
    </w:p>
    <w:p>
      <w:pPr>
        <w:pStyle w:val="ListBullet"/>
        <w:keepLines/>
      </w:pPr>
      <w:r>
        <w:rPr>
          <w:b/>
        </w:rPr>
        <w:t>The API never writes to PRMS.</w:t>
      </w:r>
      <w:r>
        <w:rPr/>
        <w:t xml:space="preserve"> The Interoperability API only answers GET requests. The only thing it stores on its own side is a cache of the drafts it produced, keyed on the evidence it saw.</w:t>
      </w:r>
    </w:p>
    <w:p>
      <w:pPr>
        <w:pStyle w:val="ListBullet"/>
        <w:keepLines/>
      </w:pPr>
      <w:r>
        <w:rPr>
          <w:b/>
        </w:rPr>
        <w:t>Nothing is saved until the user creates.</w:t>
      </w:r>
      <w:r>
        <w:rPr/>
        <w:t xml:space="preserve"> Pre-fill is not creation. A user can look at the proposals, use one, change their mind and choose another, or ignore them all and type by hand.</w:t>
      </w:r>
    </w:p>
    <w:p>
      <w:pPr>
        <w:pStyle w:val="ListBullet"/>
        <w:keepLines/>
      </w:pPr>
      <w:r>
        <w:rPr>
          <w:b/>
        </w:rPr>
        <w:t>A person finalises every result</w:t>
      </w:r>
      <w:r>
        <w:rPr/>
        <w:t>, through the normal PRMS workflow: complete the sections, validate, submit, QA.</w:t>
      </w:r>
    </w:p>
    <w:p>
      <w:pPr>
        <w:pStyle w:val="ListBullet"/>
        <w:keepLines/>
      </w:pPr>
      <w:r>
        <w:rPr>
          <w:b/>
        </w:rPr>
        <w:t>PRMS remains the system of record.</w:t>
      </w:r>
      <w:r>
        <w:rPr/>
        <w:t xml:space="preserve"> The Progress Tracker keeps evidence and drafts; it does not keep a copy of the result.</w:t>
      </w:r>
    </w:p>
    <w:p>
      <w:pPr>
        <w:pStyle w:val="ListBullet"/>
        <w:keepLines/>
      </w:pPr>
      <w:r>
        <w:rPr>
          <w:b/>
        </w:rPr>
        <w:t>Pooled Window 1/2 programs only.</w:t>
      </w:r>
      <w:r>
        <w:rPr/>
        <w:t xml:space="preserve"> The Progress Tracker’s indicators come from the PORBs, which contain only W1/W2 data.</w:t>
      </w:r>
    </w:p>
    <w:p>
      <w:pPr>
        <w:keepLines/>
      </w:pPr>
      <w:r>
        <w:rPr/>
        <w:t xml:space="preserve">Because the result is created by PRMS’s own Create action, the question raised on the call — whether pulled results should land in </w:t>
      </w:r>
      <w:r>
        <w:rPr>
          <w:i/>
        </w:rPr>
        <w:t>Editing</w:t>
      </w:r>
      <w:r>
        <w:rPr/>
        <w:t xml:space="preserve"> or </w:t>
      </w:r>
      <w:r>
        <w:rPr>
          <w:i/>
        </w:rPr>
        <w:t>Pending Review</w:t>
      </w:r>
      <w:r>
        <w:rPr/>
        <w:t xml:space="preserve"> — disappears: they land where PRMS puts a result created by that user. The push door discussed since June (registering the Progress Tracker as a platform with its own key and </w:t>
      </w:r>
      <w:r>
        <w:rPr>
          <w:rFonts w:ascii="Consolas" w:hAnsi="Consolas"/>
          <w:color w:val="1F3A5F"/>
          <w:sz w:val="19"/>
        </w:rPr>
        <w:t>keep_editing</w:t>
      </w:r>
      <w:r>
        <w:rPr/>
        <w:t>, both shipped by the PRMS team on 27 August and 10 September) remains the Alliance’s item (a); this document is item (b).</w:t>
      </w:r>
    </w:p>
    <w:p>
      <w:pPr>
        <w:pStyle w:val="Heading1"/>
      </w:pPr>
      <w:bookmarkStart w:id="105" w:name="_Toc4"/>
      <w:r>
        <w:rPr/>
        <w:t>3. Architecture</w:t>
      </w:r>
      <w:bookmarkEnd w:id="105"/>
    </w:p>
    <w:p>
      <w:pPr>
        <w:keepNext/>
        <w:keepLines/>
        <w:spacing w:before="120" w:after="40"/>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architecture.png"/>
                    <pic:cNvPicPr/>
                  </pic:nvPicPr>
                  <pic:blipFill>
                    <a:blip r:embed="rId14"/>
                    <a:stretch>
                      <a:fillRect/>
                    </a:stretch>
                  </pic:blipFill>
                  <pic:spPr>
                    <a:xfrm>
                      <a:off x="0" y="0"/>
                      <a:ext cx="5760000" cy="3840000"/>
                    </a:xfrm>
                    <a:prstGeom prst="rect"/>
                  </pic:spPr>
                </pic:pic>
              </a:graphicData>
            </a:graphic>
          </wp:inline>
        </w:drawing>
      </w:r>
    </w:p>
    <w:p>
      <w:pPr>
        <w:spacing w:before="0" w:after="200" w:line="240" w:lineRule="auto"/>
        <w:jc w:val="center"/>
      </w:pPr>
      <w:bookmarkStart w:id="106" w:name="_Fig2"/>
      <w:r>
        <w:rPr>
          <w:i/>
          <w:color w:val="555B63"/>
          <w:sz w:val="18"/>
        </w:rPr>
        <w:t>Figure 2 — Architecture: the PRMS server proxies one read-only call to the Interoperability API; the write to PRMS happens only when the user creates</w:t>
      </w:r>
      <w:bookmarkEnd w:id="106"/>
    </w:p>
    <w:p>
      <w:pPr>
        <w:keepNext/>
        <w:keepLines/>
        <w:spacing w:after="40"/>
      </w:pPr>
      <w:r>
        <w:rPr/>
        <w:t>Three moving parts, two of which already exist in the real PRMS code base:</w:t>
      </w:r>
    </w:p>
    <w:p>
      <w:pPr>
        <w:pStyle w:val="ListBullet"/>
        <w:keepLines/>
      </w:pPr>
      <w:r>
        <w:rPr>
          <w:b/>
        </w:rPr>
        <w:t>PRMS Reporting Tool, Angular client.</w:t>
      </w:r>
      <w:r>
        <w:rPr/>
        <w:t xml:space="preserve"> The Report form gains one source component (“Progress Tracker”) that lists proposals and pre-fills the form. It talks only to the PRMS server.</w:t>
      </w:r>
    </w:p>
    <w:p>
      <w:pPr>
        <w:pStyle w:val="ListBullet"/>
        <w:keepLines/>
      </w:pPr>
      <w:r>
        <w:rPr>
          <w:b/>
        </w:rPr>
        <w:t>PRMS Reporting Tool, NestJS server.</w:t>
      </w:r>
      <w:r>
        <w:rPr/>
        <w:t xml:space="preserve"> A small </w:t>
      </w:r>
      <w:r>
        <w:rPr>
          <w:rFonts w:ascii="Consolas" w:hAnsi="Consolas"/>
          <w:color w:val="1F3A5F"/>
          <w:sz w:val="19"/>
        </w:rPr>
        <w:t>progress-tracker</w:t>
      </w:r>
      <w:r>
        <w:rPr/>
        <w:t xml:space="preserve"> module proxies the call server-to-server, exactly like the existing </w:t>
      </w:r>
      <w:r>
        <w:rPr>
          <w:rFonts w:ascii="Consolas" w:hAnsi="Consolas"/>
          <w:color w:val="1F3A5F"/>
          <w:sz w:val="19"/>
        </w:rPr>
        <w:t>cgspace-discovery</w:t>
      </w:r>
      <w:r>
        <w:rPr/>
        <w:t xml:space="preserve"> module proxies CGSpace, MELSpace and WorldFish: base URL and API key from environment variables, a whitelisted query, a 25 s timeout, and a classified status (</w:t>
      </w:r>
      <w:r>
        <w:rPr>
          <w:rFonts w:ascii="Consolas" w:hAnsi="Consolas"/>
          <w:color w:val="1F3A5F"/>
          <w:sz w:val="19"/>
        </w:rPr>
        <w:t>ok</w:t>
      </w:r>
      <w:r>
        <w:rPr/>
        <w:t xml:space="preserve">, </w:t>
      </w:r>
      <w:r>
        <w:rPr>
          <w:rFonts w:ascii="Consolas" w:hAnsi="Consolas"/>
          <w:color w:val="1F3A5F"/>
          <w:sz w:val="19"/>
        </w:rPr>
        <w:t>not_found</w:t>
      </w:r>
      <w:r>
        <w:rPr/>
        <w:t xml:space="preserve">, </w:t>
      </w:r>
      <w:r>
        <w:rPr>
          <w:rFonts w:ascii="Consolas" w:hAnsi="Consolas"/>
          <w:color w:val="1F3A5F"/>
          <w:sz w:val="19"/>
        </w:rPr>
        <w:t>unavailable</w:t>
      </w:r>
      <w:r>
        <w:rPr/>
        <w:t>) so the client never sees an upstream error message or host.</w:t>
      </w:r>
    </w:p>
    <w:p>
      <w:pPr>
        <w:pStyle w:val="ListBullet"/>
        <w:keepLines/>
      </w:pPr>
      <w:r>
        <w:rPr>
          <w:b/>
        </w:rPr>
        <w:t>Progress Tracker Interoperability API</w:t>
      </w:r>
      <w:r>
        <w:rPr/>
        <w:t xml:space="preserve"> (FastAPI on AWS Lambda behind API Gateway, eu-central-1; repository </w:t>
      </w:r>
      <w:r>
        <w:rPr>
          <w:rFonts w:ascii="Consolas" w:hAnsi="Consolas"/>
          <w:color w:val="1F3A5F"/>
          <w:sz w:val="19"/>
        </w:rPr>
        <w:t>cgiar-ppu/progress-tracker-interoperability-api</w:t>
      </w:r>
      <w:r>
        <w:rPr/>
        <w:t xml:space="preserve">). A new </w:t>
      </w:r>
      <w:r>
        <w:rPr>
          <w:rFonts w:ascii="Consolas" w:hAnsi="Consolas"/>
          <w:color w:val="1F3A5F"/>
          <w:sz w:val="19"/>
        </w:rPr>
        <w:t>prms_pull</w:t>
      </w:r>
      <w:r>
        <w:rPr/>
        <w:t xml:space="preserve"> router with three routes reads the Progress Tracker’s reference and evidence tables (DynamoDB), extracts text from the evidence files (S3), asks a small model (Claude Haiku 4.5) for PRMS-shaped drafts, and caches the answer. Feature-flagged: </w:t>
      </w:r>
      <w:r>
        <w:rPr>
          <w:rFonts w:ascii="Consolas" w:hAnsi="Consolas"/>
          <w:color w:val="1F3A5F"/>
          <w:sz w:val="19"/>
        </w:rPr>
        <w:t>PRMS_PULL_ENABLED</w:t>
      </w:r>
      <w:r>
        <w:rPr/>
        <w:t xml:space="preserve"> is on for dev and staging and off for production.</w:t>
      </w:r>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2381"/>
        <w:gridCol w:w="2494"/>
        <w:gridCol w:w="2494"/>
        <w:gridCol w:w="2268"/>
      </w:tblGrid>
      <w:tr>
        <w:trPr>
          <w:cantSplit/>
          <w:tblHeader/>
        </w:trPr>
        <w:tc>
          <w:tcPr>
            <w:tcW w:type="dxa" w:w="2381"/>
            <w:shd w:val="clear" w:color="auto" w:fill="E8EEF4"/>
            <w:vAlign w:val="top"/>
          </w:tcPr>
          <w:p>
            <w:pPr>
              <w:keepNext/>
              <w:spacing w:before="0" w:after="0" w:line="240" w:lineRule="auto"/>
            </w:pPr>
            <w:r>
              <w:rPr>
                <w:b/>
                <w:color w:val="00477A"/>
                <w:sz w:val="18"/>
              </w:rPr>
              <w:t>Component</w:t>
            </w:r>
          </w:p>
        </w:tc>
        <w:tc>
          <w:tcPr>
            <w:tcW w:type="dxa" w:w="2494"/>
            <w:shd w:val="clear" w:color="auto" w:fill="E8EEF4"/>
            <w:vAlign w:val="top"/>
          </w:tcPr>
          <w:p>
            <w:pPr>
              <w:keepNext/>
              <w:spacing w:before="0" w:after="0" w:line="240" w:lineRule="auto"/>
            </w:pPr>
            <w:r>
              <w:rPr>
                <w:b/>
                <w:color w:val="00477A"/>
                <w:sz w:val="18"/>
              </w:rPr>
              <w:t>Dev</w:t>
            </w:r>
          </w:p>
        </w:tc>
        <w:tc>
          <w:tcPr>
            <w:tcW w:type="dxa" w:w="2494"/>
            <w:shd w:val="clear" w:color="auto" w:fill="E8EEF4"/>
            <w:vAlign w:val="top"/>
          </w:tcPr>
          <w:p>
            <w:pPr>
              <w:keepNext/>
              <w:spacing w:before="0" w:after="0" w:line="240" w:lineRule="auto"/>
            </w:pPr>
            <w:r>
              <w:rPr>
                <w:b/>
                <w:color w:val="00477A"/>
                <w:sz w:val="18"/>
              </w:rPr>
              <w:t>Staging / Test</w:t>
            </w:r>
          </w:p>
        </w:tc>
        <w:tc>
          <w:tcPr>
            <w:tcW w:type="dxa" w:w="2268"/>
            <w:shd w:val="clear" w:color="auto" w:fill="E8EEF4"/>
            <w:vAlign w:val="top"/>
          </w:tcPr>
          <w:p>
            <w:pPr>
              <w:keepNext/>
              <w:spacing w:before="0" w:after="0" w:line="240" w:lineRule="auto"/>
            </w:pPr>
            <w:r>
              <w:rPr>
                <w:b/>
                <w:color w:val="00477A"/>
                <w:sz w:val="18"/>
              </w:rPr>
              <w:t>Production</w:t>
            </w:r>
          </w:p>
        </w:tc>
      </w:tr>
      <w:tr>
        <w:trPr>
          <w:cantSplit/>
        </w:trPr>
        <w:tc>
          <w:tcPr>
            <w:tcW w:type="dxa" w:w="2381"/>
            <w:vAlign w:val="top"/>
          </w:tcPr>
          <w:p>
            <w:pPr>
              <w:spacing w:before="0" w:after="0" w:line="240" w:lineRule="auto"/>
            </w:pPr>
            <w:r>
              <w:rPr>
                <w:b/>
                <w:sz w:val="18"/>
              </w:rPr>
              <w:t>Interop API base URL</w:t>
            </w:r>
          </w:p>
        </w:tc>
        <w:tc>
          <w:tcPr>
            <w:tcW w:type="dxa" w:w="2494"/>
            <w:vAlign w:val="top"/>
          </w:tcPr>
          <w:p>
            <w:pPr>
              <w:spacing w:before="0" w:after="0" w:line="240" w:lineRule="auto"/>
            </w:pPr>
            <w:r>
              <w:rPr>
                <w:rFonts w:ascii="Consolas" w:hAnsi="Consolas"/>
                <w:color w:val="1F3A5F"/>
                <w:sz w:val="16"/>
              </w:rPr>
              <w:t>https://mrl8hgyyye.execute-api.eu-central-1.amazonaws.com/dev</w:t>
            </w:r>
          </w:p>
        </w:tc>
        <w:tc>
          <w:tcPr>
            <w:tcW w:type="dxa" w:w="2494"/>
            <w:vAlign w:val="top"/>
          </w:tcPr>
          <w:p>
            <w:pPr>
              <w:spacing w:before="0" w:after="0" w:line="240" w:lineRule="auto"/>
            </w:pPr>
            <w:r>
              <w:rPr>
                <w:rFonts w:ascii="Consolas" w:hAnsi="Consolas"/>
                <w:color w:val="1F3A5F"/>
                <w:sz w:val="16"/>
              </w:rPr>
              <w:t>https://seyxtu7vha.execute-api.eu-central-1.amazonaws.com/staging</w:t>
            </w:r>
          </w:p>
        </w:tc>
        <w:tc>
          <w:tcPr>
            <w:tcW w:type="dxa" w:w="2268"/>
            <w:vAlign w:val="top"/>
          </w:tcPr>
          <w:p>
            <w:pPr>
              <w:spacing w:before="0" w:after="0" w:line="240" w:lineRule="auto"/>
            </w:pPr>
            <w:r>
              <w:rPr>
                <w:sz w:val="18"/>
              </w:rPr>
              <w:t>not enabled (flag off); URL shared when promoted</w:t>
            </w:r>
          </w:p>
        </w:tc>
      </w:tr>
      <w:tr>
        <w:trPr>
          <w:cantSplit/>
        </w:trPr>
        <w:tc>
          <w:tcPr>
            <w:tcW w:type="dxa" w:w="2381"/>
            <w:vAlign w:val="top"/>
          </w:tcPr>
          <w:p>
            <w:pPr>
              <w:spacing w:before="0" w:after="0" w:line="240" w:lineRule="auto"/>
            </w:pPr>
            <w:r>
              <w:rPr>
                <w:b/>
                <w:sz w:val="18"/>
              </w:rPr>
              <w:t>Interactive docs (OpenAPI)</w:t>
            </w:r>
          </w:p>
        </w:tc>
        <w:tc>
          <w:tcPr>
            <w:tcW w:type="dxa" w:w="2494"/>
            <w:vAlign w:val="top"/>
          </w:tcPr>
          <w:p>
            <w:pPr>
              <w:spacing w:before="0" w:after="0" w:line="240" w:lineRule="auto"/>
            </w:pPr>
            <w:r>
              <w:rPr>
                <w:rFonts w:ascii="Consolas" w:hAnsi="Consolas"/>
                <w:color w:val="1F3A5F"/>
                <w:sz w:val="16"/>
              </w:rPr>
              <w:t>&lt;base&gt;/docs</w:t>
            </w:r>
            <w:r>
              <w:rPr>
                <w:sz w:val="18"/>
              </w:rPr>
              <w:t xml:space="preserve"> — tag “PRMS Pull”</w:t>
            </w:r>
          </w:p>
        </w:tc>
        <w:tc>
          <w:tcPr>
            <w:tcW w:type="dxa" w:w="2494"/>
            <w:vAlign w:val="top"/>
          </w:tcPr>
          <w:p>
            <w:pPr>
              <w:spacing w:before="0" w:after="0" w:line="240" w:lineRule="auto"/>
            </w:pPr>
            <w:r>
              <w:rPr>
                <w:rFonts w:ascii="Consolas" w:hAnsi="Consolas"/>
                <w:color w:val="1F3A5F"/>
                <w:sz w:val="16"/>
              </w:rPr>
              <w:t>&lt;base&gt;/docs</w:t>
            </w:r>
          </w:p>
        </w:tc>
        <w:tc>
          <w:tcPr>
            <w:tcW w:type="dxa" w:w="2268"/>
            <w:vAlign w:val="top"/>
          </w:tcPr>
          <w:p>
            <w:pPr>
              <w:spacing w:before="0" w:after="0" w:line="240" w:lineRule="auto"/>
            </w:pPr>
            <w:r>
              <w:rPr>
                <w:sz w:val="18"/>
              </w:rPr>
              <w:t>—</w:t>
            </w:r>
          </w:p>
        </w:tc>
      </w:tr>
      <w:tr>
        <w:trPr>
          <w:cantSplit/>
        </w:trPr>
        <w:tc>
          <w:tcPr>
            <w:tcW w:type="dxa" w:w="2381"/>
            <w:vAlign w:val="top"/>
          </w:tcPr>
          <w:p>
            <w:pPr>
              <w:spacing w:before="0" w:after="0" w:line="240" w:lineRule="auto"/>
            </w:pPr>
            <w:r>
              <w:rPr>
                <w:rFonts w:ascii="Consolas" w:hAnsi="Consolas"/>
                <w:b/>
                <w:color w:val="1F3A5F"/>
                <w:sz w:val="16"/>
              </w:rPr>
              <w:t>PRMS_PULL_ENABLED</w:t>
            </w:r>
          </w:p>
        </w:tc>
        <w:tc>
          <w:tcPr>
            <w:tcW w:type="dxa" w:w="2494"/>
            <w:vAlign w:val="top"/>
          </w:tcPr>
          <w:p>
            <w:pPr>
              <w:spacing w:before="0" w:after="0" w:line="240" w:lineRule="auto"/>
            </w:pPr>
            <w:r>
              <w:rPr>
                <w:sz w:val="18"/>
              </w:rPr>
              <w:t>on</w:t>
            </w:r>
          </w:p>
        </w:tc>
        <w:tc>
          <w:tcPr>
            <w:tcW w:type="dxa" w:w="2494"/>
            <w:vAlign w:val="top"/>
          </w:tcPr>
          <w:p>
            <w:pPr>
              <w:spacing w:before="0" w:after="0" w:line="240" w:lineRule="auto"/>
            </w:pPr>
            <w:r>
              <w:rPr>
                <w:sz w:val="18"/>
              </w:rPr>
              <w:t>on</w:t>
            </w:r>
          </w:p>
        </w:tc>
        <w:tc>
          <w:tcPr>
            <w:tcW w:type="dxa" w:w="2268"/>
            <w:vAlign w:val="top"/>
          </w:tcPr>
          <w:p>
            <w:pPr>
              <w:spacing w:before="0" w:after="0" w:line="240" w:lineRule="auto"/>
            </w:pPr>
            <w:r>
              <w:rPr>
                <w:sz w:val="18"/>
              </w:rPr>
              <w:t>off</w:t>
            </w:r>
          </w:p>
        </w:tc>
      </w:tr>
      <w:tr>
        <w:trPr>
          <w:cantSplit/>
        </w:trPr>
        <w:tc>
          <w:tcPr>
            <w:tcW w:type="dxa" w:w="2381"/>
            <w:vAlign w:val="top"/>
          </w:tcPr>
          <w:p>
            <w:pPr>
              <w:spacing w:before="0" w:after="0" w:line="240" w:lineRule="auto"/>
            </w:pPr>
            <w:r>
              <w:rPr>
                <w:b/>
                <w:sz w:val="18"/>
              </w:rPr>
              <w:t>Authentication today</w:t>
            </w:r>
          </w:p>
        </w:tc>
        <w:tc>
          <w:tcPr>
            <w:tcW w:type="dxa" w:w="2494"/>
            <w:vAlign w:val="top"/>
          </w:tcPr>
          <w:p>
            <w:pPr>
              <w:spacing w:before="0" w:after="0" w:line="240" w:lineRule="auto"/>
            </w:pPr>
            <w:r>
              <w:rPr>
                <w:sz w:val="18"/>
              </w:rPr>
              <w:t>open (</w:t>
            </w:r>
            <w:r>
              <w:rPr>
                <w:rFonts w:ascii="Consolas" w:hAnsi="Consolas"/>
                <w:color w:val="1F3A5F"/>
                <w:sz w:val="16"/>
              </w:rPr>
              <w:t>AUTH_ENABLED=false</w:t>
            </w:r>
            <w:r>
              <w:rPr>
                <w:sz w:val="18"/>
              </w:rPr>
              <w:t>)</w:t>
            </w:r>
          </w:p>
        </w:tc>
        <w:tc>
          <w:tcPr>
            <w:tcW w:type="dxa" w:w="2494"/>
            <w:vAlign w:val="top"/>
          </w:tcPr>
          <w:p>
            <w:pPr>
              <w:spacing w:before="0" w:after="0" w:line="240" w:lineRule="auto"/>
            </w:pPr>
            <w:r>
              <w:rPr>
                <w:sz w:val="18"/>
              </w:rPr>
              <w:t>open</w:t>
            </w:r>
          </w:p>
        </w:tc>
        <w:tc>
          <w:tcPr>
            <w:tcW w:type="dxa" w:w="2268"/>
            <w:vAlign w:val="top"/>
          </w:tcPr>
          <w:p>
            <w:pPr>
              <w:spacing w:before="0" w:after="0" w:line="240" w:lineRule="auto"/>
            </w:pPr>
            <w:r>
              <w:rPr>
                <w:rFonts w:ascii="Consolas" w:hAnsi="Consolas"/>
                <w:color w:val="1F3A5F"/>
                <w:sz w:val="16"/>
              </w:rPr>
              <w:t>X-API-Key</w:t>
            </w:r>
            <w:r>
              <w:rPr>
                <w:sz w:val="18"/>
              </w:rPr>
              <w:t xml:space="preserve"> once switched on</w:t>
            </w:r>
          </w:p>
        </w:tc>
      </w:tr>
      <w:tr>
        <w:trPr>
          <w:cantSplit/>
        </w:trPr>
        <w:tc>
          <w:tcPr>
            <w:tcW w:type="dxa" w:w="2381"/>
            <w:vAlign w:val="top"/>
          </w:tcPr>
          <w:p>
            <w:pPr>
              <w:spacing w:before="0" w:after="0" w:line="240" w:lineRule="auto"/>
            </w:pPr>
            <w:r>
              <w:rPr>
                <w:b/>
                <w:sz w:val="18"/>
              </w:rPr>
              <w:t>Drafting model</w:t>
            </w:r>
          </w:p>
        </w:tc>
        <w:tc>
          <w:tcPr>
            <w:tcW w:type="dxa" w:w="2494"/>
            <w:vAlign w:val="top"/>
          </w:tcPr>
          <w:p>
            <w:pPr>
              <w:spacing w:before="0" w:after="0" w:line="240" w:lineRule="auto"/>
            </w:pPr>
            <w:r>
              <w:rPr>
                <w:rFonts w:ascii="Consolas" w:hAnsi="Consolas"/>
                <w:color w:val="1F3A5F"/>
                <w:sz w:val="16"/>
              </w:rPr>
              <w:t>claude-haiku-4-5-20251001</w:t>
            </w:r>
          </w:p>
        </w:tc>
        <w:tc>
          <w:tcPr>
            <w:tcW w:type="dxa" w:w="2494"/>
            <w:vAlign w:val="top"/>
          </w:tcPr>
          <w:p>
            <w:pPr>
              <w:spacing w:before="0" w:after="0" w:line="240" w:lineRule="auto"/>
            </w:pPr>
            <w:r>
              <w:rPr>
                <w:sz w:val="18"/>
              </w:rPr>
              <w:t>same</w:t>
            </w:r>
          </w:p>
        </w:tc>
        <w:tc>
          <w:tcPr>
            <w:tcW w:type="dxa" w:w="2268"/>
            <w:vAlign w:val="top"/>
          </w:tcPr>
          <w:p>
            <w:pPr>
              <w:spacing w:before="0" w:after="0" w:line="240" w:lineRule="auto"/>
            </w:pPr>
            <w:r>
              <w:rPr>
                <w:sz w:val="18"/>
              </w:rPr>
              <w:t>same</w:t>
            </w:r>
          </w:p>
        </w:tc>
      </w:tr>
      <w:tr>
        <w:trPr>
          <w:cantSplit/>
        </w:trPr>
        <w:tc>
          <w:tcPr>
            <w:tcW w:type="dxa" w:w="2381"/>
            <w:vAlign w:val="top"/>
          </w:tcPr>
          <w:p>
            <w:pPr>
              <w:spacing w:before="0" w:after="0" w:line="240" w:lineRule="auto"/>
            </w:pPr>
            <w:r>
              <w:rPr>
                <w:b/>
                <w:sz w:val="18"/>
              </w:rPr>
              <w:t>Progress Tracker web app (deep links)</w:t>
            </w:r>
          </w:p>
        </w:tc>
        <w:tc>
          <w:tcPr>
            <w:tcW w:type="dxa" w:w="2494"/>
            <w:vAlign w:val="top"/>
          </w:tcPr>
          <w:p>
            <w:pPr>
              <w:spacing w:before="0" w:after="0" w:line="240" w:lineRule="auto"/>
            </w:pPr>
            <w:r>
              <w:rPr>
                <w:rFonts w:ascii="Consolas" w:hAnsi="Consolas"/>
                <w:color w:val="1F3A5F"/>
                <w:sz w:val="16"/>
              </w:rPr>
              <w:t>https://dev-performance-tracker.synapsis-analytics.com</w:t>
            </w:r>
          </w:p>
        </w:tc>
        <w:tc>
          <w:tcPr>
            <w:tcW w:type="dxa" w:w="2494"/>
            <w:vAlign w:val="top"/>
          </w:tcPr>
          <w:p>
            <w:pPr>
              <w:spacing w:before="0" w:after="0" w:line="240" w:lineRule="auto"/>
            </w:pPr>
            <w:r>
              <w:rPr>
                <w:rFonts w:ascii="Consolas" w:hAnsi="Consolas"/>
                <w:color w:val="1F3A5F"/>
                <w:sz w:val="16"/>
              </w:rPr>
              <w:t>https://staging-performance-tracker.synapsis-analytics.com</w:t>
            </w:r>
          </w:p>
        </w:tc>
        <w:tc>
          <w:tcPr>
            <w:tcW w:type="dxa" w:w="2268"/>
            <w:vAlign w:val="top"/>
          </w:tcPr>
          <w:p>
            <w:pPr>
              <w:spacing w:before="0" w:after="0" w:line="240" w:lineRule="auto"/>
            </w:pPr>
            <w:r>
              <w:rPr>
                <w:rFonts w:ascii="Consolas" w:hAnsi="Consolas"/>
                <w:color w:val="1F3A5F"/>
                <w:sz w:val="16"/>
              </w:rPr>
              <w:t>https://performance-tracker.synapsis-analytics.com</w:t>
            </w:r>
          </w:p>
        </w:tc>
      </w:tr>
      <w:tr>
        <w:trPr>
          <w:cantSplit/>
        </w:trPr>
        <w:tc>
          <w:tcPr>
            <w:tcW w:type="dxa" w:w="2381"/>
            <w:vAlign w:val="top"/>
          </w:tcPr>
          <w:p>
            <w:pPr>
              <w:spacing w:before="0" w:after="0" w:line="240" w:lineRule="auto"/>
            </w:pPr>
            <w:r>
              <w:rPr>
                <w:b/>
                <w:sz w:val="18"/>
              </w:rPr>
              <w:t>PRMS side</w:t>
            </w:r>
          </w:p>
        </w:tc>
        <w:tc>
          <w:tcPr>
            <w:tcW w:type="dxa" w:w="2494"/>
            <w:vAlign w:val="top"/>
          </w:tcPr>
          <w:p>
            <w:pPr>
              <w:spacing w:before="0" w:after="0" w:line="240" w:lineRule="auto"/>
            </w:pPr>
            <w:r>
              <w:rPr>
                <w:sz w:val="18"/>
              </w:rPr>
              <w:t>adjusted local copy (this prototype)</w:t>
            </w:r>
          </w:p>
        </w:tc>
        <w:tc>
          <w:tcPr>
            <w:tcW w:type="dxa" w:w="2494"/>
            <w:vAlign w:val="top"/>
          </w:tcPr>
          <w:p>
            <w:pPr>
              <w:spacing w:before="0" w:after="0" w:line="240" w:lineRule="auto"/>
            </w:pPr>
            <w:r>
              <w:rPr>
                <w:sz w:val="18"/>
              </w:rPr>
              <w:t>PRMS TEST — the first real target</w:t>
            </w:r>
          </w:p>
        </w:tc>
        <w:tc>
          <w:tcPr>
            <w:tcW w:type="dxa" w:w="2268"/>
            <w:vAlign w:val="top"/>
          </w:tcPr>
          <w:p>
            <w:pPr>
              <w:spacing w:before="0" w:after="0" w:line="240" w:lineRule="auto"/>
            </w:pPr>
            <w:r>
              <w:rPr>
                <w:sz w:val="18"/>
              </w:rPr>
              <w:t>PRMS PROD, after TEST</w:t>
            </w:r>
          </w:p>
        </w:tc>
      </w:tr>
    </w:tbl>
    <w:p>
      <w:pPr>
        <w:spacing w:before="0" w:after="80" w:line="240" w:lineRule="auto"/>
      </w:pPr>
    </w:p>
    <w:p>
      <w:pPr>
        <w:keepLines/>
      </w:pPr>
      <w:r>
        <w:rPr/>
        <w:t xml:space="preserve">Deployment record: pull requests #101 (feature) and #102 (refinement) on the interop repository, merged to </w:t>
      </w:r>
      <w:r>
        <w:rPr>
          <w:rFonts w:ascii="Consolas" w:hAnsi="Consolas"/>
          <w:color w:val="1F3A5F"/>
          <w:sz w:val="19"/>
        </w:rPr>
        <w:t>main</w:t>
      </w:r>
      <w:r>
        <w:rPr/>
        <w:t xml:space="preserve"> at </w:t>
      </w:r>
      <w:r>
        <w:rPr>
          <w:rFonts w:ascii="Consolas" w:hAnsi="Consolas"/>
          <w:color w:val="1F3A5F"/>
          <w:sz w:val="19"/>
        </w:rPr>
        <w:t>02270e55</w:t>
      </w:r>
      <w:r>
        <w:rPr/>
        <w:t>; CI 649 tests, lint and type checks clean; dev deployed automatically, staging deployed by workflow dispatch on the same commit; the production Lambda was not touched.</w:t>
      </w:r>
    </w:p>
    <w:p>
      <w:pPr>
        <w:pStyle w:val="Heading1"/>
      </w:pPr>
      <w:bookmarkStart w:id="107" w:name="_Toc5"/>
      <w:r>
        <w:rPr/>
        <w:t>4. The endpoints (getting started)</w:t>
      </w:r>
      <w:bookmarkEnd w:id="107"/>
    </w:p>
    <w:p>
      <w:pPr>
        <w:keepNext/>
        <w:keepLines/>
        <w:spacing w:after="40"/>
      </w:pPr>
      <w:r>
        <w:rPr/>
        <w:t>All three routes are GET, idempotent and safe to call repeatedly. Interactive documentation, with request and response schemas, is at:</w:t>
      </w:r>
    </w:p>
    <w:p>
      <w:pPr>
        <w:spacing w:before="0" w:after="160"/>
      </w:pPr>
      <w:hyperlink r:id="rId15">
        <w:r>
          <w:rPr>
            <w:rFonts w:ascii="Calibri" w:hAnsi="Calibri" w:cs="Calibri"/>
            <w:color w:val="0563C1"/>
            <w:sz w:val="19"/>
            <w:u w:val="single"/>
          </w:rPr>
          <w:t xml:space="preserve">https://mrl8hgyyye.execute-api.eu-central-1.amazonaws.com/dev/docs</w:t>
        </w:r>
      </w:hyperlink>
    </w:p>
    <w:p>
      <w:pPr>
        <w:keepLines/>
      </w:pPr>
      <w:r>
        <w:rPr/>
        <w:t xml:space="preserve">The staging equivalent is </w:t>
      </w:r>
      <w:r>
        <w:rPr>
          <w:rFonts w:ascii="Consolas" w:hAnsi="Consolas"/>
          <w:color w:val="1F3A5F"/>
          <w:sz w:val="19"/>
        </w:rPr>
        <w:t>https://seyxtu7vha.execute-api.eu-central-1.amazonaws.com/staging/docs</w:t>
      </w:r>
      <w:r>
        <w:rPr/>
        <w:t xml:space="preserve">. In the examples below </w:t>
      </w:r>
      <w:r>
        <w:rPr>
          <w:rFonts w:ascii="Consolas" w:hAnsi="Consolas"/>
          <w:color w:val="1F3A5F"/>
          <w:sz w:val="19"/>
        </w:rPr>
        <w:t>$BASE</w:t>
      </w:r>
      <w:r>
        <w:rPr/>
        <w:t xml:space="preserve"> is either base URL; no header is needed today.</w:t>
      </w:r>
    </w:p>
    <w:p>
      <w:pPr>
        <w:pStyle w:val="Heading2"/>
      </w:pPr>
      <w:bookmarkStart w:id="108" w:name="_Toc6"/>
      <w:r>
        <w:rPr/>
        <w:t xml:space="preserve">4.1 </w:t>
      </w:r>
      <w:r>
        <w:rPr>
          <w:rFonts w:ascii="Consolas" w:hAnsi="Consolas"/>
          <w:color w:val="1F3A5F"/>
          <w:sz w:val="19"/>
        </w:rPr>
        <w:t>GET /api/prms/indicators/{indicator_id}/results</w:t>
      </w:r>
      <w:r>
        <w:rPr/>
        <w:t xml:space="preserve"> — the proposals for one KPI</w:t>
      </w:r>
      <w:bookmarkEnd w:id="108"/>
    </w:p>
    <w:p>
      <w:pPr>
        <w:keepLines/>
      </w:pPr>
      <w:r>
        <w:rPr>
          <w:b/>
        </w:rPr>
        <w:t>Purpose.</w:t>
      </w:r>
      <w:r>
        <w:rPr/>
        <w:t xml:space="preserve"> Given the Progress Tracker’s </w:t>
      </w:r>
      <w:r>
        <w:rPr>
          <w:rFonts w:ascii="Consolas" w:hAnsi="Consolas"/>
          <w:color w:val="1F3A5F"/>
          <w:sz w:val="19"/>
        </w:rPr>
        <w:t>indicator_id</w:t>
      </w:r>
      <w:r>
        <w:rPr/>
        <w:t xml:space="preserve"> for the KPI being reported, return one to N draft results shaped for PRMS, each citing the evidence it was drafted from.</w:t>
      </w:r>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1701"/>
        <w:gridCol w:w="1247"/>
        <w:gridCol w:w="6690"/>
      </w:tblGrid>
      <w:tr>
        <w:trPr>
          <w:cantSplit/>
          <w:tblHeader/>
        </w:trPr>
        <w:tc>
          <w:tcPr>
            <w:tcW w:type="dxa" w:w="1701"/>
            <w:shd w:val="clear" w:color="auto" w:fill="E8EEF4"/>
            <w:vAlign w:val="top"/>
          </w:tcPr>
          <w:p>
            <w:pPr>
              <w:keepNext/>
              <w:spacing w:before="0" w:after="0" w:line="240" w:lineRule="auto"/>
            </w:pPr>
            <w:r>
              <w:rPr>
                <w:b/>
                <w:color w:val="00477A"/>
                <w:sz w:val="19"/>
              </w:rPr>
              <w:t>Query parameter</w:t>
            </w:r>
          </w:p>
        </w:tc>
        <w:tc>
          <w:tcPr>
            <w:tcW w:type="dxa" w:w="1247"/>
            <w:shd w:val="clear" w:color="auto" w:fill="E8EEF4"/>
            <w:vAlign w:val="top"/>
          </w:tcPr>
          <w:p>
            <w:pPr>
              <w:keepNext/>
              <w:spacing w:before="0" w:after="0" w:line="240" w:lineRule="auto"/>
            </w:pPr>
            <w:r>
              <w:rPr>
                <w:b/>
                <w:color w:val="00477A"/>
                <w:sz w:val="19"/>
              </w:rPr>
              <w:t>Default</w:t>
            </w:r>
          </w:p>
        </w:tc>
        <w:tc>
          <w:tcPr>
            <w:tcW w:type="dxa" w:w="6690"/>
            <w:shd w:val="clear" w:color="auto" w:fill="E8EEF4"/>
            <w:vAlign w:val="top"/>
          </w:tcPr>
          <w:p>
            <w:pPr>
              <w:keepNext/>
              <w:spacing w:before="0" w:after="0" w:line="240" w:lineRule="auto"/>
            </w:pPr>
            <w:r>
              <w:rPr>
                <w:b/>
                <w:color w:val="00477A"/>
                <w:sz w:val="19"/>
              </w:rPr>
              <w:t>Meaning</w:t>
            </w:r>
          </w:p>
        </w:tc>
      </w:tr>
      <w:tr>
        <w:trPr>
          <w:cantSplit/>
        </w:trPr>
        <w:tc>
          <w:tcPr>
            <w:tcW w:type="dxa" w:w="1701"/>
            <w:vAlign w:val="top"/>
          </w:tcPr>
          <w:p>
            <w:pPr>
              <w:spacing w:before="0" w:after="0" w:line="240" w:lineRule="auto"/>
            </w:pPr>
            <w:r>
              <w:rPr>
                <w:rFonts w:ascii="Consolas" w:hAnsi="Consolas"/>
                <w:b/>
                <w:color w:val="1F3A5F"/>
                <w:sz w:val="17"/>
              </w:rPr>
              <w:t>max_results</w:t>
            </w:r>
          </w:p>
        </w:tc>
        <w:tc>
          <w:tcPr>
            <w:tcW w:type="dxa" w:w="1247"/>
            <w:vAlign w:val="top"/>
          </w:tcPr>
          <w:p>
            <w:pPr>
              <w:spacing w:before="0" w:after="0" w:line="240" w:lineRule="auto"/>
            </w:pPr>
            <w:r>
              <w:rPr>
                <w:sz w:val="19"/>
              </w:rPr>
              <w:t>5</w:t>
            </w:r>
          </w:p>
        </w:tc>
        <w:tc>
          <w:tcPr>
            <w:tcW w:type="dxa" w:w="6690"/>
            <w:vAlign w:val="top"/>
          </w:tcPr>
          <w:p>
            <w:pPr>
              <w:spacing w:before="0" w:after="0" w:line="240" w:lineRule="auto"/>
            </w:pPr>
            <w:r>
              <w:rPr>
                <w:sz w:val="19"/>
              </w:rPr>
              <w:t>1..10 — upper bound on the number of drafts</w:t>
            </w:r>
          </w:p>
        </w:tc>
      </w:tr>
      <w:tr>
        <w:trPr>
          <w:cantSplit/>
        </w:trPr>
        <w:tc>
          <w:tcPr>
            <w:tcW w:type="dxa" w:w="1701"/>
            <w:vAlign w:val="top"/>
          </w:tcPr>
          <w:p>
            <w:pPr>
              <w:spacing w:before="0" w:after="0" w:line="240" w:lineRule="auto"/>
            </w:pPr>
            <w:r>
              <w:rPr>
                <w:rFonts w:ascii="Consolas" w:hAnsi="Consolas"/>
                <w:b/>
                <w:color w:val="1F3A5F"/>
                <w:sz w:val="17"/>
              </w:rPr>
              <w:t>refresh</w:t>
            </w:r>
          </w:p>
        </w:tc>
        <w:tc>
          <w:tcPr>
            <w:tcW w:type="dxa" w:w="1247"/>
            <w:vAlign w:val="top"/>
          </w:tcPr>
          <w:p>
            <w:pPr>
              <w:spacing w:before="0" w:after="0" w:line="240" w:lineRule="auto"/>
            </w:pPr>
            <w:r>
              <w:rPr>
                <w:sz w:val="19"/>
              </w:rPr>
              <w:t>false</w:t>
            </w:r>
          </w:p>
        </w:tc>
        <w:tc>
          <w:tcPr>
            <w:tcW w:type="dxa" w:w="6690"/>
            <w:vAlign w:val="top"/>
          </w:tcPr>
          <w:p>
            <w:pPr>
              <w:spacing w:before="0" w:after="0" w:line="240" w:lineRule="auto"/>
            </w:pPr>
            <w:r>
              <w:rPr>
                <w:sz w:val="19"/>
              </w:rPr>
              <w:t>ignore the cache and draft again (costs one model call)</w:t>
            </w:r>
          </w:p>
        </w:tc>
      </w:tr>
      <w:tr>
        <w:trPr>
          <w:cantSplit/>
        </w:trPr>
        <w:tc>
          <w:tcPr>
            <w:tcW w:type="dxa" w:w="1701"/>
            <w:vAlign w:val="top"/>
          </w:tcPr>
          <w:p>
            <w:pPr>
              <w:spacing w:before="0" w:after="0" w:line="240" w:lineRule="auto"/>
            </w:pPr>
            <w:r>
              <w:rPr>
                <w:rFonts w:ascii="Consolas" w:hAnsi="Consolas"/>
                <w:b/>
                <w:color w:val="1F3A5F"/>
                <w:sz w:val="17"/>
              </w:rPr>
              <w:t>mode</w:t>
            </w:r>
          </w:p>
        </w:tc>
        <w:tc>
          <w:tcPr>
            <w:tcW w:type="dxa" w:w="1247"/>
            <w:vAlign w:val="top"/>
          </w:tcPr>
          <w:p>
            <w:pPr>
              <w:spacing w:before="0" w:after="0" w:line="240" w:lineRule="auto"/>
            </w:pPr>
            <w:r>
              <w:rPr>
                <w:rFonts w:ascii="Consolas" w:hAnsi="Consolas"/>
                <w:color w:val="1F3A5F"/>
                <w:sz w:val="17"/>
              </w:rPr>
              <w:t>auto</w:t>
            </w:r>
          </w:p>
        </w:tc>
        <w:tc>
          <w:tcPr>
            <w:tcW w:type="dxa" w:w="6690"/>
            <w:vAlign w:val="top"/>
          </w:tcPr>
          <w:p>
            <w:pPr>
              <w:spacing w:before="0" w:after="0" w:line="240" w:lineRule="auto"/>
            </w:pPr>
            <w:r>
              <w:rPr>
                <w:rFonts w:ascii="Consolas" w:hAnsi="Consolas"/>
                <w:color w:val="1F3A5F"/>
                <w:sz w:val="17"/>
              </w:rPr>
              <w:t>auto</w:t>
            </w:r>
            <w:r>
              <w:rPr>
                <w:sz w:val="19"/>
              </w:rPr>
              <w:t xml:space="preserve"> = AI drafting with a template fallback; </w:t>
            </w:r>
            <w:r>
              <w:rPr>
                <w:rFonts w:ascii="Consolas" w:hAnsi="Consolas"/>
                <w:color w:val="1F3A5F"/>
                <w:sz w:val="17"/>
              </w:rPr>
              <w:t>template</w:t>
            </w:r>
            <w:r>
              <w:rPr>
                <w:sz w:val="19"/>
              </w:rPr>
              <w:t xml:space="preserve"> = placeholder only, instant, free</w:t>
            </w:r>
          </w:p>
        </w:tc>
      </w:tr>
    </w:tbl>
    <w:p>
      <w:pPr>
        <w:spacing w:before="0" w:after="80" w:line="240" w:lineRule="auto"/>
      </w:pP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BASE=https://mrl8hgyyye.execute-api.eu-central-1.amazonaws.com/dev</w:t>
            </w:r>
          </w:p>
          <w:p>
            <w:pPr>
              <w:keepNext/>
              <w:keepLines/>
              <w:spacing w:before="0" w:after="0" w:line="240" w:lineRule="auto"/>
            </w:pPr>
            <w:r>
              <w:rPr>
                <w:rFonts w:ascii="Consolas" w:hAnsi="Consolas"/>
                <w:color w:val="1F3A5F"/>
                <w:sz w:val="16"/>
              </w:rPr>
              <w:t>curl "$BASE/api/prms/indicators/8006329bfd49/results?max_results=3"</w:t>
            </w:r>
          </w:p>
        </w:tc>
      </w:tr>
    </w:tbl>
    <w:p>
      <w:pPr>
        <w:spacing w:before="0" w:after="80" w:line="240" w:lineRule="auto"/>
      </w:pPr>
    </w:p>
    <w:p>
      <w:pPr>
        <w:keepNext/>
        <w:keepLines/>
        <w:spacing w:after="40"/>
      </w:pPr>
      <w:r>
        <w:rPr/>
        <w:t xml:space="preserve">Real response from dev (trimmed; the full JSON is in the interop repository’s </w:t>
      </w:r>
      <w:r>
        <w:rPr>
          <w:rFonts w:ascii="Consolas" w:hAnsi="Consolas"/>
          <w:color w:val="1F3A5F"/>
          <w:sz w:val="19"/>
        </w:rPr>
        <w:t>docs/PRMS-PULL.md</w:t>
      </w:r>
      <w:r>
        <w:rPr/>
        <w:t xml:space="preserve"> and in the OpenAPI schema). This KPI — Food Frontiers and Security, AOW02, “2.1.1 Prevent”, CIAT (Alliance), target 4 — has 13 evidence items in the Progress Tracker; the call took 19.9 s the first time and returned three drafts:</w:t>
      </w: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w:t>
            </w:r>
          </w:p>
          <w:p>
            <w:pPr>
              <w:keepNext/>
              <w:keepLines/>
              <w:spacing w:before="0" w:after="0" w:line="240" w:lineRule="auto"/>
            </w:pPr>
            <w:r>
              <w:rPr>
                <w:rFonts w:ascii="Consolas" w:hAnsi="Consolas"/>
                <w:color w:val="1F3A5F"/>
                <w:sz w:val="16"/>
              </w:rPr>
              <w:t xml:space="preserve"> "indicator": {</w:t>
            </w:r>
          </w:p>
          <w:p>
            <w:pPr>
              <w:keepNext/>
              <w:keepLines/>
              <w:spacing w:before="0" w:after="0" w:line="240" w:lineRule="auto"/>
            </w:pPr>
            <w:r>
              <w:rPr>
                <w:rFonts w:ascii="Consolas" w:hAnsi="Consolas"/>
                <w:color w:val="1F3A5F"/>
                <w:sz w:val="16"/>
              </w:rPr>
              <w:t xml:space="preserve">  "indicator_id": "8006329bfd49", "program_id": "fdb65d1a595c",</w:t>
            </w:r>
          </w:p>
          <w:p>
            <w:pPr>
              <w:keepNext/>
              <w:keepLines/>
              <w:spacing w:before="0" w:after="0" w:line="240" w:lineRule="auto"/>
            </w:pPr>
            <w:r>
              <w:rPr>
                <w:rFonts w:ascii="Consolas" w:hAnsi="Consolas"/>
                <w:color w:val="1F3A5F"/>
                <w:sz w:val="16"/>
              </w:rPr>
              <w:t xml:space="preserve">  "program": "Food Frontiers and Security",</w:t>
            </w:r>
          </w:p>
          <w:p>
            <w:pPr>
              <w:keepNext/>
              <w:keepLines/>
              <w:spacing w:before="0" w:after="0" w:line="240" w:lineRule="auto"/>
            </w:pPr>
            <w:r>
              <w:rPr>
                <w:rFonts w:ascii="Consolas" w:hAnsi="Consolas"/>
                <w:color w:val="1F3A5F"/>
                <w:sz w:val="16"/>
              </w:rPr>
              <w:t xml:space="preserve">  "aow": "AOW02: Fragile and Conflict-affected Food Systems",</w:t>
            </w:r>
          </w:p>
          <w:p>
            <w:pPr>
              <w:keepNext/>
              <w:keepLines/>
              <w:spacing w:before="0" w:after="0" w:line="240" w:lineRule="auto"/>
            </w:pPr>
            <w:r>
              <w:rPr>
                <w:rFonts w:ascii="Consolas" w:hAnsi="Consolas"/>
                <w:color w:val="1F3A5F"/>
                <w:sz w:val="16"/>
              </w:rPr>
              <w:t xml:space="preserve">  "center": "CIAT (Alliance)", "hlo_title": "2.1.1 Prevent",</w:t>
            </w:r>
          </w:p>
          <w:p>
            <w:pPr>
              <w:keepNext/>
              <w:keepLines/>
              <w:spacing w:before="0" w:after="0" w:line="240" w:lineRule="auto"/>
            </w:pPr>
            <w:r>
              <w:rPr>
                <w:rFonts w:ascii="Consolas" w:hAnsi="Consolas"/>
                <w:color w:val="1F3A5F"/>
                <w:sz w:val="16"/>
              </w:rPr>
              <w:t xml:space="preserve">  "description": "AW2P3: Fragility and Conflict Sensitivity Hub- Design and roll out …",</w:t>
            </w:r>
          </w:p>
          <w:p>
            <w:pPr>
              <w:keepNext/>
              <w:keepLines/>
              <w:spacing w:before="0" w:after="0" w:line="240" w:lineRule="auto"/>
            </w:pPr>
            <w:r>
              <w:rPr>
                <w:rFonts w:ascii="Consolas" w:hAnsi="Consolas"/>
                <w:color w:val="1F3A5F"/>
                <w:sz w:val="16"/>
              </w:rPr>
              <w:t xml:space="preserve">  "kpi_type": "custom", "target": "4", "countries": "Senegal, Egypt, Kenya",</w:t>
            </w:r>
          </w:p>
          <w:p>
            <w:pPr>
              <w:keepNext/>
              <w:keepLines/>
              <w:spacing w:before="0" w:after="0" w:line="240" w:lineRule="auto"/>
            </w:pPr>
            <w:r>
              <w:rPr>
                <w:rFonts w:ascii="Consolas" w:hAnsi="Consolas"/>
                <w:color w:val="1F3A5F"/>
                <w:sz w:val="16"/>
              </w:rPr>
              <w:t xml:space="preserve">  "result_type_default": "other_output"</w:t>
            </w:r>
          </w:p>
          <w:p>
            <w:pPr>
              <w:keepNext/>
              <w:keepLines/>
              <w:spacing w:before="0" w:after="0" w:line="240" w:lineRule="auto"/>
            </w:pPr>
            <w:r>
              <w:rPr>
                <w:rFonts w:ascii="Consolas" w:hAnsi="Consolas"/>
                <w:color w:val="1F3A5F"/>
                <w:sz w:val="16"/>
              </w:rPr>
              <w:t xml:space="preserve"> },</w:t>
            </w:r>
          </w:p>
          <w:p>
            <w:pPr>
              <w:keepNext/>
              <w:keepLines/>
              <w:spacing w:before="0" w:after="0" w:line="240" w:lineRule="auto"/>
            </w:pPr>
            <w:r>
              <w:rPr>
                <w:rFonts w:ascii="Consolas" w:hAnsi="Consolas"/>
                <w:color w:val="1F3A5F"/>
                <w:sz w:val="16"/>
              </w:rPr>
              <w:t xml:space="preserve"> "results": [</w:t>
            </w:r>
          </w:p>
          <w:p>
            <w:pPr>
              <w:keepNext/>
              <w:keepLines/>
              <w:spacing w:before="0" w:after="0" w:line="240" w:lineRule="auto"/>
            </w:pPr>
            <w:r>
              <w:rPr>
                <w:rFonts w:ascii="Consolas" w:hAnsi="Consolas"/>
                <w:color w:val="1F3A5F"/>
                <w:sz w:val="16"/>
              </w:rPr>
              <w:t xml:space="preserve">  {</w:t>
            </w:r>
          </w:p>
          <w:p>
            <w:pPr>
              <w:keepNext/>
              <w:keepLines/>
              <w:spacing w:before="0" w:after="0" w:line="240" w:lineRule="auto"/>
            </w:pPr>
            <w:r>
              <w:rPr>
                <w:rFonts w:ascii="Consolas" w:hAnsi="Consolas"/>
                <w:color w:val="1F3A5F"/>
                <w:sz w:val="16"/>
              </w:rPr>
              <w:t xml:space="preserve">   "result_key": "8006329bfd49:1",</w:t>
            </w:r>
          </w:p>
          <w:p>
            <w:pPr>
              <w:keepNext/>
              <w:keepLines/>
              <w:spacing w:before="0" w:after="0" w:line="240" w:lineRule="auto"/>
            </w:pPr>
            <w:r>
              <w:rPr>
                <w:rFonts w:ascii="Consolas" w:hAnsi="Consolas"/>
                <w:color w:val="1F3A5F"/>
                <w:sz w:val="16"/>
              </w:rPr>
              <w:t xml:space="preserve">   "result_type": "other_output", "result_type_label": "Other output",</w:t>
            </w:r>
          </w:p>
          <w:p>
            <w:pPr>
              <w:keepNext/>
              <w:keepLines/>
              <w:spacing w:before="0" w:after="0" w:line="240" w:lineRule="auto"/>
            </w:pPr>
            <w:r>
              <w:rPr>
                <w:rFonts w:ascii="Consolas" w:hAnsi="Consolas"/>
                <w:color w:val="1F3A5F"/>
                <w:sz w:val="16"/>
              </w:rPr>
              <w:t xml:space="preserve">   "title": "Conflict Sensitivity Repository framework and resource extraction completed",</w:t>
            </w:r>
          </w:p>
          <w:p>
            <w:pPr>
              <w:keepNext/>
              <w:keepLines/>
              <w:spacing w:before="0" w:after="0" w:line="240" w:lineRule="auto"/>
            </w:pPr>
            <w:r>
              <w:rPr>
                <w:rFonts w:ascii="Consolas" w:hAnsi="Consolas"/>
                <w:color w:val="1F3A5F"/>
                <w:sz w:val="16"/>
              </w:rPr>
              <w:t xml:space="preserve">   "description": "Completed resource extraction process from 11 CGIAR centers and established a taxonomizing framework …",</w:t>
            </w:r>
          </w:p>
          <w:p>
            <w:pPr>
              <w:keepNext/>
              <w:keepLines/>
              <w:spacing w:before="0" w:after="0" w:line="240" w:lineRule="auto"/>
            </w:pPr>
            <w:r>
              <w:rPr>
                <w:rFonts w:ascii="Consolas" w:hAnsi="Consolas"/>
                <w:color w:val="1F3A5F"/>
                <w:sz w:val="16"/>
              </w:rPr>
              <w:t xml:space="preserve">   "evidence": [ { "item_key": "E2", "submission_id": "d0ee44fe5fa44519", "kind": "text",</w:t>
            </w:r>
          </w:p>
          <w:p>
            <w:pPr>
              <w:keepNext/>
              <w:keepLines/>
              <w:spacing w:before="0" w:after="0" w:line="240" w:lineRule="auto"/>
            </w:pPr>
            <w:r>
              <w:rPr>
                <w:rFonts w:ascii="Consolas" w:hAnsi="Consolas"/>
                <w:color w:val="1F3A5F"/>
                <w:sz w:val="16"/>
              </w:rPr>
              <w:t xml:space="preserve">                   "name": "[Qualitative level: On Track] The evidence target is listed …", "url": null } ],</w:t>
            </w:r>
          </w:p>
          <w:p>
            <w:pPr>
              <w:keepNext/>
              <w:keepLines/>
              <w:spacing w:before="0" w:after="0" w:line="240" w:lineRule="auto"/>
            </w:pPr>
            <w:r>
              <w:rPr>
                <w:rFonts w:ascii="Consolas" w:hAnsi="Consolas"/>
                <w:color w:val="1F3A5F"/>
                <w:sz w:val="16"/>
              </w:rPr>
              <w:t xml:space="preserve">   "countries": [],</w:t>
            </w:r>
          </w:p>
          <w:p>
            <w:pPr>
              <w:keepNext/>
              <w:keepLines/>
              <w:spacing w:before="0" w:after="0" w:line="240" w:lineRule="auto"/>
            </w:pPr>
            <w:r>
              <w:rPr>
                <w:rFonts w:ascii="Consolas" w:hAnsi="Consolas"/>
                <w:color w:val="1F3A5F"/>
                <w:sz w:val="16"/>
              </w:rPr>
              <w:t xml:space="preserve">   "impact_areas": { "gender": 0, "climate": 1, "environment": 0, "nutrition": 0, "poverty": 1,</w:t>
            </w:r>
          </w:p>
          <w:p>
            <w:pPr>
              <w:keepNext/>
              <w:keepLines/>
              <w:spacing w:before="0" w:after="0" w:line="240" w:lineRule="auto"/>
            </w:pPr>
            <w:r>
              <w:rPr>
                <w:rFonts w:ascii="Consolas" w:hAnsi="Consolas"/>
                <w:color w:val="1F3A5F"/>
                <w:sz w:val="16"/>
              </w:rPr>
              <w:t xml:space="preserve">                     "justification": "climate: Climate-security analytics integration embedded …" },</w:t>
            </w:r>
          </w:p>
          <w:p>
            <w:pPr>
              <w:keepNext/>
              <w:keepLines/>
              <w:spacing w:before="0" w:after="0" w:line="240" w:lineRule="auto"/>
            </w:pPr>
            <w:r>
              <w:rPr>
                <w:rFonts w:ascii="Consolas" w:hAnsi="Consolas"/>
                <w:color w:val="1F3A5F"/>
                <w:sz w:val="16"/>
              </w:rPr>
              <w:t xml:space="preserve">   "gender_split": { "women": null, "men": null }, "people_trained": null,</w:t>
            </w:r>
          </w:p>
          <w:p>
            <w:pPr>
              <w:keepNext/>
              <w:keepLines/>
              <w:spacing w:before="0" w:after="0" w:line="240" w:lineRule="auto"/>
            </w:pPr>
            <w:r>
              <w:rPr>
                <w:rFonts w:ascii="Consolas" w:hAnsi="Consolas"/>
                <w:color w:val="1F3A5F"/>
                <w:sz w:val="16"/>
              </w:rPr>
              <w:t xml:space="preserve">   "knowledge_product_handle": null,</w:t>
            </w:r>
          </w:p>
          <w:p>
            <w:pPr>
              <w:keepNext/>
              <w:keepLines/>
              <w:spacing w:before="0" w:after="0" w:line="240" w:lineRule="auto"/>
            </w:pPr>
            <w:r>
              <w:rPr>
                <w:rFonts w:ascii="Consolas" w:hAnsi="Consolas"/>
                <w:color w:val="1F3A5F"/>
                <w:sz w:val="16"/>
              </w:rPr>
              <w:t xml:space="preserve">   "confidence": 0.85,</w:t>
            </w:r>
          </w:p>
          <w:p>
            <w:pPr>
              <w:keepNext/>
              <w:keepLines/>
              <w:spacing w:before="0" w:after="0" w:line="240" w:lineRule="auto"/>
            </w:pPr>
            <w:r>
              <w:rPr>
                <w:rFonts w:ascii="Consolas" w:hAnsi="Consolas"/>
                <w:color w:val="1F3A5F"/>
                <w:sz w:val="16"/>
              </w:rPr>
              <w:t xml:space="preserve">   "rationale": "Distinct foundational output: framework and resource extraction for Repository infrastructure. …",</w:t>
            </w:r>
          </w:p>
          <w:p>
            <w:pPr>
              <w:keepNext/>
              <w:keepLines/>
              <w:spacing w:before="0" w:after="0" w:line="240" w:lineRule="auto"/>
            </w:pPr>
            <w:r>
              <w:rPr>
                <w:rFonts w:ascii="Consolas" w:hAnsi="Consolas"/>
                <w:color w:val="1F3A5F"/>
                <w:sz w:val="16"/>
              </w:rPr>
              <w:t xml:space="preserve">   "missing_info": [ "Specific countries where center consultations occurred", "Number of resources extracted per center" ]</w:t>
            </w:r>
          </w:p>
          <w:p>
            <w:pPr>
              <w:keepNext/>
              <w:keepLines/>
              <w:spacing w:before="0" w:after="0" w:line="240" w:lineRule="auto"/>
            </w:pPr>
            <w:r>
              <w:rPr>
                <w:rFonts w:ascii="Consolas" w:hAnsi="Consolas"/>
                <w:color w:val="1F3A5F"/>
                <w:sz w:val="16"/>
              </w:rPr>
              <w:t xml:space="preserve">  },</w:t>
            </w:r>
          </w:p>
          <w:p>
            <w:pPr>
              <w:keepNext/>
              <w:keepLines/>
              <w:spacing w:before="0" w:after="0" w:line="240" w:lineRule="auto"/>
            </w:pPr>
            <w:r>
              <w:rPr>
                <w:rFonts w:ascii="Consolas" w:hAnsi="Consolas"/>
                <w:color w:val="1F3A5F"/>
                <w:sz w:val="16"/>
              </w:rPr>
              <w:t xml:space="preserve">  { "result_key": "8006329bfd49:2", "result_type": "knowledge_product", "…": "…" },</w:t>
            </w:r>
          </w:p>
          <w:p>
            <w:pPr>
              <w:keepNext/>
              <w:keepLines/>
              <w:spacing w:before="0" w:after="0" w:line="240" w:lineRule="auto"/>
            </w:pPr>
            <w:r>
              <w:rPr>
                <w:rFonts w:ascii="Consolas" w:hAnsi="Consolas"/>
                <w:color w:val="1F3A5F"/>
                <w:sz w:val="16"/>
              </w:rPr>
              <w:t xml:space="preserve">  { "result_key": "8006329bfd49:3", "result_type": "other_output", "…": "…" }</w:t>
            </w:r>
          </w:p>
          <w:p>
            <w:pPr>
              <w:keepNext/>
              <w:keepLines/>
              <w:spacing w:before="0" w:after="0" w:line="240" w:lineRule="auto"/>
            </w:pPr>
            <w:r>
              <w:rPr>
                <w:rFonts w:ascii="Consolas" w:hAnsi="Consolas"/>
                <w:color w:val="1F3A5F"/>
                <w:sz w:val="16"/>
              </w:rPr>
              <w:t xml:space="preserve"> ],</w:t>
            </w:r>
          </w:p>
          <w:p>
            <w:pPr>
              <w:keepNext/>
              <w:keepLines/>
              <w:spacing w:before="0" w:after="0" w:line="240" w:lineRule="auto"/>
            </w:pPr>
            <w:r>
              <w:rPr>
                <w:rFonts w:ascii="Consolas" w:hAnsi="Consolas"/>
                <w:color w:val="1F3A5F"/>
                <w:sz w:val="16"/>
              </w:rPr>
              <w:t xml:space="preserve"> "evidence_count": 13,</w:t>
            </w:r>
          </w:p>
          <w:p>
            <w:pPr>
              <w:keepNext/>
              <w:keepLines/>
              <w:spacing w:before="0" w:after="0" w:line="240" w:lineRule="auto"/>
            </w:pPr>
            <w:r>
              <w:rPr>
                <w:rFonts w:ascii="Consolas" w:hAnsi="Consolas"/>
                <w:color w:val="1F3A5F"/>
                <w:sz w:val="16"/>
              </w:rPr>
              <w:t xml:space="preserve"> "generated_at": "2026-09-15T16:48:25.851727+00:00",</w:t>
            </w:r>
          </w:p>
          <w:p>
            <w:pPr>
              <w:keepNext/>
              <w:keepLines/>
              <w:spacing w:before="0" w:after="0" w:line="240" w:lineRule="auto"/>
            </w:pPr>
            <w:r>
              <w:rPr>
                <w:rFonts w:ascii="Consolas" w:hAnsi="Consolas"/>
                <w:color w:val="1F3A5F"/>
                <w:sz w:val="16"/>
              </w:rPr>
              <w:t xml:space="preserve"> "generated_by": { "mode": "ai", "model": "claude-haiku-4-5-20251001", "prompt_version": "prms-pull-v2",</w:t>
            </w:r>
          </w:p>
          <w:p>
            <w:pPr>
              <w:keepNext/>
              <w:keepLines/>
              <w:spacing w:before="0" w:after="0" w:line="240" w:lineRule="auto"/>
            </w:pPr>
            <w:r>
              <w:rPr>
                <w:rFonts w:ascii="Consolas" w:hAnsi="Consolas"/>
                <w:color w:val="1F3A5F"/>
                <w:sz w:val="16"/>
              </w:rPr>
              <w:t xml:space="preserve">                   "input_tokens": 3134, "output_tokens": 1364, "duration_ms": 14115, "files_read": 6,</w:t>
            </w:r>
          </w:p>
          <w:p>
            <w:pPr>
              <w:keepNext/>
              <w:keepLines/>
              <w:spacing w:before="0" w:after="0" w:line="240" w:lineRule="auto"/>
            </w:pPr>
            <w:r>
              <w:rPr>
                <w:rFonts w:ascii="Consolas" w:hAnsi="Consolas"/>
                <w:color w:val="1F3A5F"/>
                <w:sz w:val="16"/>
              </w:rPr>
              <w:t xml:space="preserve">                   "fallback_reason": null },</w:t>
            </w:r>
          </w:p>
          <w:p>
            <w:pPr>
              <w:keepNext/>
              <w:keepLines/>
              <w:spacing w:before="0" w:after="0" w:line="240" w:lineRule="auto"/>
            </w:pPr>
            <w:r>
              <w:rPr>
                <w:rFonts w:ascii="Consolas" w:hAnsi="Consolas"/>
                <w:color w:val="1F3A5F"/>
                <w:sz w:val="16"/>
              </w:rPr>
              <w:t xml:space="preserve"> "cache": { "hit": false, "evidence_fingerprint": "853894227c38…", "cached_at": "2026-09-15T16:48:25.851727+00:00" },</w:t>
            </w:r>
          </w:p>
          <w:p>
            <w:pPr>
              <w:keepNext/>
              <w:keepLines/>
              <w:spacing w:before="0" w:after="0" w:line="240" w:lineRule="auto"/>
            </w:pPr>
            <w:r>
              <w:rPr>
                <w:rFonts w:ascii="Consolas" w:hAnsi="Consolas"/>
                <w:color w:val="1F3A5F"/>
                <w:sz w:val="16"/>
              </w:rPr>
              <w:t xml:space="preserve"> "source": { "system": "progress-tracker", "environment": "dev",</w:t>
            </w:r>
          </w:p>
          <w:p>
            <w:pPr>
              <w:keepNext/>
              <w:keepLines/>
              <w:spacing w:before="0" w:after="0" w:line="240" w:lineRule="auto"/>
            </w:pPr>
            <w:r>
              <w:rPr>
                <w:rFonts w:ascii="Consolas" w:hAnsi="Consolas"/>
                <w:color w:val="1F3A5F"/>
                <w:sz w:val="16"/>
              </w:rPr>
              <w:t xml:space="preserve">             "pt_url": "https://dev-performance-tracker.synapsis-analytics.com/program/Food%20Frontiers%20and%20Security?indicator=8006329bfd49" }</w:t>
            </w:r>
          </w:p>
          <w:p>
            <w:pPr>
              <w:keepNext/>
              <w:keepLines/>
              <w:spacing w:before="0" w:after="0" w:line="240" w:lineRule="auto"/>
            </w:pPr>
            <w:r>
              <w:rPr>
                <w:rFonts w:ascii="Consolas" w:hAnsi="Consolas"/>
                <w:color w:val="1F3A5F"/>
                <w:sz w:val="16"/>
              </w:rPr>
              <w:t>}</w:t>
            </w:r>
          </w:p>
        </w:tc>
      </w:tr>
    </w:tbl>
    <w:p>
      <w:pPr>
        <w:spacing w:before="0" w:after="80" w:line="240" w:lineRule="auto"/>
      </w:pPr>
    </w:p>
    <w:p>
      <w:pPr>
        <w:keepLines/>
      </w:pPr>
      <w:r>
        <w:rPr/>
        <w:t xml:space="preserve">The second call to the same URL returned the identical </w:t>
      </w:r>
      <w:r>
        <w:rPr>
          <w:rFonts w:ascii="Consolas" w:hAnsi="Consolas"/>
          <w:color w:val="1F3A5F"/>
          <w:sz w:val="19"/>
        </w:rPr>
        <w:t>results[]</w:t>
      </w:r>
      <w:r>
        <w:rPr/>
        <w:t xml:space="preserve"> with </w:t>
      </w:r>
      <w:r>
        <w:rPr>
          <w:rFonts w:ascii="Consolas" w:hAnsi="Consolas"/>
          <w:color w:val="1F3A5F"/>
          <w:sz w:val="19"/>
        </w:rPr>
        <w:t>"cache": {"hit": true}</w:t>
      </w:r>
      <w:r>
        <w:rPr/>
        <w:t xml:space="preserve"> in 0.21 s.</w:t>
      </w:r>
    </w:p>
    <w:p>
      <w:pPr>
        <w:keepNext/>
        <w:keepLines/>
        <w:spacing w:after="40"/>
      </w:pPr>
      <w:r>
        <w:rPr/>
        <w:t>A KPI with no evidence yet is answered instantly with a placeholder, so the PRMS component always has something to show:</w:t>
      </w: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curl "$BASE/api/prms/indicators/002a9c84e5e0/results"</w:t>
            </w:r>
          </w:p>
        </w:tc>
      </w:tr>
    </w:tbl>
    <w:p>
      <w:pPr>
        <w:spacing w:before="0" w:after="80" w:line="240" w:lineRule="auto"/>
      </w:pP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w:t>
            </w:r>
          </w:p>
          <w:p>
            <w:pPr>
              <w:keepNext/>
              <w:keepLines/>
              <w:spacing w:before="0" w:after="0" w:line="240" w:lineRule="auto"/>
            </w:pPr>
            <w:r>
              <w:rPr>
                <w:rFonts w:ascii="Consolas" w:hAnsi="Consolas"/>
                <w:color w:val="1F3A5F"/>
                <w:sz w:val="16"/>
              </w:rPr>
              <w:t xml:space="preserve"> "indicator": { "indicator_id": "002a9c84e5e0", "program": "Genebank", "aow": "AOW04: Germplasm Health",</w:t>
            </w:r>
          </w:p>
          <w:p>
            <w:pPr>
              <w:keepNext/>
              <w:keepLines/>
              <w:spacing w:before="0" w:after="0" w:line="240" w:lineRule="auto"/>
            </w:pPr>
            <w:r>
              <w:rPr>
                <w:rFonts w:ascii="Consolas" w:hAnsi="Consolas"/>
                <w:color w:val="1F3A5F"/>
                <w:sz w:val="16"/>
              </w:rPr>
              <w:t xml:space="preserve">                "kpi_type": "Number of innovations (innovation development)", "target": "1", "…": "…" },</w:t>
            </w:r>
          </w:p>
          <w:p>
            <w:pPr>
              <w:keepNext/>
              <w:keepLines/>
              <w:spacing w:before="0" w:after="0" w:line="240" w:lineRule="auto"/>
            </w:pPr>
            <w:r>
              <w:rPr>
                <w:rFonts w:ascii="Consolas" w:hAnsi="Consolas"/>
                <w:color w:val="1F3A5F"/>
                <w:sz w:val="16"/>
              </w:rPr>
              <w:t xml:space="preserve"> "results": [ { "result_key": "002a9c84e5e0:1", "result_type": "innovation_development",</w:t>
            </w:r>
          </w:p>
          <w:p>
            <w:pPr>
              <w:keepNext/>
              <w:keepLines/>
              <w:spacing w:before="0" w:after="0" w:line="240" w:lineRule="auto"/>
            </w:pPr>
            <w:r>
              <w:rPr>
                <w:rFonts w:ascii="Consolas" w:hAnsi="Consolas"/>
                <w:color w:val="1F3A5F"/>
                <w:sz w:val="16"/>
              </w:rPr>
              <w:t xml:space="preserve">                "title": "[Draft — Innovation development] 4.2.2. Improved phytosanitary protocols for clonal and seed germplasm …",</w:t>
            </w:r>
          </w:p>
          <w:p>
            <w:pPr>
              <w:keepNext/>
              <w:keepLines/>
              <w:spacing w:before="0" w:after="0" w:line="240" w:lineRule="auto"/>
            </w:pPr>
            <w:r>
              <w:rPr>
                <w:rFonts w:ascii="Consolas" w:hAnsi="Consolas"/>
                <w:color w:val="1F3A5F"/>
                <w:sz w:val="16"/>
              </w:rPr>
              <w:t xml:space="preserve">                "description": "Draft innovation development result proposed by the Progress Tracker for the KPI … No evidence has been attached to this KPI in the Progress Tracker yet. Complete in PRMS: …",</w:t>
            </w:r>
          </w:p>
          <w:p>
            <w:pPr>
              <w:keepNext/>
              <w:keepLines/>
              <w:spacing w:before="0" w:after="0" w:line="240" w:lineRule="auto"/>
            </w:pPr>
            <w:r>
              <w:rPr>
                <w:rFonts w:ascii="Consolas" w:hAnsi="Consolas"/>
                <w:color w:val="1F3A5F"/>
                <w:sz w:val="16"/>
              </w:rPr>
              <w:t xml:space="preserve">                "evidence": [], "confidence": 0.1,</w:t>
            </w:r>
          </w:p>
          <w:p>
            <w:pPr>
              <w:keepNext/>
              <w:keepLines/>
              <w:spacing w:before="0" w:after="0" w:line="240" w:lineRule="auto"/>
            </w:pPr>
            <w:r>
              <w:rPr>
                <w:rFonts w:ascii="Consolas" w:hAnsi="Consolas"/>
                <w:color w:val="1F3A5F"/>
                <w:sz w:val="16"/>
              </w:rPr>
              <w:t xml:space="preserve">                "missing_info": [ "Replace the placeholder title and description with the real result.", "…" ] } ],</w:t>
            </w:r>
          </w:p>
          <w:p>
            <w:pPr>
              <w:keepNext/>
              <w:keepLines/>
              <w:spacing w:before="0" w:after="0" w:line="240" w:lineRule="auto"/>
            </w:pPr>
            <w:r>
              <w:rPr>
                <w:rFonts w:ascii="Consolas" w:hAnsi="Consolas"/>
                <w:color w:val="1F3A5F"/>
                <w:sz w:val="16"/>
              </w:rPr>
              <w:t xml:space="preserve"> "evidence_count": 0,</w:t>
            </w:r>
          </w:p>
          <w:p>
            <w:pPr>
              <w:keepNext/>
              <w:keepLines/>
              <w:spacing w:before="0" w:after="0" w:line="240" w:lineRule="auto"/>
            </w:pPr>
            <w:r>
              <w:rPr>
                <w:rFonts w:ascii="Consolas" w:hAnsi="Consolas"/>
                <w:color w:val="1F3A5F"/>
                <w:sz w:val="16"/>
              </w:rPr>
              <w:t xml:space="preserve"> "generated_by": { "mode": "template", "model": null, "fallback_reason": "no_evidence", "…": "…" },</w:t>
            </w:r>
          </w:p>
          <w:p>
            <w:pPr>
              <w:keepNext/>
              <w:keepLines/>
              <w:spacing w:before="0" w:after="0" w:line="240" w:lineRule="auto"/>
            </w:pPr>
            <w:r>
              <w:rPr>
                <w:rFonts w:ascii="Consolas" w:hAnsi="Consolas"/>
                <w:color w:val="1F3A5F"/>
                <w:sz w:val="16"/>
              </w:rPr>
              <w:t xml:space="preserve"> "cache": { "hit": false, "cached_at": null, "…": "…" }</w:t>
            </w:r>
          </w:p>
          <w:p>
            <w:pPr>
              <w:keepNext/>
              <w:keepLines/>
              <w:spacing w:before="0" w:after="0" w:line="240" w:lineRule="auto"/>
            </w:pPr>
            <w:r>
              <w:rPr>
                <w:rFonts w:ascii="Consolas" w:hAnsi="Consolas"/>
                <w:color w:val="1F3A5F"/>
                <w:sz w:val="16"/>
              </w:rPr>
              <w:t>}</w:t>
            </w:r>
          </w:p>
        </w:tc>
      </w:tr>
    </w:tbl>
    <w:p>
      <w:pPr>
        <w:spacing w:before="0" w:after="80" w:line="240" w:lineRule="auto"/>
      </w:pPr>
    </w:p>
    <w:p>
      <w:pPr>
        <w:keepNext/>
        <w:keepLines/>
        <w:spacing w:after="40"/>
      </w:pPr>
      <w:r>
        <w:rPr>
          <w:b/>
        </w:rPr>
        <w:t>The result object, field by field.</w:t>
      </w:r>
      <w:r>
        <w:rPr/>
        <w:t xml:space="preserve"> Everything a PRMS form can use, plus guidance for the person:</w:t>
      </w:r>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2268"/>
        <w:gridCol w:w="1814"/>
        <w:gridCol w:w="5556"/>
      </w:tblGrid>
      <w:tr>
        <w:trPr>
          <w:cantSplit/>
          <w:tblHeader/>
        </w:trPr>
        <w:tc>
          <w:tcPr>
            <w:tcW w:type="dxa" w:w="2268"/>
            <w:shd w:val="clear" w:color="auto" w:fill="E8EEF4"/>
            <w:vAlign w:val="top"/>
          </w:tcPr>
          <w:p>
            <w:pPr>
              <w:keepNext/>
              <w:spacing w:before="0" w:after="0" w:line="240" w:lineRule="auto"/>
            </w:pPr>
            <w:r>
              <w:rPr>
                <w:b/>
                <w:color w:val="00477A"/>
                <w:sz w:val="19"/>
              </w:rPr>
              <w:t>Field</w:t>
            </w:r>
          </w:p>
        </w:tc>
        <w:tc>
          <w:tcPr>
            <w:tcW w:type="dxa" w:w="1814"/>
            <w:shd w:val="clear" w:color="auto" w:fill="E8EEF4"/>
            <w:vAlign w:val="top"/>
          </w:tcPr>
          <w:p>
            <w:pPr>
              <w:keepNext/>
              <w:spacing w:before="0" w:after="0" w:line="240" w:lineRule="auto"/>
            </w:pPr>
            <w:r>
              <w:rPr>
                <w:b/>
                <w:color w:val="00477A"/>
                <w:sz w:val="19"/>
              </w:rPr>
              <w:t>Type</w:t>
            </w:r>
          </w:p>
        </w:tc>
        <w:tc>
          <w:tcPr>
            <w:tcW w:type="dxa" w:w="5556"/>
            <w:shd w:val="clear" w:color="auto" w:fill="E8EEF4"/>
            <w:vAlign w:val="top"/>
          </w:tcPr>
          <w:p>
            <w:pPr>
              <w:keepNext/>
              <w:spacing w:before="0" w:after="0" w:line="240" w:lineRule="auto"/>
            </w:pPr>
            <w:r>
              <w:rPr>
                <w:b/>
                <w:color w:val="00477A"/>
                <w:sz w:val="19"/>
              </w:rPr>
              <w:t>Meaning and how PRMS may use it</w:t>
            </w:r>
          </w:p>
        </w:tc>
      </w:tr>
      <w:tr>
        <w:trPr>
          <w:cantSplit/>
        </w:trPr>
        <w:tc>
          <w:tcPr>
            <w:tcW w:type="dxa" w:w="2268"/>
            <w:vAlign w:val="top"/>
          </w:tcPr>
          <w:p>
            <w:pPr>
              <w:spacing w:before="0" w:after="0" w:line="240" w:lineRule="auto"/>
            </w:pPr>
            <w:r>
              <w:rPr>
                <w:rFonts w:ascii="Consolas" w:hAnsi="Consolas"/>
                <w:b/>
                <w:color w:val="1F3A5F"/>
                <w:sz w:val="17"/>
              </w:rPr>
              <w:t>result_key</w:t>
            </w:r>
          </w:p>
        </w:tc>
        <w:tc>
          <w:tcPr>
            <w:tcW w:type="dxa" w:w="1814"/>
            <w:vAlign w:val="top"/>
          </w:tcPr>
          <w:p>
            <w:pPr>
              <w:spacing w:before="0" w:after="0" w:line="240" w:lineRule="auto"/>
            </w:pPr>
            <w:r>
              <w:rPr>
                <w:sz w:val="19"/>
              </w:rPr>
              <w:t>string</w:t>
            </w:r>
          </w:p>
        </w:tc>
        <w:tc>
          <w:tcPr>
            <w:tcW w:type="dxa" w:w="5556"/>
            <w:vAlign w:val="top"/>
          </w:tcPr>
          <w:p>
            <w:pPr>
              <w:spacing w:before="0" w:after="0" w:line="240" w:lineRule="auto"/>
            </w:pPr>
            <w:r>
              <w:rPr>
                <w:rFonts w:ascii="Consolas" w:hAnsi="Consolas"/>
                <w:color w:val="1F3A5F"/>
                <w:sz w:val="17"/>
              </w:rPr>
              <w:t>&lt;indicator_id&gt;:&lt;n&gt;</w:t>
            </w:r>
            <w:r>
              <w:rPr>
                <w:sz w:val="19"/>
              </w:rPr>
              <w:t xml:space="preserve"> — stable within one generation; keep it on the created result for duplicate detection</w:t>
            </w:r>
          </w:p>
        </w:tc>
      </w:tr>
      <w:tr>
        <w:trPr>
          <w:cantSplit/>
        </w:trPr>
        <w:tc>
          <w:tcPr>
            <w:tcW w:type="dxa" w:w="2268"/>
            <w:vAlign w:val="top"/>
          </w:tcPr>
          <w:p>
            <w:pPr>
              <w:spacing w:before="0" w:after="0" w:line="240" w:lineRule="auto"/>
            </w:pPr>
            <w:r>
              <w:rPr>
                <w:rFonts w:ascii="Consolas" w:hAnsi="Consolas"/>
                <w:b/>
                <w:color w:val="1F3A5F"/>
                <w:sz w:val="17"/>
              </w:rPr>
              <w:t>result_type</w:t>
            </w:r>
            <w:r>
              <w:rPr>
                <w:b/>
                <w:sz w:val="19"/>
              </w:rPr>
              <w:t xml:space="preserve"> · </w:t>
            </w:r>
            <w:r>
              <w:rPr>
                <w:rFonts w:ascii="Consolas" w:hAnsi="Consolas"/>
                <w:b/>
                <w:color w:val="1F3A5F"/>
                <w:sz w:val="17"/>
              </w:rPr>
              <w:t>result_type_label</w:t>
            </w:r>
          </w:p>
        </w:tc>
        <w:tc>
          <w:tcPr>
            <w:tcW w:type="dxa" w:w="1814"/>
            <w:vAlign w:val="top"/>
          </w:tcPr>
          <w:p>
            <w:pPr>
              <w:spacing w:before="0" w:after="0" w:line="240" w:lineRule="auto"/>
            </w:pPr>
            <w:r>
              <w:rPr>
                <w:sz w:val="19"/>
              </w:rPr>
              <w:t>slug · label</w:t>
            </w:r>
          </w:p>
        </w:tc>
        <w:tc>
          <w:tcPr>
            <w:tcW w:type="dxa" w:w="5556"/>
            <w:vAlign w:val="top"/>
          </w:tcPr>
          <w:p>
            <w:pPr>
              <w:spacing w:before="0" w:after="0" w:line="240" w:lineRule="auto"/>
            </w:pPr>
            <w:r>
              <w:rPr>
                <w:sz w:val="19"/>
              </w:rPr>
              <w:t xml:space="preserve">one of </w:t>
            </w:r>
            <w:r>
              <w:rPr>
                <w:rFonts w:ascii="Consolas" w:hAnsi="Consolas"/>
                <w:color w:val="1F3A5F"/>
                <w:sz w:val="17"/>
              </w:rPr>
              <w:t>knowledge_product</w:t>
            </w:r>
            <w:r>
              <w:rPr>
                <w:sz w:val="19"/>
              </w:rPr>
              <w:t xml:space="preserve">, </w:t>
            </w:r>
            <w:r>
              <w:rPr>
                <w:rFonts w:ascii="Consolas" w:hAnsi="Consolas"/>
                <w:color w:val="1F3A5F"/>
                <w:sz w:val="17"/>
              </w:rPr>
              <w:t>capacity_sharing</w:t>
            </w:r>
            <w:r>
              <w:rPr>
                <w:sz w:val="19"/>
              </w:rPr>
              <w:t xml:space="preserve">, </w:t>
            </w:r>
            <w:r>
              <w:rPr>
                <w:rFonts w:ascii="Consolas" w:hAnsi="Consolas"/>
                <w:color w:val="1F3A5F"/>
                <w:sz w:val="17"/>
              </w:rPr>
              <w:t>innovation_development</w:t>
            </w:r>
            <w:r>
              <w:rPr>
                <w:sz w:val="19"/>
              </w:rPr>
              <w:t xml:space="preserve">, </w:t>
            </w:r>
            <w:r>
              <w:rPr>
                <w:rFonts w:ascii="Consolas" w:hAnsi="Consolas"/>
                <w:color w:val="1F3A5F"/>
                <w:sz w:val="17"/>
              </w:rPr>
              <w:t>innovation_use</w:t>
            </w:r>
            <w:r>
              <w:rPr>
                <w:sz w:val="19"/>
              </w:rPr>
              <w:t xml:space="preserve">, </w:t>
            </w:r>
            <w:r>
              <w:rPr>
                <w:rFonts w:ascii="Consolas" w:hAnsi="Consolas"/>
                <w:color w:val="1F3A5F"/>
                <w:sz w:val="17"/>
              </w:rPr>
              <w:t>policy_change</w:t>
            </w:r>
            <w:r>
              <w:rPr>
                <w:sz w:val="19"/>
              </w:rPr>
              <w:t xml:space="preserve">, </w:t>
            </w:r>
            <w:r>
              <w:rPr>
                <w:rFonts w:ascii="Consolas" w:hAnsi="Consolas"/>
                <w:color w:val="1F3A5F"/>
                <w:sz w:val="17"/>
              </w:rPr>
              <w:t>other_output</w:t>
            </w:r>
            <w:r>
              <w:rPr>
                <w:sz w:val="19"/>
              </w:rPr>
              <w:t xml:space="preserve">, </w:t>
            </w:r>
            <w:r>
              <w:rPr>
                <w:rFonts w:ascii="Consolas" w:hAnsi="Consolas"/>
                <w:color w:val="1F3A5F"/>
                <w:sz w:val="17"/>
              </w:rPr>
              <w:t>other_outcome</w:t>
            </w:r>
            <w:r>
              <w:rPr>
                <w:sz w:val="19"/>
              </w:rPr>
              <w:t xml:space="preserve"> (the vocabulary live-validated on PRMS TEST in July). Default comes from the KPI type (</w:t>
            </w:r>
            <w:r>
              <w:rPr>
                <w:rFonts w:ascii="Consolas" w:hAnsi="Consolas"/>
                <w:color w:val="1F3A5F"/>
                <w:sz w:val="17"/>
              </w:rPr>
              <w:t>indicator.result_type_default</w:t>
            </w:r>
            <w:r>
              <w:rPr>
                <w:sz w:val="19"/>
              </w:rPr>
              <w:t xml:space="preserve">); the model may override per result and says why in </w:t>
            </w:r>
            <w:r>
              <w:rPr>
                <w:rFonts w:ascii="Consolas" w:hAnsi="Consolas"/>
                <w:color w:val="1F3A5F"/>
                <w:sz w:val="17"/>
              </w:rPr>
              <w:t>rationale</w:t>
            </w:r>
          </w:p>
        </w:tc>
      </w:tr>
      <w:tr>
        <w:trPr>
          <w:cantSplit/>
        </w:trPr>
        <w:tc>
          <w:tcPr>
            <w:tcW w:type="dxa" w:w="2268"/>
            <w:vAlign w:val="top"/>
          </w:tcPr>
          <w:p>
            <w:pPr>
              <w:spacing w:before="0" w:after="0" w:line="240" w:lineRule="auto"/>
            </w:pPr>
            <w:r>
              <w:rPr>
                <w:rFonts w:ascii="Consolas" w:hAnsi="Consolas"/>
                <w:b/>
                <w:color w:val="1F3A5F"/>
                <w:sz w:val="17"/>
              </w:rPr>
              <w:t>title</w:t>
            </w:r>
          </w:p>
        </w:tc>
        <w:tc>
          <w:tcPr>
            <w:tcW w:type="dxa" w:w="1814"/>
            <w:vAlign w:val="top"/>
          </w:tcPr>
          <w:p>
            <w:pPr>
              <w:spacing w:before="0" w:after="0" w:line="240" w:lineRule="auto"/>
            </w:pPr>
            <w:r>
              <w:rPr>
                <w:sz w:val="19"/>
              </w:rPr>
              <w:t>≤ 30 words</w:t>
            </w:r>
          </w:p>
        </w:tc>
        <w:tc>
          <w:tcPr>
            <w:tcW w:type="dxa" w:w="5556"/>
            <w:vAlign w:val="top"/>
          </w:tcPr>
          <w:p>
            <w:pPr>
              <w:spacing w:before="0" w:after="0" w:line="240" w:lineRule="auto"/>
            </w:pPr>
            <w:r>
              <w:rPr>
                <w:sz w:val="19"/>
              </w:rPr>
              <w:t xml:space="preserve">pre-fills </w:t>
            </w:r>
            <w:r>
              <w:rPr>
                <w:b/>
                <w:sz w:val="19"/>
              </w:rPr>
              <w:t>Result title</w:t>
            </w:r>
            <w:r>
              <w:rPr>
                <w:sz w:val="19"/>
              </w:rPr>
              <w:t xml:space="preserve"> (PRMS’s own 30-word limit)</w:t>
            </w:r>
          </w:p>
        </w:tc>
      </w:tr>
      <w:tr>
        <w:trPr>
          <w:cantSplit/>
        </w:trPr>
        <w:tc>
          <w:tcPr>
            <w:tcW w:type="dxa" w:w="2268"/>
            <w:vAlign w:val="top"/>
          </w:tcPr>
          <w:p>
            <w:pPr>
              <w:spacing w:before="0" w:after="0" w:line="240" w:lineRule="auto"/>
            </w:pPr>
            <w:r>
              <w:rPr>
                <w:rFonts w:ascii="Consolas" w:hAnsi="Consolas"/>
                <w:b/>
                <w:color w:val="1F3A5F"/>
                <w:sz w:val="17"/>
              </w:rPr>
              <w:t>description</w:t>
            </w:r>
          </w:p>
        </w:tc>
        <w:tc>
          <w:tcPr>
            <w:tcW w:type="dxa" w:w="1814"/>
            <w:vAlign w:val="top"/>
          </w:tcPr>
          <w:p>
            <w:pPr>
              <w:spacing w:before="0" w:after="0" w:line="240" w:lineRule="auto"/>
            </w:pPr>
            <w:r>
              <w:rPr>
                <w:sz w:val="19"/>
              </w:rPr>
              <w:t>≤ 150 words</w:t>
            </w:r>
          </w:p>
        </w:tc>
        <w:tc>
          <w:tcPr>
            <w:tcW w:type="dxa" w:w="5556"/>
            <w:vAlign w:val="top"/>
          </w:tcPr>
          <w:p>
            <w:pPr>
              <w:spacing w:before="0" w:after="0" w:line="240" w:lineRule="auto"/>
            </w:pPr>
            <w:r>
              <w:rPr>
                <w:sz w:val="19"/>
              </w:rPr>
              <w:t>pre-fills the result description</w:t>
            </w:r>
          </w:p>
        </w:tc>
      </w:tr>
      <w:tr>
        <w:trPr>
          <w:cantSplit/>
        </w:trPr>
        <w:tc>
          <w:tcPr>
            <w:tcW w:type="dxa" w:w="2268"/>
            <w:vAlign w:val="top"/>
          </w:tcPr>
          <w:p>
            <w:pPr>
              <w:spacing w:before="0" w:after="0" w:line="240" w:lineRule="auto"/>
            </w:pPr>
            <w:r>
              <w:rPr>
                <w:rFonts w:ascii="Consolas" w:hAnsi="Consolas"/>
                <w:b/>
                <w:color w:val="1F3A5F"/>
                <w:sz w:val="17"/>
              </w:rPr>
              <w:t>evidence[]</w:t>
            </w:r>
          </w:p>
        </w:tc>
        <w:tc>
          <w:tcPr>
            <w:tcW w:type="dxa" w:w="1814"/>
            <w:vAlign w:val="top"/>
          </w:tcPr>
          <w:p>
            <w:pPr>
              <w:spacing w:before="0" w:after="0" w:line="240" w:lineRule="auto"/>
            </w:pPr>
            <w:r>
              <w:rPr>
                <w:sz w:val="19"/>
              </w:rPr>
              <w:t>list</w:t>
            </w:r>
          </w:p>
        </w:tc>
        <w:tc>
          <w:tcPr>
            <w:tcW w:type="dxa" w:w="5556"/>
            <w:vAlign w:val="top"/>
          </w:tcPr>
          <w:p>
            <w:pPr>
              <w:spacing w:before="0" w:after="0" w:line="240" w:lineRule="auto"/>
            </w:pPr>
            <w:r>
              <w:rPr>
                <w:sz w:val="19"/>
              </w:rPr>
              <w:t xml:space="preserve">the Progress Tracker submissions the draft cites: </w:t>
            </w:r>
            <w:r>
              <w:rPr>
                <w:rFonts w:ascii="Consolas" w:hAnsi="Consolas"/>
                <w:color w:val="1F3A5F"/>
                <w:sz w:val="17"/>
              </w:rPr>
              <w:t>item_key</w:t>
            </w:r>
            <w:r>
              <w:rPr>
                <w:sz w:val="19"/>
              </w:rPr>
              <w:t xml:space="preserve"> (E1, E1.f2 …), </w:t>
            </w:r>
            <w:r>
              <w:rPr>
                <w:rFonts w:ascii="Consolas" w:hAnsi="Consolas"/>
                <w:color w:val="1F3A5F"/>
                <w:sz w:val="17"/>
              </w:rPr>
              <w:t>submission_id</w:t>
            </w:r>
            <w:r>
              <w:rPr>
                <w:sz w:val="19"/>
              </w:rPr>
              <w:t xml:space="preserve">, </w:t>
            </w:r>
            <w:r>
              <w:rPr>
                <w:rFonts w:ascii="Consolas" w:hAnsi="Consolas"/>
                <w:color w:val="1F3A5F"/>
                <w:sz w:val="17"/>
              </w:rPr>
              <w:t>kind</w:t>
            </w:r>
            <w:r>
              <w:rPr>
                <w:sz w:val="19"/>
              </w:rPr>
              <w:t xml:space="preserve"> (file · url · text), </w:t>
            </w:r>
            <w:r>
              <w:rPr>
                <w:rFonts w:ascii="Consolas" w:hAnsi="Consolas"/>
                <w:color w:val="1F3A5F"/>
                <w:sz w:val="17"/>
              </w:rPr>
              <w:t>name</w:t>
            </w:r>
            <w:r>
              <w:rPr>
                <w:sz w:val="19"/>
              </w:rPr>
              <w:t xml:space="preserve">, </w:t>
            </w:r>
            <w:r>
              <w:rPr>
                <w:rFonts w:ascii="Consolas" w:hAnsi="Consolas"/>
                <w:color w:val="1F3A5F"/>
                <w:sz w:val="17"/>
              </w:rPr>
              <w:t>url</w:t>
            </w:r>
            <w:r>
              <w:rPr>
                <w:sz w:val="19"/>
              </w:rPr>
              <w:t xml:space="preserve"> (when a link) — shown to the person; not part of the create payload</w:t>
            </w:r>
          </w:p>
        </w:tc>
      </w:tr>
      <w:tr>
        <w:trPr>
          <w:cantSplit/>
        </w:trPr>
        <w:tc>
          <w:tcPr>
            <w:tcW w:type="dxa" w:w="2268"/>
            <w:vAlign w:val="top"/>
          </w:tcPr>
          <w:p>
            <w:pPr>
              <w:spacing w:before="0" w:after="0" w:line="240" w:lineRule="auto"/>
            </w:pPr>
            <w:r>
              <w:rPr>
                <w:rFonts w:ascii="Consolas" w:hAnsi="Consolas"/>
                <w:b/>
                <w:color w:val="1F3A5F"/>
                <w:sz w:val="17"/>
              </w:rPr>
              <w:t>countries[]</w:t>
            </w:r>
          </w:p>
        </w:tc>
        <w:tc>
          <w:tcPr>
            <w:tcW w:type="dxa" w:w="1814"/>
            <w:vAlign w:val="top"/>
          </w:tcPr>
          <w:p>
            <w:pPr>
              <w:spacing w:before="0" w:after="0" w:line="240" w:lineRule="auto"/>
            </w:pPr>
            <w:r>
              <w:rPr>
                <w:sz w:val="19"/>
              </w:rPr>
              <w:t>list</w:t>
            </w:r>
          </w:p>
        </w:tc>
        <w:tc>
          <w:tcPr>
            <w:tcW w:type="dxa" w:w="5556"/>
            <w:vAlign w:val="top"/>
          </w:tcPr>
          <w:p>
            <w:pPr>
              <w:spacing w:before="0" w:after="0" w:line="240" w:lineRule="auto"/>
            </w:pPr>
            <w:r>
              <w:rPr>
                <w:sz w:val="19"/>
              </w:rPr>
              <w:t>guidance for the Geographic location section (filled after creation in PRMS)</w:t>
            </w:r>
          </w:p>
        </w:tc>
      </w:tr>
      <w:tr>
        <w:trPr>
          <w:cantSplit/>
        </w:trPr>
        <w:tc>
          <w:tcPr>
            <w:tcW w:type="dxa" w:w="2268"/>
            <w:vAlign w:val="top"/>
          </w:tcPr>
          <w:p>
            <w:pPr>
              <w:spacing w:before="0" w:after="0" w:line="240" w:lineRule="auto"/>
            </w:pPr>
            <w:r>
              <w:rPr>
                <w:rFonts w:ascii="Consolas" w:hAnsi="Consolas"/>
                <w:b/>
                <w:color w:val="1F3A5F"/>
                <w:sz w:val="17"/>
              </w:rPr>
              <w:t>impact_areas</w:t>
            </w:r>
          </w:p>
        </w:tc>
        <w:tc>
          <w:tcPr>
            <w:tcW w:type="dxa" w:w="1814"/>
            <w:vAlign w:val="top"/>
          </w:tcPr>
          <w:p>
            <w:pPr>
              <w:spacing w:before="0" w:after="0" w:line="240" w:lineRule="auto"/>
            </w:pPr>
            <w:r>
              <w:rPr>
                <w:sz w:val="19"/>
              </w:rPr>
              <w:t>object</w:t>
            </w:r>
          </w:p>
        </w:tc>
        <w:tc>
          <w:tcPr>
            <w:tcW w:type="dxa" w:w="5556"/>
            <w:vAlign w:val="top"/>
          </w:tcPr>
          <w:p>
            <w:pPr>
              <w:spacing w:before="0" w:after="0" w:line="240" w:lineRule="auto"/>
            </w:pPr>
            <w:r>
              <w:rPr>
                <w:sz w:val="19"/>
              </w:rPr>
              <w:t xml:space="preserve">0/1/2 rubric per impact area + </w:t>
            </w:r>
            <w:r>
              <w:rPr>
                <w:rFonts w:ascii="Consolas" w:hAnsi="Consolas"/>
                <w:color w:val="1F3A5F"/>
                <w:sz w:val="17"/>
              </w:rPr>
              <w:t>justification</w:t>
            </w:r>
            <w:r>
              <w:rPr>
                <w:sz w:val="19"/>
              </w:rPr>
              <w:t xml:space="preserve"> — guidance for the Impact-area scores section</w:t>
            </w:r>
          </w:p>
        </w:tc>
      </w:tr>
      <w:tr>
        <w:trPr>
          <w:cantSplit/>
        </w:trPr>
        <w:tc>
          <w:tcPr>
            <w:tcW w:type="dxa" w:w="2268"/>
            <w:vAlign w:val="top"/>
          </w:tcPr>
          <w:p>
            <w:pPr>
              <w:spacing w:before="0" w:after="0" w:line="240" w:lineRule="auto"/>
            </w:pPr>
            <w:r>
              <w:rPr>
                <w:rFonts w:ascii="Consolas" w:hAnsi="Consolas"/>
                <w:b/>
                <w:color w:val="1F3A5F"/>
                <w:sz w:val="17"/>
              </w:rPr>
              <w:t>gender_split</w:t>
            </w:r>
            <w:r>
              <w:rPr>
                <w:b/>
                <w:sz w:val="19"/>
              </w:rPr>
              <w:t xml:space="preserve"> · </w:t>
            </w:r>
            <w:r>
              <w:rPr>
                <w:rFonts w:ascii="Consolas" w:hAnsi="Consolas"/>
                <w:b/>
                <w:color w:val="1F3A5F"/>
                <w:sz w:val="17"/>
              </w:rPr>
              <w:t>people_trained</w:t>
            </w:r>
          </w:p>
        </w:tc>
        <w:tc>
          <w:tcPr>
            <w:tcW w:type="dxa" w:w="1814"/>
            <w:vAlign w:val="top"/>
          </w:tcPr>
          <w:p>
            <w:pPr>
              <w:spacing w:before="0" w:after="0" w:line="240" w:lineRule="auto"/>
            </w:pPr>
            <w:r>
              <w:rPr>
                <w:sz w:val="19"/>
              </w:rPr>
              <w:t>object · number</w:t>
            </w:r>
          </w:p>
        </w:tc>
        <w:tc>
          <w:tcPr>
            <w:tcW w:type="dxa" w:w="5556"/>
            <w:vAlign w:val="top"/>
          </w:tcPr>
          <w:p>
            <w:pPr>
              <w:spacing w:before="0" w:after="0" w:line="240" w:lineRule="auto"/>
            </w:pPr>
            <w:r>
              <w:rPr>
                <w:sz w:val="19"/>
              </w:rPr>
              <w:t xml:space="preserve">only for </w:t>
            </w:r>
            <w:r>
              <w:rPr>
                <w:rFonts w:ascii="Consolas" w:hAnsi="Consolas"/>
                <w:color w:val="1F3A5F"/>
                <w:sz w:val="17"/>
              </w:rPr>
              <w:t>capacity_sharing</w:t>
            </w:r>
            <w:r>
              <w:rPr>
                <w:sz w:val="19"/>
              </w:rPr>
              <w:t>; PRMS requires an explicit women/men split</w:t>
            </w:r>
          </w:p>
        </w:tc>
      </w:tr>
      <w:tr>
        <w:trPr>
          <w:cantSplit/>
        </w:trPr>
        <w:tc>
          <w:tcPr>
            <w:tcW w:type="dxa" w:w="2268"/>
            <w:vAlign w:val="top"/>
          </w:tcPr>
          <w:p>
            <w:pPr>
              <w:spacing w:before="0" w:after="0" w:line="240" w:lineRule="auto"/>
            </w:pPr>
            <w:r>
              <w:rPr>
                <w:rFonts w:ascii="Consolas" w:hAnsi="Consolas"/>
                <w:b/>
                <w:color w:val="1F3A5F"/>
                <w:sz w:val="17"/>
              </w:rPr>
              <w:t>knowledge_product_handle</w:t>
            </w:r>
          </w:p>
        </w:tc>
        <w:tc>
          <w:tcPr>
            <w:tcW w:type="dxa" w:w="1814"/>
            <w:vAlign w:val="top"/>
          </w:tcPr>
          <w:p>
            <w:pPr>
              <w:spacing w:before="0" w:after="0" w:line="240" w:lineRule="auto"/>
            </w:pPr>
            <w:r>
              <w:rPr>
                <w:sz w:val="19"/>
              </w:rPr>
              <w:t>url or null</w:t>
            </w:r>
          </w:p>
        </w:tc>
        <w:tc>
          <w:tcPr>
            <w:tcW w:type="dxa" w:w="5556"/>
            <w:vAlign w:val="top"/>
          </w:tcPr>
          <w:p>
            <w:pPr>
              <w:spacing w:before="0" w:after="0" w:line="240" w:lineRule="auto"/>
            </w:pPr>
            <w:r>
              <w:rPr>
                <w:sz w:val="19"/>
              </w:rPr>
              <w:t>a DOI or repository handle found in the evidence — pre-fills the repository link for knowledge products</w:t>
            </w:r>
          </w:p>
        </w:tc>
      </w:tr>
      <w:tr>
        <w:trPr>
          <w:cantSplit/>
        </w:trPr>
        <w:tc>
          <w:tcPr>
            <w:tcW w:type="dxa" w:w="2268"/>
            <w:vAlign w:val="top"/>
          </w:tcPr>
          <w:p>
            <w:pPr>
              <w:spacing w:before="0" w:after="0" w:line="240" w:lineRule="auto"/>
            </w:pPr>
            <w:r>
              <w:rPr>
                <w:rFonts w:ascii="Consolas" w:hAnsi="Consolas"/>
                <w:b/>
                <w:color w:val="1F3A5F"/>
                <w:sz w:val="17"/>
              </w:rPr>
              <w:t>confidence</w:t>
            </w:r>
          </w:p>
        </w:tc>
        <w:tc>
          <w:tcPr>
            <w:tcW w:type="dxa" w:w="1814"/>
            <w:vAlign w:val="top"/>
          </w:tcPr>
          <w:p>
            <w:pPr>
              <w:spacing w:before="0" w:after="0" w:line="240" w:lineRule="auto"/>
            </w:pPr>
            <w:r>
              <w:rPr>
                <w:sz w:val="19"/>
              </w:rPr>
              <w:t>0..1</w:t>
            </w:r>
          </w:p>
        </w:tc>
        <w:tc>
          <w:tcPr>
            <w:tcW w:type="dxa" w:w="5556"/>
            <w:vAlign w:val="top"/>
          </w:tcPr>
          <w:p>
            <w:pPr>
              <w:spacing w:before="0" w:after="0" w:line="240" w:lineRule="auto"/>
            </w:pPr>
            <w:r>
              <w:rPr>
                <w:sz w:val="19"/>
              </w:rPr>
              <w:t>the model’s own confidence; shown as a chip</w:t>
            </w:r>
          </w:p>
        </w:tc>
      </w:tr>
      <w:tr>
        <w:trPr>
          <w:cantSplit/>
        </w:trPr>
        <w:tc>
          <w:tcPr>
            <w:tcW w:type="dxa" w:w="2268"/>
            <w:vAlign w:val="top"/>
          </w:tcPr>
          <w:p>
            <w:pPr>
              <w:spacing w:before="0" w:after="0" w:line="240" w:lineRule="auto"/>
            </w:pPr>
            <w:r>
              <w:rPr>
                <w:rFonts w:ascii="Consolas" w:hAnsi="Consolas"/>
                <w:b/>
                <w:color w:val="1F3A5F"/>
                <w:sz w:val="17"/>
              </w:rPr>
              <w:t>rationale</w:t>
            </w:r>
          </w:p>
        </w:tc>
        <w:tc>
          <w:tcPr>
            <w:tcW w:type="dxa" w:w="1814"/>
            <w:vAlign w:val="top"/>
          </w:tcPr>
          <w:p>
            <w:pPr>
              <w:spacing w:before="0" w:after="0" w:line="240" w:lineRule="auto"/>
            </w:pPr>
            <w:r>
              <w:rPr>
                <w:sz w:val="19"/>
              </w:rPr>
              <w:t>text</w:t>
            </w:r>
          </w:p>
        </w:tc>
        <w:tc>
          <w:tcPr>
            <w:tcW w:type="dxa" w:w="5556"/>
            <w:vAlign w:val="top"/>
          </w:tcPr>
          <w:p>
            <w:pPr>
              <w:spacing w:before="0" w:after="0" w:line="240" w:lineRule="auto"/>
            </w:pPr>
            <w:r>
              <w:rPr>
                <w:sz w:val="19"/>
              </w:rPr>
              <w:t>why this result and this type — shown under Details</w:t>
            </w:r>
          </w:p>
        </w:tc>
      </w:tr>
      <w:tr>
        <w:trPr>
          <w:cantSplit/>
        </w:trPr>
        <w:tc>
          <w:tcPr>
            <w:tcW w:type="dxa" w:w="2268"/>
            <w:vAlign w:val="top"/>
          </w:tcPr>
          <w:p>
            <w:pPr>
              <w:spacing w:before="0" w:after="0" w:line="240" w:lineRule="auto"/>
            </w:pPr>
            <w:r>
              <w:rPr>
                <w:rFonts w:ascii="Consolas" w:hAnsi="Consolas"/>
                <w:b/>
                <w:color w:val="1F3A5F"/>
                <w:sz w:val="17"/>
              </w:rPr>
              <w:t>missing_info[]</w:t>
            </w:r>
          </w:p>
        </w:tc>
        <w:tc>
          <w:tcPr>
            <w:tcW w:type="dxa" w:w="1814"/>
            <w:vAlign w:val="top"/>
          </w:tcPr>
          <w:p>
            <w:pPr>
              <w:spacing w:before="0" w:after="0" w:line="240" w:lineRule="auto"/>
            </w:pPr>
            <w:r>
              <w:rPr>
                <w:sz w:val="19"/>
              </w:rPr>
              <w:t>list</w:t>
            </w:r>
          </w:p>
        </w:tc>
        <w:tc>
          <w:tcPr>
            <w:tcW w:type="dxa" w:w="5556"/>
            <w:vAlign w:val="top"/>
          </w:tcPr>
          <w:p>
            <w:pPr>
              <w:spacing w:before="0" w:after="0" w:line="240" w:lineRule="auto"/>
            </w:pPr>
            <w:r>
              <w:rPr>
                <w:sz w:val="19"/>
              </w:rPr>
              <w:t>what the person still has to add in PRMS — shown under Details</w:t>
            </w:r>
          </w:p>
        </w:tc>
      </w:tr>
    </w:tbl>
    <w:p>
      <w:pPr>
        <w:spacing w:before="0" w:after="80" w:line="240" w:lineRule="auto"/>
      </w:pPr>
    </w:p>
    <w:p>
      <w:pPr>
        <w:keepLines/>
      </w:pPr>
      <w:r>
        <w:rPr>
          <w:b/>
        </w:rPr>
        <w:t>The envelope.</w:t>
      </w:r>
      <w:r>
        <w:rPr/>
        <w:t xml:space="preserve"> </w:t>
      </w:r>
      <w:r>
        <w:rPr>
          <w:rFonts w:ascii="Consolas" w:hAnsi="Consolas"/>
          <w:color w:val="1F3A5F"/>
          <w:sz w:val="19"/>
        </w:rPr>
        <w:t>indicator</w:t>
      </w:r>
      <w:r>
        <w:rPr/>
        <w:t xml:space="preserve"> echoes the KPI’s PORB fields and </w:t>
      </w:r>
      <w:r>
        <w:rPr>
          <w:rFonts w:ascii="Consolas" w:hAnsi="Consolas"/>
          <w:color w:val="1F3A5F"/>
          <w:sz w:val="19"/>
        </w:rPr>
        <w:t>target</w:t>
      </w:r>
      <w:r>
        <w:rPr/>
        <w:t xml:space="preserve">; </w:t>
      </w:r>
      <w:r>
        <w:rPr>
          <w:rFonts w:ascii="Consolas" w:hAnsi="Consolas"/>
          <w:color w:val="1F3A5F"/>
          <w:sz w:val="19"/>
        </w:rPr>
        <w:t>evidence_count</w:t>
      </w:r>
      <w:r>
        <w:rPr/>
        <w:t xml:space="preserve"> is the number of non-deleted submissions on the KPI; </w:t>
      </w:r>
      <w:r>
        <w:rPr>
          <w:rFonts w:ascii="Consolas" w:hAnsi="Consolas"/>
          <w:color w:val="1F3A5F"/>
          <w:sz w:val="19"/>
        </w:rPr>
        <w:t>generated_by</w:t>
      </w:r>
      <w:r>
        <w:rPr/>
        <w:t xml:space="preserve"> tells the mode (</w:t>
      </w:r>
      <w:r>
        <w:rPr>
          <w:rFonts w:ascii="Consolas" w:hAnsi="Consolas"/>
          <w:color w:val="1F3A5F"/>
          <w:sz w:val="19"/>
        </w:rPr>
        <w:t>ai</w:t>
      </w:r>
      <w:r>
        <w:rPr/>
        <w:t xml:space="preserve"> or </w:t>
      </w:r>
      <w:r>
        <w:rPr>
          <w:rFonts w:ascii="Consolas" w:hAnsi="Consolas"/>
          <w:color w:val="1F3A5F"/>
          <w:sz w:val="19"/>
        </w:rPr>
        <w:t>template</w:t>
      </w:r>
      <w:r>
        <w:rPr/>
        <w:t xml:space="preserve">), model, prompt version, token counts, duration, files read and, when relevant, a </w:t>
      </w:r>
      <w:r>
        <w:rPr>
          <w:rFonts w:ascii="Consolas" w:hAnsi="Consolas"/>
          <w:color w:val="1F3A5F"/>
          <w:sz w:val="19"/>
        </w:rPr>
        <w:t>fallback_reason</w:t>
      </w:r>
      <w:r>
        <w:rPr/>
        <w:t xml:space="preserve">; </w:t>
      </w:r>
      <w:r>
        <w:rPr>
          <w:rFonts w:ascii="Consolas" w:hAnsi="Consolas"/>
          <w:color w:val="1F3A5F"/>
          <w:sz w:val="19"/>
        </w:rPr>
        <w:t>cache</w:t>
      </w:r>
      <w:r>
        <w:rPr/>
        <w:t xml:space="preserve"> carries </w:t>
      </w:r>
      <w:r>
        <w:rPr>
          <w:rFonts w:ascii="Consolas" w:hAnsi="Consolas"/>
          <w:color w:val="1F3A5F"/>
          <w:sz w:val="19"/>
        </w:rPr>
        <w:t>hit</w:t>
      </w:r>
      <w:r>
        <w:rPr/>
        <w:t xml:space="preserve">, the </w:t>
      </w:r>
      <w:r>
        <w:rPr>
          <w:rFonts w:ascii="Consolas" w:hAnsi="Consolas"/>
          <w:color w:val="1F3A5F"/>
          <w:sz w:val="19"/>
        </w:rPr>
        <w:t>evidence_fingerprint</w:t>
      </w:r>
      <w:r>
        <w:rPr/>
        <w:t xml:space="preserve"> (a hash of the evidence the draft was made from) and </w:t>
      </w:r>
      <w:r>
        <w:rPr>
          <w:rFonts w:ascii="Consolas" w:hAnsi="Consolas"/>
          <w:color w:val="1F3A5F"/>
          <w:sz w:val="19"/>
        </w:rPr>
        <w:t>cached_at</w:t>
      </w:r>
      <w:r>
        <w:rPr/>
        <w:t xml:space="preserve">; </w:t>
      </w:r>
      <w:r>
        <w:rPr>
          <w:rFonts w:ascii="Consolas" w:hAnsi="Consolas"/>
          <w:color w:val="1F3A5F"/>
          <w:sz w:val="19"/>
        </w:rPr>
        <w:t>source.pt_url</w:t>
      </w:r>
      <w:r>
        <w:rPr/>
        <w:t xml:space="preserve"> deep-links the KPI in the Progress Tracker so the person can look at the originals.</w:t>
      </w:r>
    </w:p>
    <w:p>
      <w:pPr>
        <w:pStyle w:val="Heading2"/>
      </w:pPr>
      <w:bookmarkStart w:id="109" w:name="_Toc7"/>
      <w:r>
        <w:rPr/>
        <w:t xml:space="preserve">4.2 </w:t>
      </w:r>
      <w:r>
        <w:rPr>
          <w:rFonts w:ascii="Consolas" w:hAnsi="Consolas"/>
          <w:color w:val="1F3A5F"/>
          <w:sz w:val="19"/>
        </w:rPr>
        <w:t>GET /api/prms/indicators/resolve</w:t>
      </w:r>
      <w:r>
        <w:rPr/>
        <w:t xml:space="preserve"> — from PORB texts to the Progress Tracker id</w:t>
      </w:r>
      <w:bookmarkEnd w:id="109"/>
    </w:p>
    <w:p>
      <w:pPr>
        <w:keepLines/>
      </w:pPr>
      <w:r>
        <w:rPr>
          <w:b/>
        </w:rPr>
        <w:t>Purpose.</w:t>
      </w:r>
      <w:r>
        <w:rPr/>
        <w:t xml:space="preserve"> Let PRMS find the Progress Tracker’s </w:t>
      </w:r>
      <w:r>
        <w:rPr>
          <w:rFonts w:ascii="Consolas" w:hAnsi="Consolas"/>
          <w:color w:val="1F3A5F"/>
          <w:sz w:val="19"/>
        </w:rPr>
        <w:t>indicator_id</w:t>
      </w:r>
      <w:r>
        <w:rPr/>
        <w:t xml:space="preserve"> from the PORB fields it already displays, without computing the hash itself (section 5 explains the formula and why the server-side path is safer). Query: </w:t>
      </w:r>
      <w:r>
        <w:rPr>
          <w:rFonts w:ascii="Consolas" w:hAnsi="Consolas"/>
          <w:color w:val="1F3A5F"/>
          <w:sz w:val="19"/>
        </w:rPr>
        <w:t>program</w:t>
      </w:r>
      <w:r>
        <w:rPr/>
        <w:t xml:space="preserve"> (name) or </w:t>
      </w:r>
      <w:r>
        <w:rPr>
          <w:rFonts w:ascii="Consolas" w:hAnsi="Consolas"/>
          <w:color w:val="1F3A5F"/>
          <w:sz w:val="19"/>
        </w:rPr>
        <w:t>program_id</w:t>
      </w:r>
      <w:r>
        <w:rPr/>
        <w:t xml:space="preserve">; </w:t>
      </w:r>
      <w:r>
        <w:rPr>
          <w:rFonts w:ascii="Consolas" w:hAnsi="Consolas"/>
          <w:color w:val="1F3A5F"/>
          <w:sz w:val="19"/>
        </w:rPr>
        <w:t>aow</w:t>
      </w:r>
      <w:r>
        <w:rPr/>
        <w:t xml:space="preserve">, </w:t>
      </w:r>
      <w:r>
        <w:rPr>
          <w:rFonts w:ascii="Consolas" w:hAnsi="Consolas"/>
          <w:color w:val="1F3A5F"/>
          <w:sz w:val="19"/>
        </w:rPr>
        <w:t>center</w:t>
      </w:r>
      <w:r>
        <w:rPr/>
        <w:t xml:space="preserve">, </w:t>
      </w:r>
      <w:r>
        <w:rPr>
          <w:rFonts w:ascii="Consolas" w:hAnsi="Consolas"/>
          <w:color w:val="1F3A5F"/>
          <w:sz w:val="19"/>
        </w:rPr>
        <w:t>hlo_title</w:t>
      </w:r>
      <w:r>
        <w:rPr/>
        <w:t xml:space="preserve">, </w:t>
      </w:r>
      <w:r>
        <w:rPr>
          <w:rFonts w:ascii="Consolas" w:hAnsi="Consolas"/>
          <w:color w:val="1F3A5F"/>
          <w:sz w:val="19"/>
        </w:rPr>
        <w:t>description</w:t>
      </w:r>
      <w:r>
        <w:rPr/>
        <w:t xml:space="preserve">; optional </w:t>
      </w:r>
      <w:r>
        <w:rPr>
          <w:rFonts w:ascii="Consolas" w:hAnsi="Consolas"/>
          <w:color w:val="1F3A5F"/>
          <w:sz w:val="19"/>
        </w:rPr>
        <w:t>kpi_type</w:t>
      </w:r>
      <w:r>
        <w:rPr/>
        <w:t xml:space="preserve"> as a tie-breaker. At least one of </w:t>
      </w:r>
      <w:r>
        <w:rPr>
          <w:rFonts w:ascii="Consolas" w:hAnsi="Consolas"/>
          <w:color w:val="1F3A5F"/>
          <w:sz w:val="19"/>
        </w:rPr>
        <w:t>hlo_title</w:t>
      </w:r>
      <w:r>
        <w:rPr/>
        <w:t xml:space="preserve"> or </w:t>
      </w:r>
      <w:r>
        <w:rPr>
          <w:rFonts w:ascii="Consolas" w:hAnsi="Consolas"/>
          <w:color w:val="1F3A5F"/>
          <w:sz w:val="19"/>
        </w:rPr>
        <w:t>description</w:t>
      </w:r>
      <w:r>
        <w:rPr/>
        <w:t xml:space="preserve"> is required (422 otherwise); 404 when the program is unknown.</w:t>
      </w: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curl -G "$BASE/api/prms/indicators/resolve" \</w:t>
            </w:r>
          </w:p>
          <w:p>
            <w:pPr>
              <w:keepNext/>
              <w:keepLines/>
              <w:spacing w:before="0" w:after="0" w:line="240" w:lineRule="auto"/>
            </w:pPr>
            <w:r>
              <w:rPr>
                <w:rFonts w:ascii="Consolas" w:hAnsi="Consolas"/>
                <w:color w:val="1F3A5F"/>
                <w:sz w:val="16"/>
              </w:rPr>
              <w:t xml:space="preserve">  --data-urlencode "program=Food Frontiers and Security" \</w:t>
            </w:r>
          </w:p>
          <w:p>
            <w:pPr>
              <w:keepNext/>
              <w:keepLines/>
              <w:spacing w:before="0" w:after="0" w:line="240" w:lineRule="auto"/>
            </w:pPr>
            <w:r>
              <w:rPr>
                <w:rFonts w:ascii="Consolas" w:hAnsi="Consolas"/>
                <w:color w:val="1F3A5F"/>
                <w:sz w:val="16"/>
              </w:rPr>
              <w:t xml:space="preserve">  --data-urlencode "aow=AOW02: Fragile and Conflict-affected Food Systems" \</w:t>
            </w:r>
          </w:p>
          <w:p>
            <w:pPr>
              <w:keepNext/>
              <w:keepLines/>
              <w:spacing w:before="0" w:after="0" w:line="240" w:lineRule="auto"/>
            </w:pPr>
            <w:r>
              <w:rPr>
                <w:rFonts w:ascii="Consolas" w:hAnsi="Consolas"/>
                <w:color w:val="1F3A5F"/>
                <w:sz w:val="16"/>
              </w:rPr>
              <w:t xml:space="preserve">  --data-urlencode "center=CIAT (Alliance)" \</w:t>
            </w:r>
          </w:p>
          <w:p>
            <w:pPr>
              <w:keepNext/>
              <w:keepLines/>
              <w:spacing w:before="0" w:after="0" w:line="240" w:lineRule="auto"/>
            </w:pPr>
            <w:r>
              <w:rPr>
                <w:rFonts w:ascii="Consolas" w:hAnsi="Consolas"/>
                <w:color w:val="1F3A5F"/>
                <w:sz w:val="16"/>
              </w:rPr>
              <w:t xml:space="preserve">  --data-urlencode "hlo_title=2.1.1 Prevent" \</w:t>
            </w:r>
          </w:p>
          <w:p>
            <w:pPr>
              <w:keepNext/>
              <w:keepLines/>
              <w:spacing w:before="0" w:after="0" w:line="240" w:lineRule="auto"/>
            </w:pPr>
            <w:r>
              <w:rPr>
                <w:rFonts w:ascii="Consolas" w:hAnsi="Consolas"/>
                <w:color w:val="1F3A5F"/>
                <w:sz w:val="16"/>
              </w:rPr>
              <w:t xml:space="preserve">  --data-urlencode "description=&lt;the full PORB description of the row&gt;"</w:t>
            </w:r>
          </w:p>
        </w:tc>
      </w:tr>
    </w:tbl>
    <w:p>
      <w:pPr>
        <w:spacing w:before="0" w:after="80" w:line="240" w:lineRule="auto"/>
      </w:pP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w:t>
            </w:r>
          </w:p>
          <w:p>
            <w:pPr>
              <w:keepNext/>
              <w:keepLines/>
              <w:spacing w:before="0" w:after="0" w:line="240" w:lineRule="auto"/>
            </w:pPr>
            <w:r>
              <w:rPr>
                <w:rFonts w:ascii="Consolas" w:hAnsi="Consolas"/>
                <w:color w:val="1F3A5F"/>
                <w:sz w:val="16"/>
              </w:rPr>
              <w:t xml:space="preserve"> "indicator_id": "8006329bfd49", "match": "exact",</w:t>
            </w:r>
          </w:p>
          <w:p>
            <w:pPr>
              <w:keepNext/>
              <w:keepLines/>
              <w:spacing w:before="0" w:after="0" w:line="240" w:lineRule="auto"/>
            </w:pPr>
            <w:r>
              <w:rPr>
                <w:rFonts w:ascii="Consolas" w:hAnsi="Consolas"/>
                <w:color w:val="1F3A5F"/>
                <w:sz w:val="16"/>
              </w:rPr>
              <w:t xml:space="preserve"> "program_id": "fdb65d1a595c", "program": "Food Frontiers and Security",</w:t>
            </w:r>
          </w:p>
          <w:p>
            <w:pPr>
              <w:keepNext/>
              <w:keepLines/>
              <w:spacing w:before="0" w:after="0" w:line="240" w:lineRule="auto"/>
            </w:pPr>
            <w:r>
              <w:rPr>
                <w:rFonts w:ascii="Consolas" w:hAnsi="Consolas"/>
                <w:color w:val="1F3A5F"/>
                <w:sz w:val="16"/>
              </w:rPr>
              <w:t xml:space="preserve"> "computed_indicator_id": "8006329bfd49",</w:t>
            </w:r>
          </w:p>
          <w:p>
            <w:pPr>
              <w:keepNext/>
              <w:keepLines/>
              <w:spacing w:before="0" w:after="0" w:line="240" w:lineRule="auto"/>
            </w:pPr>
            <w:r>
              <w:rPr>
                <w:rFonts w:ascii="Consolas" w:hAnsi="Consolas"/>
                <w:color w:val="1F3A5F"/>
                <w:sz w:val="16"/>
              </w:rPr>
              <w:t xml:space="preserve"> "candidates": [</w:t>
            </w:r>
          </w:p>
          <w:p>
            <w:pPr>
              <w:keepNext/>
              <w:keepLines/>
              <w:spacing w:before="0" w:after="0" w:line="240" w:lineRule="auto"/>
            </w:pPr>
            <w:r>
              <w:rPr>
                <w:rFonts w:ascii="Consolas" w:hAnsi="Consolas"/>
                <w:color w:val="1F3A5F"/>
                <w:sz w:val="16"/>
              </w:rPr>
              <w:t xml:space="preserve">  { "indicator_id": "8006329bfd49", "hlo_title": "2.1.1 Prevent", "aow": "AOW02: Fragile and Conflict-affected Food Systems",</w:t>
            </w:r>
          </w:p>
          <w:p>
            <w:pPr>
              <w:keepNext/>
              <w:keepLines/>
              <w:spacing w:before="0" w:after="0" w:line="240" w:lineRule="auto"/>
            </w:pPr>
            <w:r>
              <w:rPr>
                <w:rFonts w:ascii="Consolas" w:hAnsi="Consolas"/>
                <w:color w:val="1F3A5F"/>
                <w:sz w:val="16"/>
              </w:rPr>
              <w:t xml:space="preserve">    "center": "CIAT (Alliance)", "description": "AW2P3: Fragility and Conflict Sensitivity Hub- Design and ro…",</w:t>
            </w:r>
          </w:p>
          <w:p>
            <w:pPr>
              <w:keepNext/>
              <w:keepLines/>
              <w:spacing w:before="0" w:after="0" w:line="240" w:lineRule="auto"/>
            </w:pPr>
            <w:r>
              <w:rPr>
                <w:rFonts w:ascii="Consolas" w:hAnsi="Consolas"/>
                <w:color w:val="1F3A5F"/>
                <w:sz w:val="16"/>
              </w:rPr>
              <w:t xml:space="preserve">    "kpi_type": "custom", "score": 1.0 },</w:t>
            </w:r>
          </w:p>
          <w:p>
            <w:pPr>
              <w:keepNext/>
              <w:keepLines/>
              <w:spacing w:before="0" w:after="0" w:line="240" w:lineRule="auto"/>
            </w:pPr>
            <w:r>
              <w:rPr>
                <w:rFonts w:ascii="Consolas" w:hAnsi="Consolas"/>
                <w:color w:val="1F3A5F"/>
                <w:sz w:val="16"/>
              </w:rPr>
              <w:t xml:space="preserve">  { "indicator_id": "22ba725f9423", "hlo_title": "2.1.1 Prevent", "center": "CIAT (Alliance)",</w:t>
            </w:r>
          </w:p>
          <w:p>
            <w:pPr>
              <w:keepNext/>
              <w:keepLines/>
              <w:spacing w:before="0" w:after="0" w:line="240" w:lineRule="auto"/>
            </w:pPr>
            <w:r>
              <w:rPr>
                <w:rFonts w:ascii="Consolas" w:hAnsi="Consolas"/>
                <w:color w:val="1F3A5F"/>
                <w:sz w:val="16"/>
              </w:rPr>
              <w:t xml:space="preserve">    "description": "AW 2P1: Early Warning and Decision Support Tools for Fragile…", "kpi_type": "Number of knowledge products", "score": 0.668 }</w:t>
            </w:r>
          </w:p>
          <w:p>
            <w:pPr>
              <w:keepNext/>
              <w:keepLines/>
              <w:spacing w:before="0" w:after="0" w:line="240" w:lineRule="auto"/>
            </w:pPr>
            <w:r>
              <w:rPr>
                <w:rFonts w:ascii="Consolas" w:hAnsi="Consolas"/>
                <w:color w:val="1F3A5F"/>
                <w:sz w:val="16"/>
              </w:rPr>
              <w:t xml:space="preserve"> ]</w:t>
            </w:r>
          </w:p>
          <w:p>
            <w:pPr>
              <w:keepNext/>
              <w:keepLines/>
              <w:spacing w:before="0" w:after="0" w:line="240" w:lineRule="auto"/>
            </w:pPr>
            <w:r>
              <w:rPr>
                <w:rFonts w:ascii="Consolas" w:hAnsi="Consolas"/>
                <w:color w:val="1F3A5F"/>
                <w:sz w:val="16"/>
              </w:rPr>
              <w:t>}</w:t>
            </w:r>
          </w:p>
        </w:tc>
      </w:tr>
    </w:tbl>
    <w:p>
      <w:pPr>
        <w:spacing w:before="0" w:after="80" w:line="240" w:lineRule="auto"/>
      </w:pPr>
    </w:p>
    <w:p>
      <w:pPr>
        <w:keepLines/>
      </w:pPr>
      <w:r>
        <w:rPr>
          <w:rFonts w:ascii="Consolas" w:hAnsi="Consolas"/>
          <w:color w:val="1F3A5F"/>
          <w:sz w:val="19"/>
        </w:rPr>
        <w:t>match</w:t>
      </w:r>
      <w:r>
        <w:rPr/>
        <w:t xml:space="preserve"> is </w:t>
      </w:r>
      <w:r>
        <w:rPr>
          <w:rFonts w:ascii="Consolas" w:hAnsi="Consolas"/>
          <w:color w:val="1F3A5F"/>
          <w:sz w:val="19"/>
        </w:rPr>
        <w:t>exact</w:t>
      </w:r>
      <w:r>
        <w:rPr/>
        <w:t xml:space="preserve"> (hash hit), </w:t>
      </w:r>
      <w:r>
        <w:rPr>
          <w:rFonts w:ascii="Consolas" w:hAnsi="Consolas"/>
          <w:color w:val="1F3A5F"/>
          <w:sz w:val="19"/>
        </w:rPr>
        <w:t>fuzzy</w:t>
      </w:r>
      <w:r>
        <w:rPr/>
        <w:t xml:space="preserve"> (best normalised similarity ≥ 0.82 among the program’s indicators) or </w:t>
      </w:r>
      <w:r>
        <w:rPr>
          <w:rFonts w:ascii="Consolas" w:hAnsi="Consolas"/>
          <w:color w:val="1F3A5F"/>
          <w:sz w:val="19"/>
        </w:rPr>
        <w:t>none</w:t>
      </w:r>
      <w:r>
        <w:rPr/>
        <w:t xml:space="preserve"> (still returns up to five </w:t>
      </w:r>
      <w:r>
        <w:rPr>
          <w:rFonts w:ascii="Consolas" w:hAnsi="Consolas"/>
          <w:color w:val="1F3A5F"/>
          <w:sz w:val="19"/>
        </w:rPr>
        <w:t>candidates</w:t>
      </w:r>
      <w:r>
        <w:rPr/>
        <w:t xml:space="preserve"> for a picker). The resolver strips the label prefixes PRMS shows on its rows (</w:t>
      </w:r>
      <w:r>
        <w:rPr>
          <w:rFonts w:ascii="Consolas" w:hAnsi="Consolas"/>
          <w:color w:val="1F3A5F"/>
          <w:sz w:val="19"/>
        </w:rPr>
        <w:t>5--.-------</w:t>
      </w:r>
      <w:r>
        <w:rPr/>
        <w:t xml:space="preserve">, </w:t>
      </w:r>
      <w:r>
        <w:rPr>
          <w:rFonts w:ascii="Consolas" w:hAnsi="Consolas"/>
          <w:color w:val="1F3A5F"/>
          <w:sz w:val="19"/>
        </w:rPr>
        <w:t>ACTIVITY DESCRIPTION:</w:t>
      </w:r>
      <w:r>
        <w:rPr/>
        <w:t xml:space="preserve"> and similar) and scores a truncated description against the full text: the same KPI sent in PRMS row-label style — </w:t>
      </w:r>
      <w:r>
        <w:rPr>
          <w:rFonts w:ascii="Consolas" w:hAnsi="Consolas"/>
          <w:color w:val="1F3A5F"/>
          <w:sz w:val="19"/>
        </w:rPr>
        <w:t>description=5--.------- CIAT (Alliance) - AW2P3: Fragility and Conflict Sensitivity Hub- Design and roll out a Fr</w:t>
      </w:r>
      <w:r>
        <w:rPr/>
        <w:t xml:space="preserve"> — resolved to </w:t>
      </w:r>
      <w:r>
        <w:rPr>
          <w:rFonts w:ascii="Consolas" w:hAnsi="Consolas"/>
          <w:color w:val="1F3A5F"/>
          <w:sz w:val="19"/>
        </w:rPr>
        <w:t>8006329bfd49</w:t>
      </w:r>
      <w:r>
        <w:rPr/>
        <w:t xml:space="preserve"> as </w:t>
      </w:r>
      <w:r>
        <w:rPr>
          <w:rFonts w:ascii="Consolas" w:hAnsi="Consolas"/>
          <w:color w:val="1F3A5F"/>
          <w:sz w:val="19"/>
        </w:rPr>
        <w:t>fuzzy</w:t>
      </w:r>
      <w:r>
        <w:rPr/>
        <w:t xml:space="preserve"> with score 0.878.</w:t>
      </w:r>
    </w:p>
    <w:p>
      <w:pPr>
        <w:pStyle w:val="Heading2"/>
      </w:pPr>
      <w:bookmarkStart w:id="110" w:name="_Toc8"/>
      <w:r>
        <w:rPr/>
        <w:t xml:space="preserve">4.3 </w:t>
      </w:r>
      <w:r>
        <w:rPr>
          <w:rFonts w:ascii="Consolas" w:hAnsi="Consolas"/>
          <w:color w:val="1F3A5F"/>
          <w:sz w:val="19"/>
        </w:rPr>
        <w:t>GET /api/prms/programs/{program_id}/ready-counts</w:t>
      </w:r>
      <w:r>
        <w:rPr/>
        <w:t xml:space="preserve"> — the “N results ready” badge</w:t>
      </w:r>
      <w:bookmarkEnd w:id="110"/>
    </w:p>
    <w:p>
      <w:pPr>
        <w:keepLines/>
      </w:pPr>
      <w:r>
        <w:rPr>
          <w:b/>
        </w:rPr>
        <w:t>Purpose.</w:t>
      </w:r>
      <w:r>
        <w:rPr/>
        <w:t xml:space="preserve"> One call per program, one indexed query on the Progress Tracker side (0.20 s measured), returning per indicator how many evidence items exist and how many drafts are already cached. The path accepts the program id or its name; </w:t>
      </w:r>
      <w:r>
        <w:rPr>
          <w:rFonts w:ascii="Consolas" w:hAnsi="Consolas"/>
          <w:color w:val="1F3A5F"/>
          <w:sz w:val="19"/>
        </w:rPr>
        <w:t>min_evidence</w:t>
      </w:r>
      <w:r>
        <w:rPr/>
        <w:t xml:space="preserve"> (default 1) filters the list.</w:t>
      </w: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curl "$BASE/api/prms/programs/fdb65d1a595c/ready-counts"</w:t>
            </w:r>
          </w:p>
          <w:p>
            <w:pPr>
              <w:keepNext/>
              <w:keepLines/>
              <w:spacing w:before="0" w:after="0" w:line="240" w:lineRule="auto"/>
            </w:pPr>
            <w:r>
              <w:rPr>
                <w:rFonts w:ascii="Consolas" w:hAnsi="Consolas"/>
                <w:color w:val="1F3A5F"/>
                <w:sz w:val="16"/>
              </w:rPr>
              <w:t>curl "$BASE/api/prms/programs/Food%20Frontiers%20and%20Security/ready-counts"</w:t>
            </w:r>
          </w:p>
        </w:tc>
      </w:tr>
    </w:tbl>
    <w:p>
      <w:pPr>
        <w:spacing w:before="0" w:after="80" w:line="240" w:lineRule="auto"/>
      </w:pPr>
    </w:p>
    <w:tbl>
      <w:tblPr>
        <w:tblW w:type="dxa" w:w="9637"/>
        <w:jc w:val="center"/>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Layout w:type="fixed"/>
        <w:tblLayout w:type="fixed"/>
        <w:tblCellMar>
          <w:top w:w="70" w:type="dxa"/>
          <w:left w:w="140" w:type="dxa"/>
          <w:bottom w:w="70" w:type="dxa"/>
          <w:right w:w="140" w:type="dxa"/>
        </w:tblCellMar>
        <w:tblLook w:firstColumn="1" w:firstRow="1" w:lastColumn="0" w:lastRow="0" w:noHBand="0" w:noVBand="1" w:val="04A0"/>
      </w:tblPr>
      <w:tblGrid>
        <w:gridCol w:w="9638"/>
      </w:tblGrid>
      <w:tr>
        <w:trPr>
          <w:cantSplit/>
        </w:trPr>
        <w:tc>
          <w:tcPr>
            <w:tcW w:type="dxa" w:w="9638"/>
            <w:shd w:val="clear" w:color="auto" w:fill="F4F6F8"/>
          </w:tcPr>
          <w:p>
            <w:pPr>
              <w:keepNext/>
              <w:keepLines/>
              <w:spacing w:before="0" w:after="0" w:line="240" w:lineRule="auto"/>
            </w:pPr>
            <w:r>
              <w:rPr>
                <w:rFonts w:ascii="Consolas" w:hAnsi="Consolas"/>
                <w:color w:val="1F3A5F"/>
                <w:sz w:val="16"/>
              </w:rPr>
              <w:t>{</w:t>
            </w:r>
          </w:p>
          <w:p>
            <w:pPr>
              <w:keepNext/>
              <w:keepLines/>
              <w:spacing w:before="0" w:after="0" w:line="240" w:lineRule="auto"/>
            </w:pPr>
            <w:r>
              <w:rPr>
                <w:rFonts w:ascii="Consolas" w:hAnsi="Consolas"/>
                <w:color w:val="1F3A5F"/>
                <w:sz w:val="16"/>
              </w:rPr>
              <w:t xml:space="preserve"> "program_id": "fdb65d1a595c",</w:t>
            </w:r>
          </w:p>
          <w:p>
            <w:pPr>
              <w:keepNext/>
              <w:keepLines/>
              <w:spacing w:before="0" w:after="0" w:line="240" w:lineRule="auto"/>
            </w:pPr>
            <w:r>
              <w:rPr>
                <w:rFonts w:ascii="Consolas" w:hAnsi="Consolas"/>
                <w:color w:val="1F3A5F"/>
                <w:sz w:val="16"/>
              </w:rPr>
              <w:t xml:space="preserve"> "items": [</w:t>
            </w:r>
          </w:p>
          <w:p>
            <w:pPr>
              <w:keepNext/>
              <w:keepLines/>
              <w:spacing w:before="0" w:after="0" w:line="240" w:lineRule="auto"/>
            </w:pPr>
            <w:r>
              <w:rPr>
                <w:rFonts w:ascii="Consolas" w:hAnsi="Consolas"/>
                <w:color w:val="1F3A5F"/>
                <w:sz w:val="16"/>
              </w:rPr>
              <w:t xml:space="preserve">  { "indicator_id": "8006329bfd49", "evidence_count": 13, "cached_results_count": 3, "cached_at": "2026-09-15T16:36:50.057053+00:00" },</w:t>
            </w:r>
          </w:p>
          <w:p>
            <w:pPr>
              <w:keepNext/>
              <w:keepLines/>
              <w:spacing w:before="0" w:after="0" w:line="240" w:lineRule="auto"/>
            </w:pPr>
            <w:r>
              <w:rPr>
                <w:rFonts w:ascii="Consolas" w:hAnsi="Consolas"/>
                <w:color w:val="1F3A5F"/>
                <w:sz w:val="16"/>
              </w:rPr>
              <w:t xml:space="preserve">  { "indicator_id": "906bb71c7c54", "evidence_count": 8,  "cached_results_count": 0, "cached_at": null },</w:t>
            </w:r>
          </w:p>
          <w:p>
            <w:pPr>
              <w:keepNext/>
              <w:keepLines/>
              <w:spacing w:before="0" w:after="0" w:line="240" w:lineRule="auto"/>
            </w:pPr>
            <w:r>
              <w:rPr>
                <w:rFonts w:ascii="Consolas" w:hAnsi="Consolas"/>
                <w:color w:val="1F3A5F"/>
                <w:sz w:val="16"/>
              </w:rPr>
              <w:t xml:space="preserve">  { "indicator_id": "6ed46cb3da80", "evidence_count": 7,  "cached_results_count": 0, "cached_at": null },</w:t>
            </w:r>
          </w:p>
          <w:p>
            <w:pPr>
              <w:keepNext/>
              <w:keepLines/>
              <w:spacing w:before="0" w:after="0" w:line="240" w:lineRule="auto"/>
            </w:pPr>
            <w:r>
              <w:rPr>
                <w:rFonts w:ascii="Consolas" w:hAnsi="Consolas"/>
                <w:color w:val="1F3A5F"/>
                <w:sz w:val="16"/>
              </w:rPr>
              <w:t xml:space="preserve">  { "…": "92 more" }</w:t>
            </w:r>
          </w:p>
          <w:p>
            <w:pPr>
              <w:keepNext/>
              <w:keepLines/>
              <w:spacing w:before="0" w:after="0" w:line="240" w:lineRule="auto"/>
            </w:pPr>
            <w:r>
              <w:rPr>
                <w:rFonts w:ascii="Consolas" w:hAnsi="Consolas"/>
                <w:color w:val="1F3A5F"/>
                <w:sz w:val="16"/>
              </w:rPr>
              <w:t xml:space="preserve"> ],</w:t>
            </w:r>
          </w:p>
          <w:p>
            <w:pPr>
              <w:keepNext/>
              <w:keepLines/>
              <w:spacing w:before="0" w:after="0" w:line="240" w:lineRule="auto"/>
            </w:pPr>
            <w:r>
              <w:rPr>
                <w:rFonts w:ascii="Consolas" w:hAnsi="Consolas"/>
                <w:color w:val="1F3A5F"/>
                <w:sz w:val="16"/>
              </w:rPr>
              <w:t xml:space="preserve"> "indicators_with_evidence": 95,</w:t>
            </w:r>
          </w:p>
          <w:p>
            <w:pPr>
              <w:keepNext/>
              <w:keepLines/>
              <w:spacing w:before="0" w:after="0" w:line="240" w:lineRule="auto"/>
            </w:pPr>
            <w:r>
              <w:rPr>
                <w:rFonts w:ascii="Consolas" w:hAnsi="Consolas"/>
                <w:color w:val="1F3A5F"/>
                <w:sz w:val="16"/>
              </w:rPr>
              <w:t xml:space="preserve"> "generated_at": "2026-09-15T16:36:53.391188+00:00"</w:t>
            </w:r>
          </w:p>
          <w:p>
            <w:pPr>
              <w:keepNext/>
              <w:keepLines/>
              <w:spacing w:before="0" w:after="0" w:line="240" w:lineRule="auto"/>
            </w:pPr>
            <w:r>
              <w:rPr>
                <w:rFonts w:ascii="Consolas" w:hAnsi="Consolas"/>
                <w:color w:val="1F3A5F"/>
                <w:sz w:val="16"/>
              </w:rPr>
              <w:t>}</w:t>
            </w:r>
          </w:p>
        </w:tc>
      </w:tr>
    </w:tbl>
    <w:p>
      <w:pPr>
        <w:spacing w:before="0" w:after="80" w:line="240" w:lineRule="auto"/>
      </w:pPr>
    </w:p>
    <w:p>
      <w:pPr>
        <w:keepLines/>
      </w:pPr>
      <w:r>
        <w:rPr>
          <w:rFonts w:ascii="Consolas" w:hAnsi="Consolas"/>
          <w:color w:val="1F3A5F"/>
          <w:sz w:val="19"/>
        </w:rPr>
        <w:t>cached_results_count</w:t>
      </w:r>
      <w:r>
        <w:rPr/>
        <w:t xml:space="preserve"> is 0 until a KPI has been drafted once; PRMS can show </w:t>
      </w:r>
      <w:r>
        <w:rPr>
          <w:rFonts w:ascii="Consolas" w:hAnsi="Consolas"/>
          <w:color w:val="1F3A5F"/>
          <w:sz w:val="19"/>
        </w:rPr>
        <w:t>evidence_count &gt; 0</w:t>
      </w:r>
      <w:r>
        <w:rPr/>
        <w:t xml:space="preserve"> as “evidence available” until then. Program ids (and names) are listed by the existing </w:t>
      </w:r>
      <w:r>
        <w:rPr>
          <w:rFonts w:ascii="Consolas" w:hAnsi="Consolas"/>
          <w:color w:val="1F3A5F"/>
          <w:sz w:val="19"/>
        </w:rPr>
        <w:t>GET $BASE/api/programs</w:t>
      </w:r>
      <w:r>
        <w:rPr/>
        <w:t>.</w:t>
      </w:r>
    </w:p>
    <w:p>
      <w:pPr>
        <w:pStyle w:val="Heading2"/>
      </w:pPr>
      <w:bookmarkStart w:id="111" w:name="_Toc9"/>
      <w:r>
        <w:rPr/>
        <w:t>4.4 Errors, edge cases, timing and cost</w:t>
      </w:r>
      <w:bookmarkEnd w:id="111"/>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2381"/>
        <w:gridCol w:w="7257"/>
      </w:tblGrid>
      <w:tr>
        <w:trPr>
          <w:cantSplit/>
          <w:tblHeader/>
        </w:trPr>
        <w:tc>
          <w:tcPr>
            <w:tcW w:type="dxa" w:w="2381"/>
            <w:shd w:val="clear" w:color="auto" w:fill="E8EEF4"/>
            <w:vAlign w:val="top"/>
          </w:tcPr>
          <w:p>
            <w:pPr>
              <w:keepNext/>
              <w:spacing w:before="0" w:after="0" w:line="240" w:lineRule="auto"/>
            </w:pPr>
            <w:r>
              <w:rPr>
                <w:b/>
                <w:color w:val="00477A"/>
                <w:sz w:val="19"/>
              </w:rPr>
              <w:t>Situation</w:t>
            </w:r>
          </w:p>
        </w:tc>
        <w:tc>
          <w:tcPr>
            <w:tcW w:type="dxa" w:w="7257"/>
            <w:shd w:val="clear" w:color="auto" w:fill="E8EEF4"/>
            <w:vAlign w:val="top"/>
          </w:tcPr>
          <w:p>
            <w:pPr>
              <w:keepNext/>
              <w:spacing w:before="0" w:after="0" w:line="240" w:lineRule="auto"/>
            </w:pPr>
            <w:r>
              <w:rPr>
                <w:b/>
                <w:color w:val="00477A"/>
                <w:sz w:val="19"/>
              </w:rPr>
              <w:t>What happens and what PRMS should do</w:t>
            </w:r>
          </w:p>
        </w:tc>
      </w:tr>
      <w:tr>
        <w:trPr>
          <w:cantSplit/>
        </w:trPr>
        <w:tc>
          <w:tcPr>
            <w:tcW w:type="dxa" w:w="2381"/>
            <w:vAlign w:val="top"/>
          </w:tcPr>
          <w:p>
            <w:pPr>
              <w:spacing w:before="0" w:after="0" w:line="240" w:lineRule="auto"/>
            </w:pPr>
            <w:r>
              <w:rPr>
                <w:sz w:val="19"/>
              </w:rPr>
              <w:t xml:space="preserve">Unknown </w:t>
            </w:r>
            <w:r>
              <w:rPr>
                <w:rFonts w:ascii="Consolas" w:hAnsi="Consolas"/>
                <w:color w:val="1F3A5F"/>
                <w:sz w:val="17"/>
              </w:rPr>
              <w:t>indicator_id</w:t>
            </w:r>
            <w:r>
              <w:rPr>
                <w:sz w:val="19"/>
              </w:rPr>
              <w:t>, or the flag is off in that environment</w:t>
            </w:r>
          </w:p>
        </w:tc>
        <w:tc>
          <w:tcPr>
            <w:tcW w:type="dxa" w:w="7257"/>
            <w:vAlign w:val="top"/>
          </w:tcPr>
          <w:p>
            <w:pPr>
              <w:spacing w:before="0" w:after="0" w:line="240" w:lineRule="auto"/>
            </w:pPr>
            <w:r>
              <w:rPr>
                <w:sz w:val="19"/>
              </w:rPr>
              <w:t xml:space="preserve">HTTP 404. The prototype’s PRMS module maps it to </w:t>
            </w:r>
            <w:r>
              <w:rPr>
                <w:rFonts w:ascii="Consolas" w:hAnsi="Consolas"/>
                <w:color w:val="1F3A5F"/>
                <w:sz w:val="17"/>
              </w:rPr>
              <w:t>not_found</w:t>
            </w:r>
            <w:r>
              <w:rPr>
                <w:sz w:val="19"/>
              </w:rPr>
              <w:t xml:space="preserve"> and the form shows “this KPI is not known to the Progress Tracker” with the Manual entry escape</w:t>
            </w:r>
          </w:p>
        </w:tc>
      </w:tr>
      <w:tr>
        <w:trPr>
          <w:cantSplit/>
        </w:trPr>
        <w:tc>
          <w:tcPr>
            <w:tcW w:type="dxa" w:w="2381"/>
            <w:vAlign w:val="top"/>
          </w:tcPr>
          <w:p>
            <w:pPr>
              <w:spacing w:before="0" w:after="0" w:line="240" w:lineRule="auto"/>
            </w:pPr>
            <w:r>
              <w:rPr>
                <w:sz w:val="19"/>
              </w:rPr>
              <w:t xml:space="preserve">Bad query value (e.g. </w:t>
            </w:r>
            <w:r>
              <w:rPr>
                <w:rFonts w:ascii="Consolas" w:hAnsi="Consolas"/>
                <w:color w:val="1F3A5F"/>
                <w:sz w:val="17"/>
              </w:rPr>
              <w:t>max_results=20</w:t>
            </w:r>
            <w:r>
              <w:rPr>
                <w:sz w:val="19"/>
              </w:rPr>
              <w:t>)</w:t>
            </w:r>
          </w:p>
        </w:tc>
        <w:tc>
          <w:tcPr>
            <w:tcW w:type="dxa" w:w="7257"/>
            <w:vAlign w:val="top"/>
          </w:tcPr>
          <w:p>
            <w:pPr>
              <w:spacing w:before="0" w:after="0" w:line="240" w:lineRule="auto"/>
            </w:pPr>
            <w:r>
              <w:rPr>
                <w:sz w:val="19"/>
              </w:rPr>
              <w:t>HTTP 422 with the validation detail</w:t>
            </w:r>
          </w:p>
        </w:tc>
      </w:tr>
      <w:tr>
        <w:trPr>
          <w:cantSplit/>
        </w:trPr>
        <w:tc>
          <w:tcPr>
            <w:tcW w:type="dxa" w:w="2381"/>
            <w:vAlign w:val="top"/>
          </w:tcPr>
          <w:p>
            <w:pPr>
              <w:spacing w:before="0" w:after="0" w:line="240" w:lineRule="auto"/>
            </w:pPr>
            <w:r>
              <w:rPr>
                <w:sz w:val="19"/>
              </w:rPr>
              <w:t>KPI without evidence</w:t>
            </w:r>
          </w:p>
        </w:tc>
        <w:tc>
          <w:tcPr>
            <w:tcW w:type="dxa" w:w="7257"/>
            <w:vAlign w:val="top"/>
          </w:tcPr>
          <w:p>
            <w:pPr>
              <w:spacing w:before="0" w:after="0" w:line="240" w:lineRule="auto"/>
            </w:pPr>
            <w:r>
              <w:rPr>
                <w:sz w:val="19"/>
              </w:rPr>
              <w:t xml:space="preserve">HTTP 200, </w:t>
            </w:r>
            <w:r>
              <w:rPr>
                <w:rFonts w:ascii="Consolas" w:hAnsi="Consolas"/>
                <w:color w:val="1F3A5F"/>
                <w:sz w:val="17"/>
              </w:rPr>
              <w:t>mode=template</w:t>
            </w:r>
            <w:r>
              <w:rPr>
                <w:sz w:val="19"/>
              </w:rPr>
              <w:t xml:space="preserve">, </w:t>
            </w:r>
            <w:r>
              <w:rPr>
                <w:rFonts w:ascii="Consolas" w:hAnsi="Consolas"/>
                <w:color w:val="1F3A5F"/>
                <w:sz w:val="17"/>
              </w:rPr>
              <w:t>fallback_reason="no_evidence"</w:t>
            </w:r>
            <w:r>
              <w:rPr>
                <w:sz w:val="19"/>
              </w:rPr>
              <w:t>, one placeholder per result type, 0.2 s, not cached</w:t>
            </w:r>
          </w:p>
        </w:tc>
      </w:tr>
      <w:tr>
        <w:trPr>
          <w:cantSplit/>
        </w:trPr>
        <w:tc>
          <w:tcPr>
            <w:tcW w:type="dxa" w:w="2381"/>
            <w:vAlign w:val="top"/>
          </w:tcPr>
          <w:p>
            <w:pPr>
              <w:spacing w:before="0" w:after="0" w:line="240" w:lineRule="auto"/>
            </w:pPr>
            <w:r>
              <w:rPr>
                <w:rFonts w:ascii="Consolas" w:hAnsi="Consolas"/>
                <w:color w:val="1F3A5F"/>
                <w:sz w:val="17"/>
              </w:rPr>
              <w:t>mode=template</w:t>
            </w:r>
            <w:r>
              <w:rPr>
                <w:sz w:val="19"/>
              </w:rPr>
              <w:t xml:space="preserve"> requested</w:t>
            </w:r>
          </w:p>
        </w:tc>
        <w:tc>
          <w:tcPr>
            <w:tcW w:type="dxa" w:w="7257"/>
            <w:vAlign w:val="top"/>
          </w:tcPr>
          <w:p>
            <w:pPr>
              <w:spacing w:before="0" w:after="0" w:line="240" w:lineRule="auto"/>
            </w:pPr>
            <w:r>
              <w:rPr>
                <w:sz w:val="19"/>
              </w:rPr>
              <w:t>HTTP 200 with the placeholder, instant and free — useful to render immediately and upgrade later</w:t>
            </w:r>
          </w:p>
        </w:tc>
      </w:tr>
      <w:tr>
        <w:trPr>
          <w:cantSplit/>
        </w:trPr>
        <w:tc>
          <w:tcPr>
            <w:tcW w:type="dxa" w:w="2381"/>
            <w:vAlign w:val="top"/>
          </w:tcPr>
          <w:p>
            <w:pPr>
              <w:spacing w:before="0" w:after="0" w:line="240" w:lineRule="auto"/>
            </w:pPr>
            <w:r>
              <w:rPr>
                <w:sz w:val="19"/>
              </w:rPr>
              <w:t>Model failure, time-out or nothing usable</w:t>
            </w:r>
          </w:p>
        </w:tc>
        <w:tc>
          <w:tcPr>
            <w:tcW w:type="dxa" w:w="7257"/>
            <w:vAlign w:val="top"/>
          </w:tcPr>
          <w:p>
            <w:pPr>
              <w:spacing w:before="0" w:after="0" w:line="240" w:lineRule="auto"/>
            </w:pPr>
            <w:r>
              <w:rPr>
                <w:sz w:val="19"/>
              </w:rPr>
              <w:t xml:space="preserve">HTTP 200, </w:t>
            </w:r>
            <w:r>
              <w:rPr>
                <w:rFonts w:ascii="Consolas" w:hAnsi="Consolas"/>
                <w:color w:val="1F3A5F"/>
                <w:sz w:val="17"/>
              </w:rPr>
              <w:t>mode=template</w:t>
            </w:r>
            <w:r>
              <w:rPr>
                <w:sz w:val="19"/>
              </w:rPr>
              <w:t xml:space="preserve"> with the error text in </w:t>
            </w:r>
            <w:r>
              <w:rPr>
                <w:rFonts w:ascii="Consolas" w:hAnsi="Consolas"/>
                <w:color w:val="1F3A5F"/>
                <w:sz w:val="17"/>
              </w:rPr>
              <w:t>fallback_reason</w:t>
            </w:r>
            <w:r>
              <w:rPr>
                <w:sz w:val="19"/>
              </w:rPr>
              <w:t>; nothing is cached; PRMS can retry (Refresh)</w:t>
            </w:r>
          </w:p>
        </w:tc>
      </w:tr>
      <w:tr>
        <w:trPr>
          <w:cantSplit/>
        </w:trPr>
        <w:tc>
          <w:tcPr>
            <w:tcW w:type="dxa" w:w="2381"/>
            <w:vAlign w:val="top"/>
          </w:tcPr>
          <w:p>
            <w:pPr>
              <w:spacing w:before="0" w:after="0" w:line="240" w:lineRule="auto"/>
            </w:pPr>
            <w:r>
              <w:rPr>
                <w:sz w:val="19"/>
              </w:rPr>
              <w:t>Cache</w:t>
            </w:r>
          </w:p>
        </w:tc>
        <w:tc>
          <w:tcPr>
            <w:tcW w:type="dxa" w:w="7257"/>
            <w:vAlign w:val="top"/>
          </w:tcPr>
          <w:p>
            <w:pPr>
              <w:spacing w:before="0" w:after="0" w:line="240" w:lineRule="auto"/>
            </w:pPr>
            <w:r>
              <w:rPr>
                <w:sz w:val="19"/>
              </w:rPr>
              <w:t xml:space="preserve">One model call per (indicator, evidence fingerprint). The fingerprint changes when submissions, files, notes, prompt version, model or </w:t>
            </w:r>
            <w:r>
              <w:rPr>
                <w:rFonts w:ascii="Consolas" w:hAnsi="Consolas"/>
                <w:color w:val="1F3A5F"/>
                <w:sz w:val="17"/>
              </w:rPr>
              <w:t>max_results</w:t>
            </w:r>
            <w:r>
              <w:rPr>
                <w:sz w:val="19"/>
              </w:rPr>
              <w:t xml:space="preserve"> change; </w:t>
            </w:r>
            <w:r>
              <w:rPr>
                <w:rFonts w:ascii="Consolas" w:hAnsi="Consolas"/>
                <w:color w:val="1F3A5F"/>
                <w:sz w:val="17"/>
              </w:rPr>
              <w:t>refresh=true</w:t>
            </w:r>
            <w:r>
              <w:rPr>
                <w:sz w:val="19"/>
              </w:rPr>
              <w:t xml:space="preserve"> bypasses it. No time-to-live</w:t>
            </w:r>
          </w:p>
        </w:tc>
      </w:tr>
      <w:tr>
        <w:trPr>
          <w:cantSplit/>
        </w:trPr>
        <w:tc>
          <w:tcPr>
            <w:tcW w:type="dxa" w:w="2381"/>
            <w:vAlign w:val="top"/>
          </w:tcPr>
          <w:p>
            <w:pPr>
              <w:spacing w:before="0" w:after="0" w:line="240" w:lineRule="auto"/>
            </w:pPr>
            <w:r>
              <w:rPr>
                <w:sz w:val="19"/>
              </w:rPr>
              <w:t>First call on a rich KPI</w:t>
            </w:r>
          </w:p>
        </w:tc>
        <w:tc>
          <w:tcPr>
            <w:tcW w:type="dxa" w:w="7257"/>
            <w:vAlign w:val="top"/>
          </w:tcPr>
          <w:p>
            <w:pPr>
              <w:spacing w:before="0" w:after="0" w:line="240" w:lineRule="auto"/>
            </w:pPr>
            <w:r>
              <w:rPr>
                <w:sz w:val="19"/>
              </w:rPr>
              <w:t xml:space="preserve">20–22 s measured on the 13-item KPI (cold start ≈ 2 s, file extraction 3–4 s, model 13–15 s). The Lambda keeps the whole call inside the </w:t>
            </w:r>
            <w:r>
              <w:rPr>
                <w:b/>
                <w:sz w:val="19"/>
              </w:rPr>
              <w:t>29 s API Gateway limit</w:t>
            </w:r>
            <w:r>
              <w:rPr>
                <w:sz w:val="19"/>
              </w:rPr>
              <w:t xml:space="preserve"> (extraction capped at 9 s, model gets the rest, template fallback on time-out). Client time-out ≥ 30 s</w:t>
            </w:r>
          </w:p>
        </w:tc>
      </w:tr>
      <w:tr>
        <w:trPr>
          <w:cantSplit/>
        </w:trPr>
        <w:tc>
          <w:tcPr>
            <w:tcW w:type="dxa" w:w="2381"/>
            <w:vAlign w:val="top"/>
          </w:tcPr>
          <w:p>
            <w:pPr>
              <w:spacing w:before="0" w:after="0" w:line="240" w:lineRule="auto"/>
            </w:pPr>
            <w:r>
              <w:rPr>
                <w:sz w:val="19"/>
              </w:rPr>
              <w:t>Cached, template, resolve, ready-counts</w:t>
            </w:r>
          </w:p>
        </w:tc>
        <w:tc>
          <w:tcPr>
            <w:tcW w:type="dxa" w:w="7257"/>
            <w:vAlign w:val="top"/>
          </w:tcPr>
          <w:p>
            <w:pPr>
              <w:spacing w:before="0" w:after="0" w:line="240" w:lineRule="auto"/>
            </w:pPr>
            <w:r>
              <w:rPr>
                <w:sz w:val="19"/>
              </w:rPr>
              <w:t>0.2–0.7 s</w:t>
            </w:r>
          </w:p>
        </w:tc>
      </w:tr>
      <w:tr>
        <w:trPr>
          <w:cantSplit/>
        </w:trPr>
        <w:tc>
          <w:tcPr>
            <w:tcW w:type="dxa" w:w="2381"/>
            <w:vAlign w:val="top"/>
          </w:tcPr>
          <w:p>
            <w:pPr>
              <w:spacing w:before="0" w:after="0" w:line="240" w:lineRule="auto"/>
            </w:pPr>
            <w:r>
              <w:rPr>
                <w:sz w:val="19"/>
              </w:rPr>
              <w:t>Cost of a fresh draft</w:t>
            </w:r>
          </w:p>
        </w:tc>
        <w:tc>
          <w:tcPr>
            <w:tcW w:type="dxa" w:w="7257"/>
            <w:vAlign w:val="top"/>
          </w:tcPr>
          <w:p>
            <w:pPr>
              <w:spacing w:before="0" w:after="0" w:line="240" w:lineRule="auto"/>
            </w:pPr>
            <w:r>
              <w:rPr>
                <w:sz w:val="19"/>
              </w:rPr>
              <w:t xml:space="preserve">3,134 input + 1,364 output tokens on the 13-item KPI = </w:t>
            </w:r>
            <w:r>
              <w:rPr>
                <w:b/>
                <w:sz w:val="19"/>
              </w:rPr>
              <w:t>US$0.0099</w:t>
            </w:r>
            <w:r>
              <w:rPr>
                <w:sz w:val="19"/>
              </w:rPr>
              <w:t xml:space="preserve"> at Claude Haiku 4.5 list price (US$0.0113 with the first prompt version; US$0.0107 on staging). Cached and template calls cost no model tokens</w:t>
            </w:r>
          </w:p>
        </w:tc>
      </w:tr>
      <w:tr>
        <w:trPr>
          <w:cantSplit/>
        </w:trPr>
        <w:tc>
          <w:tcPr>
            <w:tcW w:type="dxa" w:w="2381"/>
            <w:vAlign w:val="top"/>
          </w:tcPr>
          <w:p>
            <w:pPr>
              <w:spacing w:before="0" w:after="0" w:line="240" w:lineRule="auto"/>
            </w:pPr>
            <w:r>
              <w:rPr>
                <w:sz w:val="19"/>
              </w:rPr>
              <w:t>What the API reads and writes</w:t>
            </w:r>
          </w:p>
        </w:tc>
        <w:tc>
          <w:tcPr>
            <w:tcW w:type="dxa" w:w="7257"/>
            <w:vAlign w:val="top"/>
          </w:tcPr>
          <w:p>
            <w:pPr>
              <w:spacing w:before="0" w:after="0" w:line="240" w:lineRule="auto"/>
            </w:pPr>
            <w:r>
              <w:rPr>
                <w:sz w:val="19"/>
              </w:rPr>
              <w:t>Reads the Progress Tracker’s reference and evidence tables and the evidence files (first 3 pages of a PDF, ≤ 6 files, ≤ 8 MB each, images not read, URLs cited not fetched). Writes only its own cache row and one audit row per generation. Never writes to PRMS</w:t>
            </w:r>
          </w:p>
        </w:tc>
      </w:tr>
    </w:tbl>
    <w:p>
      <w:pPr>
        <w:spacing w:before="0" w:after="80" w:line="240" w:lineRule="auto"/>
      </w:pPr>
    </w:p>
    <w:p>
      <w:pPr>
        <w:pStyle w:val="Heading1"/>
      </w:pPr>
      <w:bookmarkStart w:id="112" w:name="_Toc10"/>
      <w:r>
        <w:rPr/>
        <w:t>5. Mapping the KPI</w:t>
      </w:r>
      <w:bookmarkEnd w:id="112"/>
    </w:p>
    <w:p>
      <w:pPr>
        <w:keepNext/>
        <w:keepLines/>
        <w:spacing w:before="120" w:after="40"/>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mapping.png"/>
                    <pic:cNvPicPr/>
                  </pic:nvPicPr>
                  <pic:blipFill>
                    <a:blip r:embed="rId16"/>
                    <a:stretch>
                      <a:fillRect/>
                    </a:stretch>
                  </pic:blipFill>
                  <pic:spPr>
                    <a:xfrm>
                      <a:off x="0" y="0"/>
                      <a:ext cx="5760000" cy="3840000"/>
                    </a:xfrm>
                    <a:prstGeom prst="rect"/>
                  </pic:spPr>
                </pic:pic>
              </a:graphicData>
            </a:graphic>
          </wp:inline>
        </w:drawing>
      </w:r>
    </w:p>
    <w:p>
      <w:pPr>
        <w:spacing w:before="0" w:after="200" w:line="240" w:lineRule="auto"/>
        <w:jc w:val="center"/>
      </w:pPr>
      <w:bookmarkStart w:id="113" w:name="_Fig3"/>
      <w:r>
        <w:rPr>
          <w:i/>
          <w:color w:val="555B63"/>
          <w:sz w:val="18"/>
        </w:rPr>
        <w:t>Figure 3 — Mapping a PRMS indicator row to the Progress Tracker id: same PORB texts, one deterministic hash, two ways to obtain it</w:t>
      </w:r>
      <w:bookmarkEnd w:id="113"/>
    </w:p>
    <w:p>
      <w:pPr>
        <w:keepLines/>
      </w:pPr>
      <w:r>
        <w:rPr/>
        <w:t xml:space="preserve">The Progress Tracker keys every KPI as </w:t>
      </w:r>
      <w:r>
        <w:rPr>
          <w:rFonts w:ascii="Consolas" w:hAnsi="Consolas"/>
          <w:color w:val="1F3A5F"/>
          <w:sz w:val="19"/>
        </w:rPr>
        <w:t>indicator_id = md5("{program}|{aow}|{center}|{hlo_title}|{description}")</w:t>
      </w:r>
      <w:r>
        <w:rPr/>
        <w:t xml:space="preserve"> truncated to 12 hexadecimal characters, computed over the PORB master texts (the same formula the Progress Tracker’s reference seed uses; program id = </w:t>
      </w:r>
      <w:r>
        <w:rPr>
          <w:rFonts w:ascii="Consolas" w:hAnsi="Consolas"/>
          <w:color w:val="1F3A5F"/>
          <w:sz w:val="19"/>
        </w:rPr>
        <w:t>md5("PROGRAM|{name}")[:12]</w:t>
      </w:r>
      <w:r>
        <w:rPr/>
        <w:t xml:space="preserve">). The 2026 Reporting tab of PRMS shows the same PORB rows — for Breeding for Tomorrow, AOW01 lists 22 KPIs in both systems and the row texts are the PORB activity descriptions — so the composite key can be rebuilt from what PRMS already holds: the program name, the AoW as </w:t>
      </w:r>
      <w:r>
        <w:rPr>
          <w:rFonts w:ascii="Consolas" w:hAnsi="Consolas"/>
          <w:color w:val="1F3A5F"/>
          <w:sz w:val="19"/>
        </w:rPr>
        <w:t>"AOW01: &lt;name&gt;"</w:t>
      </w:r>
      <w:r>
        <w:rPr/>
        <w:t>, the Center label as written in the PORB (</w:t>
      </w:r>
      <w:r>
        <w:rPr>
          <w:rFonts w:ascii="Consolas" w:hAnsi="Consolas"/>
          <w:color w:val="1F3A5F"/>
          <w:sz w:val="19"/>
        </w:rPr>
        <w:t>CIAT (Alliance)</w:t>
      </w:r>
      <w:r>
        <w:rPr/>
        <w:t xml:space="preserve">, </w:t>
      </w:r>
      <w:r>
        <w:rPr>
          <w:rFonts w:ascii="Consolas" w:hAnsi="Consolas"/>
          <w:color w:val="1F3A5F"/>
          <w:sz w:val="19"/>
        </w:rPr>
        <w:t>Bioversity (Alliance)</w:t>
      </w:r>
      <w:r>
        <w:rPr/>
        <w:t xml:space="preserve">, </w:t>
      </w:r>
      <w:r>
        <w:rPr>
          <w:rFonts w:ascii="Consolas" w:hAnsi="Consolas"/>
          <w:color w:val="1F3A5F"/>
          <w:sz w:val="19"/>
        </w:rPr>
        <w:t>AfricaRice</w:t>
      </w:r>
      <w:r>
        <w:rPr/>
        <w:t xml:space="preserve">, </w:t>
      </w:r>
      <w:r>
        <w:rPr>
          <w:rFonts w:ascii="Consolas" w:hAnsi="Consolas"/>
          <w:color w:val="1F3A5F"/>
          <w:sz w:val="19"/>
        </w:rPr>
        <w:t>CIMMYT</w:t>
      </w:r>
      <w:r>
        <w:rPr/>
        <w:t xml:space="preserve"> …), the HLO title and the indicator description.</w:t>
      </w:r>
    </w:p>
    <w:p>
      <w:pPr>
        <w:keepNext/>
        <w:keepLines/>
        <w:spacing w:after="40"/>
      </w:pPr>
      <w:r>
        <w:rPr/>
        <w:t>Two ways to obtain the id, both supported:</w:t>
      </w:r>
    </w:p>
    <w:p>
      <w:pPr>
        <w:pStyle w:val="ListNumber"/>
        <w:keepLines/>
        <w:numPr>
          <w:ilvl w:val="0"/>
          <w:numId w:val="11"/>
        </w:numPr>
      </w:pPr>
      <w:r>
        <w:rPr>
          <w:b/>
        </w:rPr>
        <w:t>Compute it locally</w:t>
      </w:r>
      <w:r>
        <w:rPr/>
        <w:t xml:space="preserve"> — deterministic, no call. Caveat: about 16 PORB rows collide on those five fields (same texts, different KPI type); the Progress Tracker re-keys those siblings through a disambiguation table, so a local hash can point at the wrong sibling.</w:t>
      </w:r>
    </w:p>
    <w:p>
      <w:pPr>
        <w:pStyle w:val="ListNumber"/>
        <w:keepLines/>
        <w:numPr>
          <w:ilvl w:val="0"/>
          <w:numId w:val="11"/>
        </w:numPr>
      </w:pPr>
      <w:r>
        <w:rPr>
          <w:b/>
        </w:rPr>
        <w:t xml:space="preserve">Call </w:t>
      </w:r>
      <w:r>
        <w:rPr>
          <w:rFonts w:ascii="Consolas" w:hAnsi="Consolas"/>
          <w:b/>
          <w:color w:val="1F3A5F"/>
          <w:sz w:val="19"/>
        </w:rPr>
        <w:t>/resolve</w:t>
      </w:r>
      <w:r>
        <w:rPr>
          <w:b/>
        </w:rPr>
        <w:t xml:space="preserve"> once per row</w:t>
      </w:r>
      <w:r>
        <w:rPr/>
        <w:t xml:space="preserve">, server-side, and store the answer — the recommended path. It returns </w:t>
      </w:r>
      <w:r>
        <w:rPr>
          <w:rFonts w:ascii="Consolas" w:hAnsi="Consolas"/>
          <w:color w:val="1F3A5F"/>
          <w:sz w:val="19"/>
        </w:rPr>
        <w:t>exact</w:t>
      </w:r>
      <w:r>
        <w:rPr/>
        <w:t xml:space="preserve"> when the hash matches, </w:t>
      </w:r>
      <w:r>
        <w:rPr>
          <w:rFonts w:ascii="Consolas" w:hAnsi="Consolas"/>
          <w:color w:val="1F3A5F"/>
          <w:sz w:val="19"/>
        </w:rPr>
        <w:t>fuzzy</w:t>
      </w:r>
      <w:r>
        <w:rPr/>
        <w:t xml:space="preserve"> when PRMS’s row label differs cosmetically (prefixes, truncation, upper case), and always a short </w:t>
      </w:r>
      <w:r>
        <w:rPr>
          <w:rFonts w:ascii="Consolas" w:hAnsi="Consolas"/>
          <w:color w:val="1F3A5F"/>
          <w:sz w:val="19"/>
        </w:rPr>
        <w:t>candidates[]</w:t>
      </w:r>
      <w:r>
        <w:rPr/>
        <w:t xml:space="preserve"> list with the KPI type for a picker. The example in section 4.2 resolved a PRMS-style row label with score 0.878.</w:t>
      </w:r>
    </w:p>
    <w:p>
      <w:pPr>
        <w:keepLines/>
      </w:pPr>
      <w:r>
        <w:rPr>
          <w:b/>
        </w:rPr>
        <w:t>Recommendation: PRMS stores the Progress Tracker id on its ToC indicator rows.</w:t>
      </w:r>
      <w:r>
        <w:rPr/>
        <w:t xml:space="preserve"> In the adjusted local copy this is what makes the whole flow need no extra code: the id sits on the indicator row (</w:t>
      </w:r>
      <w:r>
        <w:rPr>
          <w:rFonts w:ascii="Consolas" w:hAnsi="Consolas"/>
          <w:color w:val="1F3A5F"/>
          <w:sz w:val="19"/>
        </w:rPr>
        <w:t>related_node_id</w:t>
      </w:r>
      <w:r>
        <w:rPr/>
        <w:t xml:space="preserve"> and </w:t>
      </w:r>
      <w:r>
        <w:rPr>
          <w:rFonts w:ascii="Consolas" w:hAnsi="Consolas"/>
          <w:color w:val="1F3A5F"/>
          <w:sz w:val="19"/>
        </w:rPr>
        <w:t>toc_result_indicator_id</w:t>
      </w:r>
      <w:r>
        <w:rPr/>
        <w:t xml:space="preserve"> of </w:t>
      </w:r>
      <w:r>
        <w:rPr>
          <w:rFonts w:ascii="Consolas" w:hAnsi="Consolas"/>
          <w:color w:val="1F3A5F"/>
          <w:sz w:val="19"/>
        </w:rPr>
        <w:t>toc_results_indicators</w:t>
      </w:r>
      <w:r>
        <w:rPr/>
        <w:t xml:space="preserve">), the Report form already carries </w:t>
      </w:r>
      <w:r>
        <w:rPr>
          <w:rFonts w:ascii="Consolas" w:hAnsi="Consolas"/>
          <w:color w:val="1F3A5F"/>
          <w:sz w:val="19"/>
        </w:rPr>
        <w:t>indicators[0].related_node_id</w:t>
      </w:r>
      <w:r>
        <w:rPr/>
        <w:t xml:space="preserve"> into the create payload, and PRMS’s own framework create stores it in </w:t>
      </w:r>
      <w:r>
        <w:rPr>
          <w:rFonts w:ascii="Consolas" w:hAnsi="Consolas"/>
          <w:color w:val="1F3A5F"/>
          <w:sz w:val="19"/>
        </w:rPr>
        <w:t>results_toc_result_indicators.toc_results_indicator_id</w:t>
      </w:r>
      <w:r>
        <w:rPr/>
        <w:t xml:space="preserve"> — verified on the result created in section 6, which carries </w:t>
      </w:r>
      <w:r>
        <w:rPr>
          <w:rFonts w:ascii="Consolas" w:hAnsi="Consolas"/>
          <w:color w:val="1F3A5F"/>
          <w:sz w:val="19"/>
        </w:rPr>
        <w:t>5d51da6c6916</w:t>
      </w:r>
      <w:r>
        <w:rPr/>
        <w:t xml:space="preserve">. In the real ToC catalogue that column holds the ToC node identifier, so the PRMS team would add a column (or a side table) for the Progress Tracker id and fill it once per reporting year with </w:t>
      </w:r>
      <w:r>
        <w:rPr>
          <w:rFonts w:ascii="Consolas" w:hAnsi="Consolas"/>
          <w:color w:val="1F3A5F"/>
          <w:sz w:val="19"/>
        </w:rPr>
        <w:t>/resolve</w:t>
      </w:r>
      <w:r>
        <w:rPr/>
        <w:t>; when PORB texts are refreshed the ids change and the rows must be re-resolved (ownership of that step is a decision in section 8).</w:t>
      </w:r>
    </w:p>
    <w:p>
      <w:pPr>
        <w:pStyle w:val="Heading1"/>
      </w:pPr>
      <w:bookmarkStart w:id="114" w:name="_Toc11"/>
      <w:r>
        <w:rPr/>
        <w:t>6. What it looks like</w:t>
      </w:r>
      <w:bookmarkEnd w:id="114"/>
    </w:p>
    <w:p>
      <w:pPr>
        <w:keepLines/>
      </w:pPr>
      <w:r>
        <w:rPr/>
        <w:t>All screenshots in this section come from an adjusted local copy built from the public PRMS code with synthetic data (Breeding for Tomorrow, whose 391 KPIs, 20 high-level outputs and 5 areas of work were loaded from the Progress Tracker’s own reference data — planning data, not PRMS data). The Progress Tracker side is the live dev environment of the Interoperability API.</w:t>
      </w:r>
    </w:p>
    <w:p>
      <w:pPr>
        <w:keepNext/>
        <w:keepLines/>
        <w:spacing w:before="120" w:after="40"/>
        <w:jc w:val="center"/>
      </w:pPr>
      <w:r>
        <w:drawing>
          <wp:inline xmlns:a="http://schemas.openxmlformats.org/drawingml/2006/main" xmlns:pic="http://schemas.openxmlformats.org/drawingml/2006/picture">
            <wp:extent cx="5580000" cy="3875000"/>
            <wp:docPr id="4" name="Picture 4"/>
            <wp:cNvGraphicFramePr>
              <a:graphicFrameLocks noChangeAspect="1"/>
            </wp:cNvGraphicFramePr>
            <a:graphic>
              <a:graphicData uri="http://schemas.openxmlformats.org/drawingml/2006/picture">
                <pic:pic>
                  <pic:nvPicPr>
                    <pic:cNvPr id="0" name="A-04-reporting-tab-aow01.png"/>
                    <pic:cNvPicPr/>
                  </pic:nvPicPr>
                  <pic:blipFill>
                    <a:blip r:embed="rId17"/>
                    <a:stretch>
                      <a:fillRect/>
                    </a:stretch>
                  </pic:blipFill>
                  <pic:spPr>
                    <a:xfrm>
                      <a:off x="0" y="0"/>
                      <a:ext cx="5580000" cy="3875000"/>
                    </a:xfrm>
                    <a:prstGeom prst="rect"/>
                  </pic:spPr>
                </pic:pic>
              </a:graphicData>
            </a:graphic>
          </wp:inline>
        </w:drawing>
      </w:r>
    </w:p>
    <w:p>
      <w:pPr>
        <w:spacing w:before="0" w:after="200" w:line="240" w:lineRule="auto"/>
        <w:jc w:val="center"/>
      </w:pPr>
      <w:bookmarkStart w:id="115" w:name="_Fig4"/>
      <w:r>
        <w:rPr>
          <w:i/>
          <w:color w:val="555B63"/>
          <w:sz w:val="18"/>
        </w:rPr>
        <w:t>Figure 4 — The Reporting tab (AOW01 Market Intelligence, 22 KPIs, the Report button on every indicator row) — adjusted local copy built from the public PRMS code with synthetic data</w:t>
      </w:r>
      <w:bookmarkEnd w:id="115"/>
    </w:p>
    <w:p>
      <w:pPr>
        <w:keepLines/>
      </w:pPr>
      <w:r>
        <w:rPr/>
        <w:t xml:space="preserve">The walk recorded on 15 September: log in → SP01 Breeding for Tomorrow → </w:t>
      </w:r>
      <w:r>
        <w:rPr>
          <w:b/>
        </w:rPr>
        <w:t>Reporting</w:t>
      </w:r>
      <w:r>
        <w:rPr/>
        <w:t xml:space="preserve"> → AOW03 Inclusive Delivery → search “geospatial model” → the IITA row under HLO11.AOW3.IO4 “Position for demand” (Innovation Development, 2026 target 2; Progress Tracker id </w:t>
      </w:r>
      <w:r>
        <w:rPr>
          <w:rFonts w:ascii="Consolas" w:hAnsi="Consolas"/>
          <w:color w:val="1F3A5F"/>
          <w:sz w:val="19"/>
        </w:rPr>
        <w:t>5d51da6c6916</w:t>
      </w:r>
      <w:r>
        <w:rPr/>
        <w:t xml:space="preserve">, two evidence submissions with files) → </w:t>
      </w:r>
      <w:r>
        <w:rPr>
          <w:b/>
        </w:rPr>
        <w:t>Report</w:t>
      </w:r>
      <w:r>
        <w:rPr/>
        <w:t>.</w:t>
      </w:r>
    </w:p>
    <w:tbl>
      <w:tblPr>
        <w:tblW w:type="dxa" w:w="9637"/>
        <w:jc w:val="center"/>
        <w:tblBorders>
          <w:top w:val="nil"/>
          <w:left w:val="nil"/>
          <w:bottom w:val="nil"/>
          <w:right w:val="nil"/>
          <w:insideH w:val="nil"/>
          <w:insideV w:val="nil"/>
        </w:tblBorders>
        <w:tblLayout w:type="fixed"/>
        <w:tblLayout w:type="fixed"/>
        <w:tblCellMar>
          <w:top w:w="0" w:type="dxa"/>
          <w:left w:w="40" w:type="dxa"/>
          <w:bottom w:w="0" w:type="dxa"/>
          <w:right w:w="40" w:type="dxa"/>
        </w:tblCellMar>
        <w:tblLook w:firstColumn="1" w:firstRow="1" w:lastColumn="0" w:lastRow="0" w:noHBand="0" w:noVBand="1" w:val="04A0"/>
      </w:tblPr>
      <w:tblGrid>
        <w:gridCol w:w="4819"/>
        <w:gridCol w:w="4819"/>
      </w:tblGrid>
      <w:tr>
        <w:trPr>
          <w:cantSplit/>
        </w:trPr>
        <w:tc>
          <w:tcPr>
            <w:tcW w:type="dxa" w:w="4819"/>
            <w:vAlign w:val="top"/>
          </w:tcPr>
          <w:p>
            <w:pPr>
              <w:keepNext/>
              <w:spacing w:before="80" w:after="40" w:line="240" w:lineRule="auto"/>
              <w:jc w:val="center"/>
            </w:pPr>
            <w:r>
              <w:drawing>
                <wp:inline xmlns:a="http://schemas.openxmlformats.org/drawingml/2006/main" xmlns:pic="http://schemas.openxmlformats.org/drawingml/2006/picture">
                  <wp:extent cx="2951999" cy="3989188"/>
                  <wp:docPr id="5" name="Picture 5"/>
                  <wp:cNvGraphicFramePr>
                    <a:graphicFrameLocks noChangeAspect="1"/>
                  </wp:cNvGraphicFramePr>
                  <a:graphic>
                    <a:graphicData uri="http://schemas.openxmlformats.org/drawingml/2006/picture">
                      <pic:pic>
                        <pic:nvPicPr>
                          <pic:cNvPr id="0" name="A-05-report-form-kp-drawer.png"/>
                          <pic:cNvPicPr/>
                        </pic:nvPicPr>
                        <pic:blipFill>
                          <a:blip r:embed="rId18"/>
                          <a:stretch>
                            <a:fillRect/>
                          </a:stretch>
                        </pic:blipFill>
                        <pic:spPr>
                          <a:xfrm>
                            <a:off x="0" y="0"/>
                            <a:ext cx="2951999" cy="3989188"/>
                          </a:xfrm>
                          <a:prstGeom prst="rect"/>
                        </pic:spPr>
                      </pic:pic>
                    </a:graphicData>
                  </a:graphic>
                </wp:inline>
              </w:drawing>
            </w:r>
          </w:p>
        </w:tc>
        <w:tc>
          <w:tcPr>
            <w:tcW w:type="dxa" w:w="4819"/>
            <w:vAlign w:val="top"/>
          </w:tcPr>
          <w:p>
            <w:pPr>
              <w:keepNext/>
              <w:spacing w:before="80" w:after="40" w:line="240" w:lineRule="auto"/>
              <w:jc w:val="center"/>
            </w:pPr>
            <w:r>
              <w:drawing>
                <wp:inline xmlns:a="http://schemas.openxmlformats.org/drawingml/2006/main" xmlns:pic="http://schemas.openxmlformats.org/drawingml/2006/picture">
                  <wp:extent cx="2951999" cy="5584863"/>
                  <wp:docPr id="6" name="Picture 6"/>
                  <wp:cNvGraphicFramePr>
                    <a:graphicFrameLocks noChangeAspect="1"/>
                  </wp:cNvGraphicFramePr>
                  <a:graphic>
                    <a:graphicData uri="http://schemas.openxmlformats.org/drawingml/2006/picture">
                      <pic:pic>
                        <pic:nvPicPr>
                          <pic:cNvPr id="0" name="C-01-report-drawer-innovation-dev-drawer.png"/>
                          <pic:cNvPicPr/>
                        </pic:nvPicPr>
                        <pic:blipFill>
                          <a:blip r:embed="rId19"/>
                          <a:stretch>
                            <a:fillRect/>
                          </a:stretch>
                        </pic:blipFill>
                        <pic:spPr>
                          <a:xfrm>
                            <a:off x="0" y="0"/>
                            <a:ext cx="2951999" cy="5584863"/>
                          </a:xfrm>
                          <a:prstGeom prst="rect"/>
                        </pic:spPr>
                      </pic:pic>
                    </a:graphicData>
                  </a:graphic>
                </wp:inline>
              </w:drawing>
            </w:r>
          </w:p>
        </w:tc>
      </w:tr>
    </w:tbl>
    <w:p>
      <w:pPr>
        <w:spacing w:before="0" w:after="200" w:line="240" w:lineRule="auto"/>
        <w:jc w:val="center"/>
      </w:pPr>
      <w:bookmarkStart w:id="116" w:name="_Fig5"/>
      <w:r>
        <w:rPr>
          <w:i/>
          <w:color w:val="555B63"/>
          <w:sz w:val="18"/>
        </w:rPr>
        <w:t>Figure 5 — Left: the existing external-source pattern for knowledge-product KPIs, “Browse repositories | Manual entry” (CGSpace, MELSpace, WorldFish). Right: the same place on an innovation-development KPI now offers “Manual entry | Progress Tracker” — adjusted local copy built from the public PRMS code with synthetic data</w:t>
      </w:r>
      <w:bookmarkEnd w:id="116"/>
    </w:p>
    <w:tbl>
      <w:tblPr>
        <w:tblW w:type="dxa" w:w="9637"/>
        <w:jc w:val="center"/>
        <w:tblBorders>
          <w:top w:val="nil"/>
          <w:left w:val="nil"/>
          <w:bottom w:val="nil"/>
          <w:right w:val="nil"/>
          <w:insideH w:val="nil"/>
          <w:insideV w:val="nil"/>
        </w:tblBorders>
        <w:tblLayout w:type="fixed"/>
        <w:tblLayout w:type="fixed"/>
        <w:tblCellMar>
          <w:top w:w="0" w:type="dxa"/>
          <w:left w:w="40" w:type="dxa"/>
          <w:bottom w:w="0" w:type="dxa"/>
          <w:right w:w="40" w:type="dxa"/>
        </w:tblCellMar>
        <w:tblLook w:firstColumn="1" w:firstRow="1" w:lastColumn="0" w:lastRow="0" w:noHBand="0" w:noVBand="1" w:val="04A0"/>
      </w:tblPr>
      <w:tblGrid>
        <w:gridCol w:w="4819"/>
        <w:gridCol w:w="4819"/>
      </w:tblGrid>
      <w:tr>
        <w:trPr>
          <w:cantSplit/>
        </w:trPr>
        <w:tc>
          <w:tcPr>
            <w:tcW w:type="dxa" w:w="4819"/>
            <w:vAlign w:val="top"/>
          </w:tcPr>
          <w:p>
            <w:pPr>
              <w:keepNext/>
              <w:spacing w:before="80" w:after="40" w:line="240" w:lineRule="auto"/>
              <w:jc w:val="center"/>
            </w:pPr>
            <w:r>
              <w:drawing>
                <wp:inline xmlns:a="http://schemas.openxmlformats.org/drawingml/2006/main" xmlns:pic="http://schemas.openxmlformats.org/drawingml/2006/picture">
                  <wp:extent cx="2951999" cy="5584863"/>
                  <wp:docPr id="7" name="Picture 7"/>
                  <wp:cNvGraphicFramePr>
                    <a:graphicFrameLocks noChangeAspect="1"/>
                  </wp:cNvGraphicFramePr>
                  <a:graphic>
                    <a:graphicData uri="http://schemas.openxmlformats.org/drawingml/2006/picture">
                      <pic:pic>
                        <pic:nvPicPr>
                          <pic:cNvPr id="0" name="C-02-progress-tracker-list-from-dev-drawer.png"/>
                          <pic:cNvPicPr/>
                        </pic:nvPicPr>
                        <pic:blipFill>
                          <a:blip r:embed="rId20"/>
                          <a:stretch>
                            <a:fillRect/>
                          </a:stretch>
                        </pic:blipFill>
                        <pic:spPr>
                          <a:xfrm>
                            <a:off x="0" y="0"/>
                            <a:ext cx="2951999" cy="5584863"/>
                          </a:xfrm>
                          <a:prstGeom prst="rect"/>
                        </pic:spPr>
                      </pic:pic>
                    </a:graphicData>
                  </a:graphic>
                </wp:inline>
              </w:drawing>
            </w:r>
          </w:p>
        </w:tc>
        <w:tc>
          <w:tcPr>
            <w:tcW w:type="dxa" w:w="4819"/>
            <w:vAlign w:val="top"/>
          </w:tcPr>
          <w:p>
            <w:pPr>
              <w:keepNext/>
              <w:spacing w:before="80" w:after="40" w:line="240" w:lineRule="auto"/>
              <w:jc w:val="center"/>
            </w:pPr>
            <w:r>
              <w:drawing>
                <wp:inline xmlns:a="http://schemas.openxmlformats.org/drawingml/2006/main" xmlns:pic="http://schemas.openxmlformats.org/drawingml/2006/picture">
                  <wp:extent cx="2951999" cy="5584863"/>
                  <wp:docPr id="8" name="Picture 8"/>
                  <wp:cNvGraphicFramePr>
                    <a:graphicFrameLocks noChangeAspect="1"/>
                  </wp:cNvGraphicFramePr>
                  <a:graphic>
                    <a:graphicData uri="http://schemas.openxmlformats.org/drawingml/2006/picture">
                      <pic:pic>
                        <pic:nvPicPr>
                          <pic:cNvPr id="0" name="C-03-progress-tracker-details-drawer.png"/>
                          <pic:cNvPicPr/>
                        </pic:nvPicPr>
                        <pic:blipFill>
                          <a:blip r:embed="rId21"/>
                          <a:stretch>
                            <a:fillRect/>
                          </a:stretch>
                        </pic:blipFill>
                        <pic:spPr>
                          <a:xfrm>
                            <a:off x="0" y="0"/>
                            <a:ext cx="2951999" cy="5584863"/>
                          </a:xfrm>
                          <a:prstGeom prst="rect"/>
                        </pic:spPr>
                      </pic:pic>
                    </a:graphicData>
                  </a:graphic>
                </wp:inline>
              </w:drawing>
            </w:r>
          </w:p>
        </w:tc>
      </w:tr>
    </w:tbl>
    <w:p>
      <w:pPr>
        <w:spacing w:before="0" w:after="200" w:line="240" w:lineRule="auto"/>
        <w:jc w:val="center"/>
      </w:pPr>
      <w:bookmarkStart w:id="117" w:name="_Fig6"/>
      <w:r>
        <w:rPr>
          <w:i/>
          <w:color w:val="555B63"/>
          <w:sz w:val="18"/>
        </w:rPr>
        <w:t>Figure 6 — Left: the Progress Tracker tab lists the proposal fetched live from the Interoperability API (type chip, confidence, evidence list, “Use this result”, “Open in Progress Tracker”; footer: nothing is saved until you press Create and continue). Right: Details expanded — impact-area guidance, why this result and this type, what is still to add in PRMS — adjusted local copy built from the public PRMS code with synthetic data</w:t>
      </w:r>
      <w:bookmarkEnd w:id="117"/>
    </w:p>
    <w:tbl>
      <w:tblPr>
        <w:tblW w:type="dxa" w:w="9637"/>
        <w:jc w:val="center"/>
        <w:tblBorders>
          <w:top w:val="nil"/>
          <w:left w:val="nil"/>
          <w:bottom w:val="nil"/>
          <w:right w:val="nil"/>
          <w:insideH w:val="nil"/>
          <w:insideV w:val="nil"/>
        </w:tblBorders>
        <w:tblLayout w:type="fixed"/>
        <w:tblLayout w:type="fixed"/>
        <w:tblCellMar>
          <w:top w:w="0" w:type="dxa"/>
          <w:left w:w="40" w:type="dxa"/>
          <w:bottom w:w="0" w:type="dxa"/>
          <w:right w:w="40" w:type="dxa"/>
        </w:tblCellMar>
        <w:tblLook w:firstColumn="1" w:firstRow="1" w:lastColumn="0" w:lastRow="0" w:noHBand="0" w:noVBand="1" w:val="04A0"/>
      </w:tblPr>
      <w:tblGrid>
        <w:gridCol w:w="4819"/>
        <w:gridCol w:w="4819"/>
      </w:tblGrid>
      <w:tr>
        <w:trPr>
          <w:cantSplit/>
        </w:trPr>
        <w:tc>
          <w:tcPr>
            <w:tcW w:type="dxa" w:w="4819"/>
            <w:vAlign w:val="top"/>
          </w:tcPr>
          <w:p>
            <w:pPr>
              <w:keepNext/>
              <w:spacing w:before="80" w:after="40" w:line="240" w:lineRule="auto"/>
              <w:jc w:val="center"/>
            </w:pPr>
            <w:r>
              <w:drawing>
                <wp:inline xmlns:a="http://schemas.openxmlformats.org/drawingml/2006/main" xmlns:pic="http://schemas.openxmlformats.org/drawingml/2006/picture">
                  <wp:extent cx="2951999" cy="5584863"/>
                  <wp:docPr id="9" name="Picture 9"/>
                  <wp:cNvGraphicFramePr>
                    <a:graphicFrameLocks noChangeAspect="1"/>
                  </wp:cNvGraphicFramePr>
                  <a:graphic>
                    <a:graphicData uri="http://schemas.openxmlformats.org/drawingml/2006/picture">
                      <pic:pic>
                        <pic:nvPicPr>
                          <pic:cNvPr id="0" name="C-04-prefilled-nothing-saved-drawer.png"/>
                          <pic:cNvPicPr/>
                        </pic:nvPicPr>
                        <pic:blipFill>
                          <a:blip r:embed="rId22"/>
                          <a:stretch>
                            <a:fillRect/>
                          </a:stretch>
                        </pic:blipFill>
                        <pic:spPr>
                          <a:xfrm>
                            <a:off x="0" y="0"/>
                            <a:ext cx="2951999" cy="5584863"/>
                          </a:xfrm>
                          <a:prstGeom prst="rect"/>
                        </pic:spPr>
                      </pic:pic>
                    </a:graphicData>
                  </a:graphic>
                </wp:inline>
              </w:drawing>
            </w:r>
          </w:p>
        </w:tc>
        <w:tc>
          <w:tcPr>
            <w:tcW w:type="dxa" w:w="4819"/>
            <w:vAlign w:val="top"/>
          </w:tcPr>
          <w:p>
            <w:pPr>
              <w:keepNext/>
              <w:spacing w:before="80" w:after="40" w:line="240" w:lineRule="auto"/>
              <w:jc w:val="center"/>
            </w:pPr>
            <w:r>
              <w:drawing>
                <wp:inline xmlns:a="http://schemas.openxmlformats.org/drawingml/2006/main" xmlns:pic="http://schemas.openxmlformats.org/drawingml/2006/picture">
                  <wp:extent cx="2951999" cy="5584863"/>
                  <wp:docPr id="10" name="Picture 10"/>
                  <wp:cNvGraphicFramePr>
                    <a:graphicFrameLocks noChangeAspect="1"/>
                  </wp:cNvGraphicFramePr>
                  <a:graphic>
                    <a:graphicData uri="http://schemas.openxmlformats.org/drawingml/2006/picture">
                      <pic:pic>
                        <pic:nvPicPr>
                          <pic:cNvPr id="0" name="C-07-progress-tracker-unavailable-drawer.png"/>
                          <pic:cNvPicPr/>
                        </pic:nvPicPr>
                        <pic:blipFill>
                          <a:blip r:embed="rId23"/>
                          <a:stretch>
                            <a:fillRect/>
                          </a:stretch>
                        </pic:blipFill>
                        <pic:spPr>
                          <a:xfrm>
                            <a:off x="0" y="0"/>
                            <a:ext cx="2951999" cy="5584863"/>
                          </a:xfrm>
                          <a:prstGeom prst="rect"/>
                        </pic:spPr>
                      </pic:pic>
                    </a:graphicData>
                  </a:graphic>
                </wp:inline>
              </w:drawing>
            </w:r>
          </w:p>
        </w:tc>
      </w:tr>
    </w:tbl>
    <w:p>
      <w:pPr>
        <w:spacing w:before="0" w:after="200" w:line="240" w:lineRule="auto"/>
        <w:jc w:val="center"/>
      </w:pPr>
      <w:bookmarkStart w:id="118" w:name="_Fig7"/>
      <w:r>
        <w:rPr>
          <w:i/>
          <w:color w:val="555B63"/>
          <w:sz w:val="18"/>
        </w:rPr>
        <w:t>Figure 7 — Left: after “Use this result” — the title (8 of 30 words) and description are pre-filled, the banner says nothing has been saved, and the footer still counts one required field (the contribution) before Create is possible. Right: the failure state when the Progress Tracker does not answer — the form stays fully usable by hand — adjusted local copy built from the public PRMS code with synthetic data</w:t>
      </w:r>
      <w:bookmarkEnd w:id="118"/>
    </w:p>
    <w:p>
      <w:pPr>
        <w:keepNext/>
        <w:keepLines/>
        <w:spacing w:before="120" w:after="40"/>
        <w:jc w:val="center"/>
      </w:pPr>
      <w:r>
        <w:drawing>
          <wp:inline xmlns:a="http://schemas.openxmlformats.org/drawingml/2006/main" xmlns:pic="http://schemas.openxmlformats.org/drawingml/2006/picture">
            <wp:extent cx="5580000" cy="4262500"/>
            <wp:docPr id="11" name="Picture 11"/>
            <wp:cNvGraphicFramePr>
              <a:graphicFrameLocks noChangeAspect="1"/>
            </wp:cNvGraphicFramePr>
            <a:graphic>
              <a:graphicData uri="http://schemas.openxmlformats.org/drawingml/2006/picture">
                <pic:pic>
                  <pic:nvPicPr>
                    <pic:cNvPr id="0" name="C-06-result-21-detail-page.png"/>
                    <pic:cNvPicPr/>
                  </pic:nvPicPr>
                  <pic:blipFill>
                    <a:blip r:embed="rId24"/>
                    <a:stretch>
                      <a:fillRect/>
                    </a:stretch>
                  </pic:blipFill>
                  <pic:spPr>
                    <a:xfrm>
                      <a:off x="0" y="0"/>
                      <a:ext cx="5580000" cy="4262500"/>
                    </a:xfrm>
                    <a:prstGeom prst="rect"/>
                  </pic:spPr>
                </pic:pic>
              </a:graphicData>
            </a:graphic>
          </wp:inline>
        </w:drawing>
      </w:r>
    </w:p>
    <w:p>
      <w:pPr>
        <w:spacing w:before="0" w:after="200" w:line="240" w:lineRule="auto"/>
        <w:jc w:val="center"/>
      </w:pPr>
      <w:bookmarkStart w:id="119" w:name="_Fig8"/>
      <w:r>
        <w:rPr>
          <w:i/>
          <w:color w:val="555B63"/>
          <w:sz w:val="18"/>
        </w:rPr>
        <w:t>Figure 8 — After the user typed the contribution and pressed Create and continue: result 21, Editing, Initiative Output, W1/W2, submitter SP01 Breeding for Tomorrow, five sections still to complete — adjusted local copy built from the public PRMS code with synthetic data</w:t>
      </w:r>
      <w:bookmarkEnd w:id="119"/>
    </w:p>
    <w:p>
      <w:pPr>
        <w:keepNext/>
        <w:keepLines/>
        <w:spacing w:after="40"/>
      </w:pPr>
      <w:r>
        <w:rPr/>
        <w:t>What the recording proves, in the local copy:</w:t>
      </w:r>
    </w:p>
    <w:p>
      <w:pPr>
        <w:pStyle w:val="ListBullet"/>
        <w:keepLines/>
      </w:pPr>
      <w:r>
        <w:rPr/>
        <w:t>Exactly one call left the PRMS client for the Progress Tracker (</w:t>
      </w:r>
      <w:r>
        <w:rPr>
          <w:rFonts w:ascii="Consolas" w:hAnsi="Consolas"/>
          <w:color w:val="1F3A5F"/>
          <w:sz w:val="19"/>
        </w:rPr>
        <w:t>GET /api/progress-tracker/indicators/5d51da6c6916/results?max_results=5</w:t>
      </w:r>
      <w:r>
        <w:rPr/>
        <w:t xml:space="preserve">, through the PRMS server, with the user’s PRMS session) and exactly one </w:t>
      </w:r>
      <w:r>
        <w:rPr>
          <w:rFonts w:ascii="Consolas" w:hAnsi="Consolas"/>
          <w:color w:val="1F3A5F"/>
          <w:sz w:val="19"/>
        </w:rPr>
        <w:t>POST /api/results-framework-reporting/create</w:t>
      </w:r>
      <w:r>
        <w:rPr/>
        <w:t xml:space="preserve"> when the user pressed the button — nothing in between.</w:t>
      </w:r>
    </w:p>
    <w:p>
      <w:pPr>
        <w:pStyle w:val="ListBullet"/>
        <w:keepLines/>
      </w:pPr>
      <w:r>
        <w:rPr/>
        <w:t xml:space="preserve">The create payload is PRMS’s own: </w:t>
      </w:r>
      <w:r>
        <w:rPr>
          <w:rFonts w:ascii="Consolas" w:hAnsi="Consolas"/>
          <w:color w:val="1F3A5F"/>
          <w:sz w:val="19"/>
        </w:rPr>
        <w:t>result_name</w:t>
      </w:r>
      <w:r>
        <w:rPr/>
        <w:t xml:space="preserve"> = the pre-filled title, </w:t>
      </w:r>
      <w:r>
        <w:rPr>
          <w:rFonts w:ascii="Consolas" w:hAnsi="Consolas"/>
          <w:color w:val="1F3A5F"/>
          <w:sz w:val="19"/>
        </w:rPr>
        <w:t>result_type_id</w:t>
      </w:r>
      <w:r>
        <w:rPr/>
        <w:t xml:space="preserve"> 7 (Innovation Development, unchanged because the KPI fixes it), </w:t>
      </w:r>
      <w:r>
        <w:rPr>
          <w:rFonts w:ascii="Consolas" w:hAnsi="Consolas"/>
          <w:color w:val="1F3A5F"/>
          <w:sz w:val="19"/>
        </w:rPr>
        <w:t>contributing_indicator</w:t>
      </w:r>
      <w:r>
        <w:rPr/>
        <w:t xml:space="preserve"> 1 typed by the user, the indicator context from the row; the draft description travels in </w:t>
      </w:r>
      <w:r>
        <w:rPr>
          <w:rFonts w:ascii="Consolas" w:hAnsi="Consolas"/>
          <w:color w:val="1F3A5F"/>
          <w:sz w:val="19"/>
        </w:rPr>
        <w:t>toc_progressive_narrative</w:t>
      </w:r>
      <w:r>
        <w:rPr/>
        <w:t xml:space="preserve"> with a provenance tail (“drafted from CGIAR Progress Tracker evidence: 6 items, KPI 5d51da6c6916, model claude-haiku-4-5-20251001, 2026-09-15”).</w:t>
      </w:r>
    </w:p>
    <w:p>
      <w:pPr>
        <w:pStyle w:val="ListBullet"/>
        <w:keepLines/>
      </w:pPr>
      <w:r>
        <w:rPr/>
        <w:t xml:space="preserve">In the database: </w:t>
      </w:r>
      <w:r>
        <w:rPr>
          <w:rFonts w:ascii="Consolas" w:hAnsi="Consolas"/>
          <w:color w:val="1F3A5F"/>
          <w:sz w:val="19"/>
        </w:rPr>
        <w:t>result</w:t>
      </w:r>
      <w:r>
        <w:rPr/>
        <w:t xml:space="preserve"> 21 with </w:t>
      </w:r>
      <w:r>
        <w:rPr>
          <w:rFonts w:ascii="Consolas" w:hAnsi="Consolas"/>
          <w:color w:val="1F3A5F"/>
          <w:sz w:val="19"/>
        </w:rPr>
        <w:t>status_id</w:t>
      </w:r>
      <w:r>
        <w:rPr/>
        <w:t xml:space="preserve"> 1 (Editing) and source W1/W2; its ToC link carries the narrative; </w:t>
      </w:r>
      <w:r>
        <w:rPr>
          <w:rFonts w:ascii="Consolas" w:hAnsi="Consolas"/>
          <w:color w:val="1F3A5F"/>
          <w:sz w:val="19"/>
        </w:rPr>
        <w:t>results_toc_result_indicators.toc_results_indicator_id</w:t>
      </w:r>
      <w:r>
        <w:rPr/>
        <w:t xml:space="preserve"> = </w:t>
      </w:r>
      <w:r>
        <w:rPr>
          <w:rFonts w:ascii="Consolas" w:hAnsi="Consolas"/>
          <w:color w:val="1F3A5F"/>
          <w:sz w:val="19"/>
        </w:rPr>
        <w:t>5d51da6c6916</w:t>
      </w:r>
      <w:r>
        <w:rPr/>
        <w:t xml:space="preserve">; </w:t>
      </w:r>
      <w:r>
        <w:rPr>
          <w:rFonts w:ascii="Consolas" w:hAnsi="Consolas"/>
          <w:color w:val="1F3A5F"/>
          <w:sz w:val="19"/>
        </w:rPr>
        <w:t>result_indicators_targets.contributing_indicator</w:t>
      </w:r>
      <w:r>
        <w:rPr/>
        <w:t xml:space="preserve"> = 1.00.</w:t>
      </w:r>
    </w:p>
    <w:p>
      <w:pPr>
        <w:keepLines/>
      </w:pPr>
      <w:r>
        <w:rPr/>
        <w:t>Three honest limitations of the prototype, all visible in the figures: the draft description lands in the ToC-link narrative rather than in the visible “Description of Result” box (a three-line server change if the PRMS team prefers the visible box — section 8); for knowledge-product KPIs the pick pre-fills the repository handle and stops at the metadata sync, which cannot run in the local copy; countries, impact-area scores and gender split are shown as guidance only because PRMS captures them in later sections.</w:t>
      </w:r>
    </w:p>
    <w:p>
      <w:pPr>
        <w:pStyle w:val="Heading1"/>
      </w:pPr>
      <w:bookmarkStart w:id="120" w:name="_Toc12"/>
      <w:r>
        <w:rPr/>
        <w:t>7. What the PRMS team would implement</w:t>
      </w:r>
      <w:bookmarkEnd w:id="120"/>
    </w:p>
    <w:p>
      <w:pPr>
        <w:keepLines/>
      </w:pPr>
      <w:r>
        <w:rPr/>
        <w:t xml:space="preserve">Everything below exists in the adjusted local copy, every changed line tagged </w:t>
      </w:r>
      <w:r>
        <w:rPr>
          <w:rFonts w:ascii="Consolas" w:hAnsi="Consolas"/>
          <w:color w:val="1F3A5F"/>
          <w:sz w:val="19"/>
        </w:rPr>
        <w:t>// PT-BRIDGE</w:t>
      </w:r>
      <w:r>
        <w:rPr/>
        <w:t>, and can be handed over as one PR-shaped diff against the Reporting Tool (nothing has been pushed to any Alliance repository). The numbering follows the order of work.</w:t>
      </w:r>
    </w:p>
    <w:p>
      <w:pPr>
        <w:pStyle w:val="ListNumber"/>
        <w:keepLines/>
        <w:numPr>
          <w:ilvl w:val="0"/>
          <w:numId w:val="12"/>
        </w:numPr>
      </w:pPr>
      <w:r>
        <w:rPr>
          <w:b/>
        </w:rPr>
        <w:t>Server module</w:t>
      </w:r>
      <w:r>
        <w:rPr/>
        <w:t xml:space="preserve"> — copy </w:t>
      </w:r>
      <w:r>
        <w:rPr>
          <w:rFonts w:ascii="Consolas" w:hAnsi="Consolas"/>
          <w:color w:val="1F3A5F"/>
          <w:sz w:val="19"/>
        </w:rPr>
        <w:t>src/api/progress-tracker/</w:t>
      </w:r>
      <w:r>
        <w:rPr/>
        <w:t xml:space="preserve"> (6 files, 607 lines: module, controller, service, two query DTOs, unit tests) and register it in </w:t>
      </w:r>
      <w:r>
        <w:rPr>
          <w:rFonts w:ascii="Consolas" w:hAnsi="Consolas"/>
          <w:color w:val="1F3A5F"/>
          <w:sz w:val="19"/>
        </w:rPr>
        <w:t>src/api/modules.routes.ts</w:t>
      </w:r>
      <w:r>
        <w:rPr/>
        <w:t xml:space="preserve"> (</w:t>
      </w:r>
      <w:r>
        <w:rPr>
          <w:rFonts w:ascii="Consolas" w:hAnsi="Consolas"/>
          <w:color w:val="1F3A5F"/>
          <w:sz w:val="19"/>
        </w:rPr>
        <w:t>{ path: 'progress-tracker' }</w:t>
      </w:r>
      <w:r>
        <w:rPr/>
        <w:t xml:space="preserve">) and </w:t>
      </w:r>
      <w:r>
        <w:rPr>
          <w:rFonts w:ascii="Consolas" w:hAnsi="Consolas"/>
          <w:color w:val="1F3A5F"/>
          <w:sz w:val="19"/>
        </w:rPr>
        <w:t>src/app.module.ts</w:t>
      </w:r>
      <w:r>
        <w:rPr/>
        <w:t xml:space="preserve">. It needs only </w:t>
      </w:r>
      <w:r>
        <w:rPr>
          <w:rFonts w:ascii="Consolas" w:hAnsi="Consolas"/>
          <w:color w:val="1F3A5F"/>
          <w:sz w:val="19"/>
        </w:rPr>
        <w:t>HttpModule</w:t>
      </w:r>
      <w:r>
        <w:rPr/>
        <w:t xml:space="preserve"> and inherits the JWT middleware and the throttler like every </w:t>
      </w:r>
      <w:r>
        <w:rPr>
          <w:rFonts w:ascii="Consolas" w:hAnsi="Consolas"/>
          <w:color w:val="1F3A5F"/>
          <w:sz w:val="19"/>
        </w:rPr>
        <w:t>/api</w:t>
      </w:r>
      <w:r>
        <w:rPr/>
        <w:t xml:space="preserve"> route. It mirrors </w:t>
      </w:r>
      <w:r>
        <w:rPr>
          <w:rFonts w:ascii="Consolas" w:hAnsi="Consolas"/>
          <w:color w:val="1F3A5F"/>
          <w:sz w:val="19"/>
        </w:rPr>
        <w:t>cgspace-discovery</w:t>
      </w:r>
      <w:r>
        <w:rPr/>
        <w:t>: base URL and key from environment, whitelisted query DTOs, 25 s time-out, classified status, never forwards an upstream message or host to the client.</w:t>
      </w:r>
    </w:p>
    <w:p>
      <w:pPr>
        <w:pStyle w:val="ListNumber"/>
        <w:keepLines/>
        <w:numPr>
          <w:ilvl w:val="0"/>
          <w:numId w:val="12"/>
        </w:numPr>
      </w:pPr>
      <w:r>
        <w:rPr>
          <w:b/>
        </w:rPr>
        <w:t>Environment keys</w:t>
      </w:r>
      <w:r>
        <w:rPr/>
        <w:t xml:space="preserve"> — </w:t>
      </w:r>
      <w:r>
        <w:rPr>
          <w:rFonts w:ascii="Consolas" w:hAnsi="Consolas"/>
          <w:color w:val="1F3A5F"/>
          <w:sz w:val="19"/>
        </w:rPr>
        <w:t>PT_INTEROP_BASE_URL</w:t>
      </w:r>
      <w:r>
        <w:rPr/>
        <w:t xml:space="preserve"> (dev or staging URL from section 3; production to be shared) and </w:t>
      </w:r>
      <w:r>
        <w:rPr>
          <w:rFonts w:ascii="Consolas" w:hAnsi="Consolas"/>
          <w:color w:val="1F3A5F"/>
          <w:sz w:val="19"/>
        </w:rPr>
        <w:t>PT_INTEROP_API_KEY</w:t>
      </w:r>
      <w:r>
        <w:rPr/>
        <w:t xml:space="preserve"> (empty until authentication is switched on). Server side only, never in the client build.</w:t>
      </w:r>
    </w:p>
    <w:p>
      <w:pPr>
        <w:pStyle w:val="ListNumber"/>
        <w:keepLines/>
        <w:numPr>
          <w:ilvl w:val="0"/>
          <w:numId w:val="12"/>
        </w:numPr>
      </w:pPr>
      <w:r>
        <w:rPr>
          <w:b/>
        </w:rPr>
        <w:t>Key issuance</w:t>
      </w:r>
      <w:r>
        <w:rPr/>
        <w:t xml:space="preserve"> — when authentication is switched on, one </w:t>
      </w:r>
      <w:r>
        <w:rPr>
          <w:rFonts w:ascii="Consolas" w:hAnsi="Consolas"/>
          <w:color w:val="1F3A5F"/>
          <w:sz w:val="19"/>
        </w:rPr>
        <w:t>X-API-Key</w:t>
      </w:r>
      <w:r>
        <w:rPr/>
        <w:t xml:space="preserve"> per PRMS environment (TEST, PROD) is issued by the Progress Tracker side; the module already sends the header when the key is set. Optional </w:t>
      </w:r>
      <w:r>
        <w:rPr>
          <w:rFonts w:ascii="Consolas" w:hAnsi="Consolas"/>
          <w:color w:val="1F3A5F"/>
          <w:sz w:val="19"/>
        </w:rPr>
        <w:t>X-Actor-Email</w:t>
      </w:r>
      <w:r>
        <w:rPr/>
        <w:t xml:space="preserve"> for attributable audit rows (one line).</w:t>
      </w:r>
    </w:p>
    <w:p>
      <w:pPr>
        <w:pStyle w:val="ListNumber"/>
        <w:keepLines/>
        <w:numPr>
          <w:ilvl w:val="0"/>
          <w:numId w:val="12"/>
        </w:numPr>
      </w:pPr>
      <w:r>
        <w:rPr>
          <w:b/>
        </w:rPr>
        <w:t>Client API methods</w:t>
      </w:r>
      <w:r>
        <w:rPr/>
        <w:t xml:space="preserve"> — two methods in </w:t>
      </w:r>
      <w:r>
        <w:rPr>
          <w:rFonts w:ascii="Consolas" w:hAnsi="Consolas"/>
          <w:color w:val="1F3A5F"/>
          <w:sz w:val="19"/>
        </w:rPr>
        <w:t>shared/services/api/results-api.service.ts</w:t>
      </w:r>
      <w:r>
        <w:rPr/>
        <w:t xml:space="preserve"> (</w:t>
      </w:r>
      <w:r>
        <w:rPr>
          <w:rFonts w:ascii="Consolas" w:hAnsi="Consolas"/>
          <w:color w:val="1F3A5F"/>
          <w:sz w:val="19"/>
        </w:rPr>
        <w:t>GET_progressTrackerResults</w:t>
      </w:r>
      <w:r>
        <w:rPr/>
        <w:t xml:space="preserve">, </w:t>
      </w:r>
      <w:r>
        <w:rPr>
          <w:rFonts w:ascii="Consolas" w:hAnsi="Consolas"/>
          <w:color w:val="1F3A5F"/>
          <w:sz w:val="19"/>
        </w:rPr>
        <w:t>GET_progressTrackerReadyCounts</w:t>
      </w:r>
      <w:r>
        <w:rPr/>
        <w:t>).</w:t>
      </w:r>
    </w:p>
    <w:p>
      <w:pPr>
        <w:pStyle w:val="ListNumber"/>
        <w:keepLines/>
        <w:numPr>
          <w:ilvl w:val="0"/>
          <w:numId w:val="12"/>
        </w:numPr>
      </w:pPr>
      <w:r>
        <w:rPr>
          <w:b/>
        </w:rPr>
        <w:t>Browse component</w:t>
      </w:r>
      <w:r>
        <w:rPr/>
        <w:t xml:space="preserve"> — copy </w:t>
      </w:r>
      <w:r>
        <w:rPr>
          <w:rFonts w:ascii="Consolas" w:hAnsi="Consolas"/>
          <w:color w:val="1F3A5F"/>
          <w:sz w:val="19"/>
        </w:rPr>
        <w:t>pt-results-browse/</w:t>
      </w:r>
      <w:r>
        <w:rPr/>
        <w:t xml:space="preserve"> (4 files, 810 lines) next to </w:t>
      </w:r>
      <w:r>
        <w:rPr>
          <w:rFonts w:ascii="Consolas" w:hAnsi="Consolas"/>
          <w:color w:val="1F3A5F"/>
          <w:sz w:val="19"/>
        </w:rPr>
        <w:t>kp-cgspace-browse</w:t>
      </w:r>
      <w:r>
        <w:rPr/>
        <w:t>; standalone, injects only the API service; handles the five states (loading, results, empty, error, pre-filled banner).</w:t>
      </w:r>
    </w:p>
    <w:p>
      <w:pPr>
        <w:pStyle w:val="ListNumber"/>
        <w:keepLines/>
        <w:numPr>
          <w:ilvl w:val="0"/>
          <w:numId w:val="12"/>
        </w:numPr>
      </w:pPr>
      <w:r>
        <w:rPr>
          <w:b/>
        </w:rPr>
        <w:t>Host form</w:t>
      </w:r>
      <w:r>
        <w:rPr/>
        <w:t xml:space="preserve"> — apply the </w:t>
      </w:r>
      <w:r>
        <w:rPr>
          <w:rFonts w:ascii="Consolas" w:hAnsi="Consolas"/>
          <w:color w:val="1F3A5F"/>
          <w:sz w:val="19"/>
        </w:rPr>
        <w:t>lab-report-form</w:t>
      </w:r>
      <w:r>
        <w:rPr/>
        <w:t xml:space="preserve"> hunks (≈160 lines TypeScript, ≈116 lines template): the source switch “Manual entry | Progress Tracker” for non-KP indicators, the third tab for KP indicators, the panel, the </w:t>
      </w:r>
      <w:r>
        <w:rPr>
          <w:rFonts w:ascii="Consolas" w:hAnsi="Consolas"/>
          <w:color w:val="1F3A5F"/>
          <w:sz w:val="19"/>
        </w:rPr>
        <w:t>onPtResultSelected</w:t>
      </w:r>
      <w:r>
        <w:rPr/>
        <w:t xml:space="preserve"> mapping (title cut at 30 words with a notice, description, type only when the KPI leaves it open, handle for knowledge products), the optional description field, and the reset on re-arm. The legacy create modal, where still used, takes the same component in two lines.</w:t>
      </w:r>
    </w:p>
    <w:p>
      <w:pPr>
        <w:pStyle w:val="ListNumber"/>
        <w:keepLines/>
        <w:numPr>
          <w:ilvl w:val="0"/>
          <w:numId w:val="12"/>
        </w:numPr>
      </w:pPr>
      <w:r>
        <w:rPr>
          <w:b/>
        </w:rPr>
        <w:t>Payload utility</w:t>
      </w:r>
      <w:r>
        <w:rPr/>
        <w:t xml:space="preserve"> — a two-line hunk so </w:t>
      </w:r>
      <w:r>
        <w:rPr>
          <w:rFonts w:ascii="Consolas" w:hAnsi="Consolas"/>
          <w:color w:val="1F3A5F"/>
          <w:sz w:val="19"/>
        </w:rPr>
        <w:t>toc_progressive_narrative</w:t>
      </w:r>
      <w:r>
        <w:rPr/>
        <w:t xml:space="preserve"> travels in the create payload (the server DTO already accepts and stores it; no server change).</w:t>
      </w:r>
    </w:p>
    <w:p>
      <w:pPr>
        <w:pStyle w:val="ListNumber"/>
        <w:keepLines/>
        <w:numPr>
          <w:ilvl w:val="0"/>
          <w:numId w:val="12"/>
        </w:numPr>
      </w:pPr>
      <w:r>
        <w:rPr>
          <w:b/>
        </w:rPr>
        <w:t>Where the id lives</w:t>
      </w:r>
      <w:r>
        <w:rPr/>
        <w:t xml:space="preserve"> — add the Progress Tracker id to the ToC indicator rows (section 5), filled by </w:t>
      </w:r>
      <w:r>
        <w:rPr>
          <w:rFonts w:ascii="Consolas" w:hAnsi="Consolas"/>
          <w:color w:val="1F3A5F"/>
          <w:sz w:val="19"/>
        </w:rPr>
        <w:t>/resolve</w:t>
      </w:r>
      <w:r>
        <w:rPr/>
        <w:t xml:space="preserve"> once per reporting year; read it where the prototype reads </w:t>
      </w:r>
      <w:r>
        <w:rPr>
          <w:rFonts w:ascii="Consolas" w:hAnsi="Consolas"/>
          <w:color w:val="1F3A5F"/>
          <w:sz w:val="19"/>
        </w:rPr>
        <w:t>indicators[0].related_node_id</w:t>
      </w:r>
      <w:r>
        <w:rPr/>
        <w:t xml:space="preserve"> (one computed property).</w:t>
      </w:r>
    </w:p>
    <w:p>
      <w:pPr>
        <w:pStyle w:val="ListNumber"/>
        <w:keepLines/>
        <w:numPr>
          <w:ilvl w:val="0"/>
          <w:numId w:val="12"/>
        </w:numPr>
      </w:pPr>
      <w:r>
        <w:rPr>
          <w:b/>
        </w:rPr>
        <w:t>States to handle</w:t>
      </w:r>
      <w:r>
        <w:rPr/>
        <w:t xml:space="preserve"> — all already in the component: loading (up to ≈ 20 s on a cold KPI, or call </w:t>
      </w:r>
      <w:r>
        <w:rPr>
          <w:rFonts w:ascii="Consolas" w:hAnsi="Consolas"/>
          <w:color w:val="1F3A5F"/>
          <w:sz w:val="19"/>
        </w:rPr>
        <w:t>mode=template</w:t>
      </w:r>
      <w:r>
        <w:rPr/>
        <w:t xml:space="preserve"> first), results, empty, </w:t>
      </w:r>
      <w:r>
        <w:rPr>
          <w:rFonts w:ascii="Consolas" w:hAnsi="Consolas"/>
          <w:color w:val="1F3A5F"/>
          <w:sz w:val="19"/>
        </w:rPr>
        <w:t>not_found</w:t>
      </w:r>
      <w:r>
        <w:rPr/>
        <w:t xml:space="preserve"> (unknown id or flag off), unavailable (time-out, network, 5xx, unconfigured) with the “use Manual entry” escape, and the post-pick banner. The user still validates and submits as today.</w:t>
      </w:r>
    </w:p>
    <w:p>
      <w:pPr>
        <w:pStyle w:val="ListNumber"/>
        <w:keepLines/>
        <w:numPr>
          <w:ilvl w:val="0"/>
          <w:numId w:val="12"/>
        </w:numPr>
      </w:pPr>
      <w:r>
        <w:rPr>
          <w:b/>
        </w:rPr>
        <w:t>Optional badge</w:t>
      </w:r>
      <w:r>
        <w:rPr/>
        <w:t xml:space="preserve"> — </w:t>
      </w:r>
      <w:r>
        <w:rPr>
          <w:rFonts w:ascii="Consolas" w:hAnsi="Consolas"/>
          <w:color w:val="1F3A5F"/>
          <w:sz w:val="19"/>
        </w:rPr>
        <w:t>GET /api/progress-tracker/programs/{program}/ready-counts</w:t>
      </w:r>
      <w:r>
        <w:rPr/>
        <w:t xml:space="preserve"> once per program to show “N results ready” on the KPI rows; the proxy route exists, the badge was not built.</w:t>
      </w:r>
    </w:p>
    <w:p>
      <w:pPr>
        <w:pStyle w:val="ListNumber"/>
        <w:keepLines/>
        <w:numPr>
          <w:ilvl w:val="0"/>
          <w:numId w:val="12"/>
        </w:numPr>
      </w:pPr>
      <w:r>
        <w:rPr>
          <w:b/>
        </w:rPr>
        <w:t>Duplicate check</w:t>
      </w:r>
      <w:r>
        <w:rPr/>
        <w:t xml:space="preserve"> — keep </w:t>
      </w:r>
      <w:r>
        <w:rPr>
          <w:rFonts w:ascii="Consolas" w:hAnsi="Consolas"/>
          <w:color w:val="1F3A5F"/>
          <w:sz w:val="19"/>
        </w:rPr>
        <w:t>result_key</w:t>
      </w:r>
      <w:r>
        <w:rPr/>
        <w:t xml:space="preserve"> and </w:t>
      </w:r>
      <w:r>
        <w:rPr>
          <w:rFonts w:ascii="Consolas" w:hAnsi="Consolas"/>
          <w:color w:val="1F3A5F"/>
          <w:sz w:val="19"/>
        </w:rPr>
        <w:t>cache.evidence_fingerprint</w:t>
      </w:r>
      <w:r>
        <w:rPr/>
        <w:t xml:space="preserve"> on the created result (in the narrative tail today, or a dedicated column) and grey out proposals already used; fold into the metadata-based duplicate rule the PRMS team is already building.</w:t>
      </w:r>
    </w:p>
    <w:p>
      <w:pPr>
        <w:keepLines/>
      </w:pPr>
      <w:r>
        <w:rPr>
          <w:b/>
        </w:rPr>
        <w:t>Effort, honestly.</w:t>
      </w:r>
      <w:r>
        <w:rPr/>
        <w:t xml:space="preserve"> Juan David’s reading on the call — “the technical challenge is very low” — matches what was measured: the PRMS-side integration in the local copy (server module, client component, form hunks, 17 new unit tests, all green with the existing 99 tests of the host form) took about one hour of build time, and the three interop endpoints with tests and two deployments about one and a half hours. A port into the real code base is more than that — review, the team’s lint hooks, a pull request, QA on PRMS TEST, the id column and its fill — and that sizing belongs to the PRMS team; the tagged diff is meant to make it a reading exercise rather than a design one.</w:t>
      </w:r>
    </w:p>
    <w:p>
      <w:pPr>
        <w:pStyle w:val="Heading1"/>
      </w:pPr>
      <w:bookmarkStart w:id="121" w:name="_Toc13"/>
      <w:r>
        <w:rPr/>
        <w:t>8. Missing and necessary steps before this is real</w:t>
      </w:r>
      <w:bookmarkEnd w:id="121"/>
    </w:p>
    <w:p>
      <w:pPr>
        <w:keepLines/>
      </w:pPr>
      <w:r>
        <w:rPr/>
        <w:t xml:space="preserve">Split by who acts; each line is marked as a </w:t>
      </w:r>
      <w:r>
        <w:rPr>
          <w:b/>
        </w:rPr>
        <w:t>decision</w:t>
      </w:r>
      <w:r>
        <w:rPr/>
        <w:t xml:space="preserve"> (someone has to choose) or </w:t>
      </w:r>
      <w:r>
        <w:rPr>
          <w:b/>
        </w:rPr>
        <w:t>work</w:t>
      </w:r>
      <w:r>
        <w:rPr/>
        <w:t xml:space="preserve"> (someone has to build or run). Nothing here blocks reading or trying the endpoints today.</w:t>
      </w:r>
    </w:p>
    <w:p>
      <w:pPr>
        <w:pStyle w:val="Heading2"/>
      </w:pPr>
      <w:bookmarkStart w:id="122" w:name="_Toc14"/>
      <w:r>
        <w:rPr/>
        <w:t>8.1 Alliance side (PRMS Reporting Tool)</w:t>
      </w:r>
      <w:bookmarkEnd w:id="122"/>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567"/>
        <w:gridCol w:w="4309"/>
        <w:gridCol w:w="1134"/>
        <w:gridCol w:w="1361"/>
        <w:gridCol w:w="2268"/>
      </w:tblGrid>
      <w:tr>
        <w:trPr>
          <w:cantSplit/>
          <w:tblHeader/>
        </w:trPr>
        <w:tc>
          <w:tcPr>
            <w:tcW w:type="dxa" w:w="567"/>
            <w:shd w:val="clear" w:color="auto" w:fill="E8EEF4"/>
            <w:vAlign w:val="top"/>
          </w:tcPr>
          <w:p>
            <w:pPr>
              <w:keepNext/>
              <w:spacing w:before="0" w:after="0" w:line="240" w:lineRule="auto"/>
            </w:pPr>
            <w:r>
              <w:rPr>
                <w:b/>
                <w:color w:val="00477A"/>
                <w:sz w:val="18"/>
              </w:rPr>
              <w:t>#</w:t>
            </w:r>
          </w:p>
        </w:tc>
        <w:tc>
          <w:tcPr>
            <w:tcW w:type="dxa" w:w="4309"/>
            <w:shd w:val="clear" w:color="auto" w:fill="E8EEF4"/>
            <w:vAlign w:val="top"/>
          </w:tcPr>
          <w:p>
            <w:pPr>
              <w:keepNext/>
              <w:spacing w:before="0" w:after="0" w:line="240" w:lineRule="auto"/>
            </w:pPr>
            <w:r>
              <w:rPr>
                <w:b/>
                <w:color w:val="00477A"/>
                <w:sz w:val="18"/>
              </w:rPr>
              <w:t>Step</w:t>
            </w:r>
          </w:p>
        </w:tc>
        <w:tc>
          <w:tcPr>
            <w:tcW w:type="dxa" w:w="1134"/>
            <w:shd w:val="clear" w:color="auto" w:fill="E8EEF4"/>
            <w:vAlign w:val="top"/>
          </w:tcPr>
          <w:p>
            <w:pPr>
              <w:keepNext/>
              <w:spacing w:before="0" w:after="0" w:line="240" w:lineRule="auto"/>
            </w:pPr>
            <w:r>
              <w:rPr>
                <w:b/>
                <w:color w:val="00477A"/>
                <w:sz w:val="18"/>
              </w:rPr>
              <w:t>Kind</w:t>
            </w:r>
          </w:p>
        </w:tc>
        <w:tc>
          <w:tcPr>
            <w:tcW w:type="dxa" w:w="1361"/>
            <w:shd w:val="clear" w:color="auto" w:fill="E8EEF4"/>
            <w:vAlign w:val="top"/>
          </w:tcPr>
          <w:p>
            <w:pPr>
              <w:keepNext/>
              <w:spacing w:before="0" w:after="0" w:line="240" w:lineRule="auto"/>
            </w:pPr>
            <w:r>
              <w:rPr>
                <w:b/>
                <w:color w:val="00477A"/>
                <w:sz w:val="18"/>
              </w:rPr>
              <w:t>Owner</w:t>
            </w:r>
          </w:p>
        </w:tc>
        <w:tc>
          <w:tcPr>
            <w:tcW w:type="dxa" w:w="2268"/>
            <w:shd w:val="clear" w:color="auto" w:fill="E8EEF4"/>
            <w:vAlign w:val="top"/>
          </w:tcPr>
          <w:p>
            <w:pPr>
              <w:keepNext/>
              <w:spacing w:before="0" w:after="0" w:line="240" w:lineRule="auto"/>
            </w:pPr>
            <w:r>
              <w:rPr>
                <w:b/>
                <w:color w:val="00477A"/>
                <w:sz w:val="18"/>
              </w:rPr>
              <w:t>Notes</w:t>
            </w:r>
          </w:p>
        </w:tc>
      </w:tr>
      <w:tr>
        <w:trPr>
          <w:cantSplit/>
        </w:trPr>
        <w:tc>
          <w:tcPr>
            <w:tcW w:type="dxa" w:w="567"/>
            <w:vAlign w:val="top"/>
          </w:tcPr>
          <w:p>
            <w:pPr>
              <w:spacing w:before="0" w:after="0" w:line="240" w:lineRule="auto"/>
            </w:pPr>
            <w:r>
              <w:rPr>
                <w:b/>
                <w:sz w:val="18"/>
              </w:rPr>
              <w:t>A1</w:t>
            </w:r>
          </w:p>
        </w:tc>
        <w:tc>
          <w:tcPr>
            <w:tcW w:type="dxa" w:w="4309"/>
            <w:vAlign w:val="top"/>
          </w:tcPr>
          <w:p>
            <w:pPr>
              <w:spacing w:before="0" w:after="0" w:line="240" w:lineRule="auto"/>
            </w:pPr>
            <w:r>
              <w:rPr>
                <w:sz w:val="18"/>
              </w:rPr>
              <w:t>Port the server module and the two environment keys (items 1–2)</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server only; open API today, key later</w:t>
            </w:r>
          </w:p>
        </w:tc>
      </w:tr>
      <w:tr>
        <w:trPr>
          <w:cantSplit/>
        </w:trPr>
        <w:tc>
          <w:tcPr>
            <w:tcW w:type="dxa" w:w="567"/>
            <w:vAlign w:val="top"/>
          </w:tcPr>
          <w:p>
            <w:pPr>
              <w:spacing w:before="0" w:after="0" w:line="240" w:lineRule="auto"/>
            </w:pPr>
            <w:r>
              <w:rPr>
                <w:b/>
                <w:sz w:val="18"/>
              </w:rPr>
              <w:t>A2</w:t>
            </w:r>
          </w:p>
        </w:tc>
        <w:tc>
          <w:tcPr>
            <w:tcW w:type="dxa" w:w="4309"/>
            <w:vAlign w:val="top"/>
          </w:tcPr>
          <w:p>
            <w:pPr>
              <w:spacing w:before="0" w:after="0" w:line="240" w:lineRule="auto"/>
            </w:pPr>
            <w:r>
              <w:rPr>
                <w:sz w:val="18"/>
              </w:rPr>
              <w:t>Port the browse component, the host-form hunks and the payload utility (items 4–7)</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the diff is ready to read</w:t>
            </w:r>
          </w:p>
        </w:tc>
      </w:tr>
      <w:tr>
        <w:trPr>
          <w:cantSplit/>
        </w:trPr>
        <w:tc>
          <w:tcPr>
            <w:tcW w:type="dxa" w:w="567"/>
            <w:vAlign w:val="top"/>
          </w:tcPr>
          <w:p>
            <w:pPr>
              <w:spacing w:before="0" w:after="0" w:line="240" w:lineRule="auto"/>
            </w:pPr>
            <w:r>
              <w:rPr>
                <w:b/>
                <w:sz w:val="18"/>
              </w:rPr>
              <w:t>A3</w:t>
            </w:r>
          </w:p>
        </w:tc>
        <w:tc>
          <w:tcPr>
            <w:tcW w:type="dxa" w:w="4309"/>
            <w:vAlign w:val="top"/>
          </w:tcPr>
          <w:p>
            <w:pPr>
              <w:spacing w:before="0" w:after="0" w:line="240" w:lineRule="auto"/>
            </w:pPr>
            <w:r>
              <w:rPr>
                <w:sz w:val="18"/>
              </w:rPr>
              <w:t xml:space="preserve">Choose how the Progress Tracker id is obtained and where it lives (compute vs </w:t>
            </w:r>
            <w:r>
              <w:rPr>
                <w:rFonts w:ascii="Consolas" w:hAnsi="Consolas"/>
                <w:color w:val="1F3A5F"/>
                <w:sz w:val="16"/>
              </w:rPr>
              <w:t>/resolve</w:t>
            </w:r>
            <w:r>
              <w:rPr>
                <w:sz w:val="18"/>
              </w:rPr>
              <w:t>; column on the ToC indicator row)</w:t>
            </w:r>
          </w:p>
        </w:tc>
        <w:tc>
          <w:tcPr>
            <w:tcW w:type="dxa" w:w="1134"/>
            <w:vAlign w:val="top"/>
          </w:tcPr>
          <w:p>
            <w:pPr>
              <w:spacing w:before="0" w:after="0" w:line="240" w:lineRule="auto"/>
            </w:pPr>
            <w:r>
              <w:rPr>
                <w:sz w:val="18"/>
              </w:rPr>
              <w:t>decision, then work</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recommendation in section 5</w:t>
            </w:r>
          </w:p>
        </w:tc>
      </w:tr>
      <w:tr>
        <w:trPr>
          <w:cantSplit/>
        </w:trPr>
        <w:tc>
          <w:tcPr>
            <w:tcW w:type="dxa" w:w="567"/>
            <w:vAlign w:val="top"/>
          </w:tcPr>
          <w:p>
            <w:pPr>
              <w:spacing w:before="0" w:after="0" w:line="240" w:lineRule="auto"/>
            </w:pPr>
            <w:r>
              <w:rPr>
                <w:b/>
                <w:sz w:val="18"/>
              </w:rPr>
              <w:t>A4</w:t>
            </w:r>
          </w:p>
        </w:tc>
        <w:tc>
          <w:tcPr>
            <w:tcW w:type="dxa" w:w="4309"/>
            <w:vAlign w:val="top"/>
          </w:tcPr>
          <w:p>
            <w:pPr>
              <w:spacing w:before="0" w:after="0" w:line="240" w:lineRule="auto"/>
            </w:pPr>
            <w:r>
              <w:rPr>
                <w:sz w:val="18"/>
              </w:rPr>
              <w:t>Choose where the draft description lands: ToC-link narrative (as built) or the visible “Description of Result” box (small server change to the create DTO)</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either is fine for the Progress Tracker</w:t>
            </w:r>
          </w:p>
        </w:tc>
      </w:tr>
      <w:tr>
        <w:trPr>
          <w:cantSplit/>
        </w:trPr>
        <w:tc>
          <w:tcPr>
            <w:tcW w:type="dxa" w:w="567"/>
            <w:vAlign w:val="top"/>
          </w:tcPr>
          <w:p>
            <w:pPr>
              <w:spacing w:before="0" w:after="0" w:line="240" w:lineRule="auto"/>
            </w:pPr>
            <w:r>
              <w:rPr>
                <w:b/>
                <w:sz w:val="18"/>
              </w:rPr>
              <w:t>A5</w:t>
            </w:r>
          </w:p>
        </w:tc>
        <w:tc>
          <w:tcPr>
            <w:tcW w:type="dxa" w:w="4309"/>
            <w:vAlign w:val="top"/>
          </w:tcPr>
          <w:p>
            <w:pPr>
              <w:spacing w:before="0" w:after="0" w:line="240" w:lineRule="auto"/>
            </w:pPr>
            <w:r>
              <w:rPr>
                <w:sz w:val="18"/>
              </w:rPr>
              <w:t xml:space="preserve">Duplicate rule: keep </w:t>
            </w:r>
            <w:r>
              <w:rPr>
                <w:rFonts w:ascii="Consolas" w:hAnsi="Consolas"/>
                <w:color w:val="1F3A5F"/>
                <w:sz w:val="16"/>
              </w:rPr>
              <w:t>result_key</w:t>
            </w:r>
            <w:r>
              <w:rPr>
                <w:sz w:val="18"/>
              </w:rPr>
              <w:t xml:space="preserve"> + </w:t>
            </w:r>
            <w:r>
              <w:rPr>
                <w:rFonts w:ascii="Consolas" w:hAnsi="Consolas"/>
                <w:color w:val="1F3A5F"/>
                <w:sz w:val="16"/>
              </w:rPr>
              <w:t>evidence_fingerprint</w:t>
            </w:r>
            <w:r>
              <w:rPr>
                <w:sz w:val="18"/>
              </w:rPr>
              <w:t xml:space="preserve"> on created results and grey out used proposals; align with the metadata-based duplicate check already on the PRMS roadmap</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Ángel, 15 Sep 0:06</w:t>
            </w:r>
          </w:p>
        </w:tc>
      </w:tr>
      <w:tr>
        <w:trPr>
          <w:cantSplit/>
        </w:trPr>
        <w:tc>
          <w:tcPr>
            <w:tcW w:type="dxa" w:w="567"/>
            <w:vAlign w:val="top"/>
          </w:tcPr>
          <w:p>
            <w:pPr>
              <w:spacing w:before="0" w:after="0" w:line="240" w:lineRule="auto"/>
            </w:pPr>
            <w:r>
              <w:rPr>
                <w:b/>
                <w:sz w:val="18"/>
              </w:rPr>
              <w:t>A6</w:t>
            </w:r>
          </w:p>
        </w:tc>
        <w:tc>
          <w:tcPr>
            <w:tcW w:type="dxa" w:w="4309"/>
            <w:vAlign w:val="top"/>
          </w:tcPr>
          <w:p>
            <w:pPr>
              <w:spacing w:before="0" w:after="0" w:line="240" w:lineRule="auto"/>
            </w:pPr>
            <w:r>
              <w:rPr>
                <w:sz w:val="18"/>
              </w:rPr>
              <w:t xml:space="preserve">“N results ready” badge on the KPI rows via </w:t>
            </w:r>
            <w:r>
              <w:rPr>
                <w:rFonts w:ascii="Consolas" w:hAnsi="Consolas"/>
                <w:color w:val="1F3A5F"/>
                <w:sz w:val="16"/>
              </w:rPr>
              <w:t>ready-counts</w:t>
            </w:r>
          </w:p>
        </w:tc>
        <w:tc>
          <w:tcPr>
            <w:tcW w:type="dxa" w:w="1134"/>
            <w:vAlign w:val="top"/>
          </w:tcPr>
          <w:p>
            <w:pPr>
              <w:spacing w:before="0" w:after="0" w:line="240" w:lineRule="auto"/>
            </w:pPr>
            <w:r>
              <w:rPr>
                <w:sz w:val="18"/>
              </w:rPr>
              <w:t>work (optional)</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one call per program</w:t>
            </w:r>
          </w:p>
        </w:tc>
      </w:tr>
      <w:tr>
        <w:trPr>
          <w:cantSplit/>
        </w:trPr>
        <w:tc>
          <w:tcPr>
            <w:tcW w:type="dxa" w:w="567"/>
            <w:vAlign w:val="top"/>
          </w:tcPr>
          <w:p>
            <w:pPr>
              <w:spacing w:before="0" w:after="0" w:line="240" w:lineRule="auto"/>
            </w:pPr>
            <w:r>
              <w:rPr>
                <w:b/>
                <w:sz w:val="18"/>
              </w:rPr>
              <w:t>A7</w:t>
            </w:r>
          </w:p>
        </w:tc>
        <w:tc>
          <w:tcPr>
            <w:tcW w:type="dxa" w:w="4309"/>
            <w:vAlign w:val="top"/>
          </w:tcPr>
          <w:p>
            <w:pPr>
              <w:spacing w:before="0" w:after="0" w:line="240" w:lineRule="auto"/>
            </w:pPr>
            <w:r>
              <w:rPr>
                <w:sz w:val="18"/>
              </w:rPr>
              <w:t>Which Progress Tracker environment each PRMS environment talks to (TEST → staging is the suggestion; PROD → prod)</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PRMS team with Jose</w:t>
            </w:r>
          </w:p>
        </w:tc>
        <w:tc>
          <w:tcPr>
            <w:tcW w:type="dxa" w:w="2268"/>
            <w:vAlign w:val="top"/>
          </w:tcPr>
          <w:p>
            <w:pPr>
              <w:spacing w:before="0" w:after="0" w:line="240" w:lineRule="auto"/>
            </w:pPr>
            <w:r>
              <w:rPr>
                <w:sz w:val="18"/>
              </w:rPr>
              <w:t>section 3</w:t>
            </w:r>
          </w:p>
        </w:tc>
      </w:tr>
      <w:tr>
        <w:trPr>
          <w:cantSplit/>
        </w:trPr>
        <w:tc>
          <w:tcPr>
            <w:tcW w:type="dxa" w:w="567"/>
            <w:vAlign w:val="top"/>
          </w:tcPr>
          <w:p>
            <w:pPr>
              <w:spacing w:before="0" w:after="0" w:line="240" w:lineRule="auto"/>
            </w:pPr>
            <w:r>
              <w:rPr>
                <w:b/>
                <w:sz w:val="18"/>
              </w:rPr>
              <w:t>A8</w:t>
            </w:r>
          </w:p>
        </w:tc>
        <w:tc>
          <w:tcPr>
            <w:tcW w:type="dxa" w:w="4309"/>
            <w:vAlign w:val="top"/>
          </w:tcPr>
          <w:p>
            <w:pPr>
              <w:spacing w:before="0" w:after="0" w:line="240" w:lineRule="auto"/>
            </w:pPr>
            <w:r>
              <w:rPr>
                <w:sz w:val="18"/>
              </w:rPr>
              <w:t xml:space="preserve">Send the PRMS user’s e-mail as </w:t>
            </w:r>
            <w:r>
              <w:rPr>
                <w:rFonts w:ascii="Consolas" w:hAnsi="Consolas"/>
                <w:color w:val="1F3A5F"/>
                <w:sz w:val="16"/>
              </w:rPr>
              <w:t>X-Actor-Email</w:t>
            </w:r>
            <w:r>
              <w:rPr>
                <w:sz w:val="18"/>
              </w:rPr>
              <w:t xml:space="preserve"> for attributable audit rows, or not</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privacy call; one line</w:t>
            </w:r>
          </w:p>
        </w:tc>
      </w:tr>
      <w:tr>
        <w:trPr>
          <w:cantSplit/>
        </w:trPr>
        <w:tc>
          <w:tcPr>
            <w:tcW w:type="dxa" w:w="567"/>
            <w:vAlign w:val="top"/>
          </w:tcPr>
          <w:p>
            <w:pPr>
              <w:spacing w:before="0" w:after="0" w:line="240" w:lineRule="auto"/>
            </w:pPr>
            <w:r>
              <w:rPr>
                <w:b/>
                <w:sz w:val="18"/>
              </w:rPr>
              <w:t>A9</w:t>
            </w:r>
          </w:p>
        </w:tc>
        <w:tc>
          <w:tcPr>
            <w:tcW w:type="dxa" w:w="4309"/>
            <w:vAlign w:val="top"/>
          </w:tcPr>
          <w:p>
            <w:pPr>
              <w:spacing w:before="0" w:after="0" w:line="240" w:lineRule="auto"/>
            </w:pPr>
            <w:r>
              <w:rPr>
                <w:sz w:val="18"/>
              </w:rPr>
              <w:t>QA on PRMS TEST with two or three real programs that have evidence in the Progress Tracker</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PRMS team</w:t>
            </w:r>
          </w:p>
        </w:tc>
        <w:tc>
          <w:tcPr>
            <w:tcW w:type="dxa" w:w="2268"/>
            <w:vAlign w:val="top"/>
          </w:tcPr>
          <w:p>
            <w:pPr>
              <w:spacing w:before="0" w:after="0" w:line="240" w:lineRule="auto"/>
            </w:pPr>
            <w:r>
              <w:rPr>
                <w:sz w:val="18"/>
              </w:rPr>
              <w:t>before any PROD switch</w:t>
            </w:r>
          </w:p>
        </w:tc>
      </w:tr>
    </w:tbl>
    <w:p>
      <w:pPr>
        <w:spacing w:before="0" w:after="80" w:line="240" w:lineRule="auto"/>
      </w:pPr>
    </w:p>
    <w:p>
      <w:pPr>
        <w:pStyle w:val="Heading2"/>
      </w:pPr>
      <w:bookmarkStart w:id="123" w:name="_Toc15"/>
      <w:r>
        <w:rPr/>
        <w:t>8.2 Progress Tracker side (Interoperability API)</w:t>
      </w:r>
      <w:bookmarkEnd w:id="123"/>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567"/>
        <w:gridCol w:w="4309"/>
        <w:gridCol w:w="1134"/>
        <w:gridCol w:w="1361"/>
        <w:gridCol w:w="2268"/>
      </w:tblGrid>
      <w:tr>
        <w:trPr>
          <w:cantSplit/>
          <w:tblHeader/>
        </w:trPr>
        <w:tc>
          <w:tcPr>
            <w:tcW w:type="dxa" w:w="567"/>
            <w:shd w:val="clear" w:color="auto" w:fill="E8EEF4"/>
            <w:vAlign w:val="top"/>
          </w:tcPr>
          <w:p>
            <w:pPr>
              <w:keepNext/>
              <w:spacing w:before="0" w:after="0" w:line="240" w:lineRule="auto"/>
            </w:pPr>
            <w:r>
              <w:rPr>
                <w:b/>
                <w:color w:val="00477A"/>
                <w:sz w:val="18"/>
              </w:rPr>
              <w:t>#</w:t>
            </w:r>
          </w:p>
        </w:tc>
        <w:tc>
          <w:tcPr>
            <w:tcW w:type="dxa" w:w="4309"/>
            <w:shd w:val="clear" w:color="auto" w:fill="E8EEF4"/>
            <w:vAlign w:val="top"/>
          </w:tcPr>
          <w:p>
            <w:pPr>
              <w:keepNext/>
              <w:spacing w:before="0" w:after="0" w:line="240" w:lineRule="auto"/>
            </w:pPr>
            <w:r>
              <w:rPr>
                <w:b/>
                <w:color w:val="00477A"/>
                <w:sz w:val="18"/>
              </w:rPr>
              <w:t>Step</w:t>
            </w:r>
          </w:p>
        </w:tc>
        <w:tc>
          <w:tcPr>
            <w:tcW w:type="dxa" w:w="1134"/>
            <w:shd w:val="clear" w:color="auto" w:fill="E8EEF4"/>
            <w:vAlign w:val="top"/>
          </w:tcPr>
          <w:p>
            <w:pPr>
              <w:keepNext/>
              <w:spacing w:before="0" w:after="0" w:line="240" w:lineRule="auto"/>
            </w:pPr>
            <w:r>
              <w:rPr>
                <w:b/>
                <w:color w:val="00477A"/>
                <w:sz w:val="18"/>
              </w:rPr>
              <w:t>Kind</w:t>
            </w:r>
          </w:p>
        </w:tc>
        <w:tc>
          <w:tcPr>
            <w:tcW w:type="dxa" w:w="1361"/>
            <w:shd w:val="clear" w:color="auto" w:fill="E8EEF4"/>
            <w:vAlign w:val="top"/>
          </w:tcPr>
          <w:p>
            <w:pPr>
              <w:keepNext/>
              <w:spacing w:before="0" w:after="0" w:line="240" w:lineRule="auto"/>
            </w:pPr>
            <w:r>
              <w:rPr>
                <w:b/>
                <w:color w:val="00477A"/>
                <w:sz w:val="18"/>
              </w:rPr>
              <w:t>Owner</w:t>
            </w:r>
          </w:p>
        </w:tc>
        <w:tc>
          <w:tcPr>
            <w:tcW w:type="dxa" w:w="2268"/>
            <w:shd w:val="clear" w:color="auto" w:fill="E8EEF4"/>
            <w:vAlign w:val="top"/>
          </w:tcPr>
          <w:p>
            <w:pPr>
              <w:keepNext/>
              <w:spacing w:before="0" w:after="0" w:line="240" w:lineRule="auto"/>
            </w:pPr>
            <w:r>
              <w:rPr>
                <w:b/>
                <w:color w:val="00477A"/>
                <w:sz w:val="18"/>
              </w:rPr>
              <w:t>Notes</w:t>
            </w:r>
          </w:p>
        </w:tc>
      </w:tr>
      <w:tr>
        <w:trPr>
          <w:cantSplit/>
        </w:trPr>
        <w:tc>
          <w:tcPr>
            <w:tcW w:type="dxa" w:w="567"/>
            <w:vAlign w:val="top"/>
          </w:tcPr>
          <w:p>
            <w:pPr>
              <w:spacing w:before="0" w:after="0" w:line="240" w:lineRule="auto"/>
            </w:pPr>
            <w:r>
              <w:rPr>
                <w:b/>
                <w:sz w:val="18"/>
              </w:rPr>
              <w:t>P1</w:t>
            </w:r>
          </w:p>
        </w:tc>
        <w:tc>
          <w:tcPr>
            <w:tcW w:type="dxa" w:w="4309"/>
            <w:vAlign w:val="top"/>
          </w:tcPr>
          <w:p>
            <w:pPr>
              <w:spacing w:before="0" w:after="0" w:line="240" w:lineRule="auto"/>
            </w:pPr>
            <w:r>
              <w:rPr>
                <w:sz w:val="18"/>
              </w:rPr>
              <w:t>Switch authentication on (</w:t>
            </w:r>
            <w:r>
              <w:rPr>
                <w:rFonts w:ascii="Consolas" w:hAnsi="Consolas"/>
                <w:color w:val="1F3A5F"/>
                <w:sz w:val="16"/>
              </w:rPr>
              <w:t>AUTH_ENABLED</w:t>
            </w:r>
            <w:r>
              <w:rPr>
                <w:sz w:val="18"/>
              </w:rPr>
              <w:t xml:space="preserve">) for dev/staging and issue one </w:t>
            </w:r>
            <w:r>
              <w:rPr>
                <w:rFonts w:ascii="Consolas" w:hAnsi="Consolas"/>
                <w:color w:val="1F3A5F"/>
                <w:sz w:val="16"/>
              </w:rPr>
              <w:t>X-API-Key</w:t>
            </w:r>
            <w:r>
              <w:rPr>
                <w:sz w:val="18"/>
              </w:rPr>
              <w:t xml:space="preserve"> per PRMS environment; agree rotation</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Jose</w:t>
            </w:r>
          </w:p>
        </w:tc>
        <w:tc>
          <w:tcPr>
            <w:tcW w:type="dxa" w:w="2268"/>
            <w:vAlign w:val="top"/>
          </w:tcPr>
          <w:p>
            <w:pPr>
              <w:spacing w:before="0" w:after="0" w:line="240" w:lineRule="auto"/>
            </w:pPr>
            <w:r>
              <w:rPr>
                <w:sz w:val="18"/>
              </w:rPr>
              <w:t>the routes already require a caller when auth is on</w:t>
            </w:r>
          </w:p>
        </w:tc>
      </w:tr>
      <w:tr>
        <w:trPr>
          <w:cantSplit/>
        </w:trPr>
        <w:tc>
          <w:tcPr>
            <w:tcW w:type="dxa" w:w="567"/>
            <w:vAlign w:val="top"/>
          </w:tcPr>
          <w:p>
            <w:pPr>
              <w:spacing w:before="0" w:after="0" w:line="240" w:lineRule="auto"/>
            </w:pPr>
            <w:r>
              <w:rPr>
                <w:b/>
                <w:sz w:val="18"/>
              </w:rPr>
              <w:t>P2</w:t>
            </w:r>
          </w:p>
        </w:tc>
        <w:tc>
          <w:tcPr>
            <w:tcW w:type="dxa" w:w="4309"/>
            <w:vAlign w:val="top"/>
          </w:tcPr>
          <w:p>
            <w:pPr>
              <w:spacing w:before="0" w:after="0" w:line="240" w:lineRule="auto"/>
            </w:pPr>
            <w:r>
              <w:rPr>
                <w:sz w:val="18"/>
              </w:rPr>
              <w:t xml:space="preserve">Production: set </w:t>
            </w:r>
            <w:r>
              <w:rPr>
                <w:rFonts w:ascii="Consolas" w:hAnsi="Consolas"/>
                <w:color w:val="1F3A5F"/>
                <w:sz w:val="16"/>
              </w:rPr>
              <w:t>PRMS_PULL_ENABLED</w:t>
            </w:r>
            <w:r>
              <w:rPr>
                <w:sz w:val="18"/>
              </w:rPr>
              <w:t xml:space="preserve"> on and deploy; share the production base URL</w:t>
            </w:r>
          </w:p>
        </w:tc>
        <w:tc>
          <w:tcPr>
            <w:tcW w:type="dxa" w:w="1134"/>
            <w:vAlign w:val="top"/>
          </w:tcPr>
          <w:p>
            <w:pPr>
              <w:spacing w:before="0" w:after="0" w:line="240" w:lineRule="auto"/>
            </w:pPr>
            <w:r>
              <w:rPr>
                <w:sz w:val="18"/>
              </w:rPr>
              <w:t>decision, then work</w:t>
            </w:r>
          </w:p>
        </w:tc>
        <w:tc>
          <w:tcPr>
            <w:tcW w:type="dxa" w:w="1361"/>
            <w:vAlign w:val="top"/>
          </w:tcPr>
          <w:p>
            <w:pPr>
              <w:spacing w:before="0" w:after="0" w:line="240" w:lineRule="auto"/>
            </w:pPr>
            <w:r>
              <w:rPr>
                <w:sz w:val="18"/>
              </w:rPr>
              <w:t>Jose</w:t>
            </w:r>
          </w:p>
        </w:tc>
        <w:tc>
          <w:tcPr>
            <w:tcW w:type="dxa" w:w="2268"/>
            <w:vAlign w:val="top"/>
          </w:tcPr>
          <w:p>
            <w:pPr>
              <w:spacing w:before="0" w:after="0" w:line="240" w:lineRule="auto"/>
            </w:pPr>
            <w:r>
              <w:rPr>
                <w:sz w:val="18"/>
              </w:rPr>
              <w:t>only after TEST is signed off</w:t>
            </w:r>
          </w:p>
        </w:tc>
      </w:tr>
      <w:tr>
        <w:trPr>
          <w:cantSplit/>
        </w:trPr>
        <w:tc>
          <w:tcPr>
            <w:tcW w:type="dxa" w:w="567"/>
            <w:vAlign w:val="top"/>
          </w:tcPr>
          <w:p>
            <w:pPr>
              <w:spacing w:before="0" w:after="0" w:line="240" w:lineRule="auto"/>
            </w:pPr>
            <w:r>
              <w:rPr>
                <w:b/>
                <w:sz w:val="18"/>
              </w:rPr>
              <w:t>P3</w:t>
            </w:r>
          </w:p>
        </w:tc>
        <w:tc>
          <w:tcPr>
            <w:tcW w:type="dxa" w:w="4309"/>
            <w:vAlign w:val="top"/>
          </w:tcPr>
          <w:p>
            <w:pPr>
              <w:spacing w:before="0" w:after="0" w:line="240" w:lineRule="auto"/>
            </w:pPr>
            <w:r>
              <w:rPr>
                <w:sz w:val="18"/>
              </w:rPr>
              <w:t>Ownership of the ids when PORB texts are refreshed (the Progress Tracker re-seeds; PRMS re-resolves) — who triggers what, when</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Jose with PRMS team</w:t>
            </w:r>
          </w:p>
        </w:tc>
        <w:tc>
          <w:tcPr>
            <w:tcW w:type="dxa" w:w="2268"/>
            <w:vAlign w:val="top"/>
          </w:tcPr>
          <w:p>
            <w:pPr>
              <w:spacing w:before="0" w:after="0" w:line="240" w:lineRule="auto"/>
            </w:pPr>
            <w:r>
              <w:rPr>
                <w:sz w:val="18"/>
              </w:rPr>
              <w:t>tied to A3</w:t>
            </w:r>
          </w:p>
        </w:tc>
      </w:tr>
      <w:tr>
        <w:trPr>
          <w:cantSplit/>
        </w:trPr>
        <w:tc>
          <w:tcPr>
            <w:tcW w:type="dxa" w:w="567"/>
            <w:vAlign w:val="top"/>
          </w:tcPr>
          <w:p>
            <w:pPr>
              <w:spacing w:before="0" w:after="0" w:line="240" w:lineRule="auto"/>
            </w:pPr>
            <w:r>
              <w:rPr>
                <w:b/>
                <w:sz w:val="18"/>
              </w:rPr>
              <w:t>P4</w:t>
            </w:r>
          </w:p>
        </w:tc>
        <w:tc>
          <w:tcPr>
            <w:tcW w:type="dxa" w:w="4309"/>
            <w:vAlign w:val="top"/>
          </w:tcPr>
          <w:p>
            <w:pPr>
              <w:spacing w:before="0" w:after="0" w:line="240" w:lineRule="auto"/>
            </w:pPr>
            <w:r>
              <w:rPr>
                <w:sz w:val="18"/>
              </w:rPr>
              <w:t>Evidence coverage per program: today the two programs checked have 95 and 34 KPIs with evidence respectively; several areas of work have none</w:t>
            </w:r>
          </w:p>
        </w:tc>
        <w:tc>
          <w:tcPr>
            <w:tcW w:type="dxa" w:w="1134"/>
            <w:vAlign w:val="top"/>
          </w:tcPr>
          <w:p>
            <w:pPr>
              <w:spacing w:before="0" w:after="0" w:line="240" w:lineRule="auto"/>
            </w:pPr>
            <w:r>
              <w:rPr>
                <w:sz w:val="18"/>
              </w:rPr>
              <w:t>fact to communicate</w:t>
            </w:r>
          </w:p>
        </w:tc>
        <w:tc>
          <w:tcPr>
            <w:tcW w:type="dxa" w:w="1361"/>
            <w:vAlign w:val="top"/>
          </w:tcPr>
          <w:p>
            <w:pPr>
              <w:spacing w:before="0" w:after="0" w:line="240" w:lineRule="auto"/>
            </w:pPr>
            <w:r>
              <w:rPr>
                <w:sz w:val="18"/>
              </w:rPr>
              <w:t>Jose, P&amp;R</w:t>
            </w:r>
          </w:p>
        </w:tc>
        <w:tc>
          <w:tcPr>
            <w:tcW w:type="dxa" w:w="2268"/>
            <w:vAlign w:val="top"/>
          </w:tcPr>
          <w:p>
            <w:pPr>
              <w:spacing w:before="0" w:after="0" w:line="240" w:lineRule="auto"/>
            </w:pPr>
            <w:r>
              <w:rPr>
                <w:sz w:val="18"/>
              </w:rPr>
              <w:t>the pull is only as good as what Programs put in</w:t>
            </w:r>
          </w:p>
        </w:tc>
      </w:tr>
      <w:tr>
        <w:trPr>
          <w:cantSplit/>
        </w:trPr>
        <w:tc>
          <w:tcPr>
            <w:tcW w:type="dxa" w:w="567"/>
            <w:vAlign w:val="top"/>
          </w:tcPr>
          <w:p>
            <w:pPr>
              <w:spacing w:before="0" w:after="0" w:line="240" w:lineRule="auto"/>
            </w:pPr>
            <w:r>
              <w:rPr>
                <w:b/>
                <w:sz w:val="18"/>
              </w:rPr>
              <w:t>P5</w:t>
            </w:r>
          </w:p>
        </w:tc>
        <w:tc>
          <w:tcPr>
            <w:tcW w:type="dxa" w:w="4309"/>
            <w:vAlign w:val="top"/>
          </w:tcPr>
          <w:p>
            <w:pPr>
              <w:spacing w:before="0" w:after="0" w:line="240" w:lineRule="auto"/>
            </w:pPr>
            <w:r>
              <w:rPr>
                <w:sz w:val="18"/>
              </w:rPr>
              <w:t>Prompt tuning per result type: on the sample tested, some evidence-bearing KPIs fell back to the template (“model returned no usable results”); surface the raw answer for debugging and tune the capacity-sharing and custom prompts</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Jose</w:t>
            </w:r>
          </w:p>
        </w:tc>
        <w:tc>
          <w:tcPr>
            <w:tcW w:type="dxa" w:w="2268"/>
            <w:vAlign w:val="top"/>
          </w:tcPr>
          <w:p>
            <w:pPr>
              <w:spacing w:before="0" w:after="0" w:line="240" w:lineRule="auto"/>
            </w:pPr>
            <w:r>
              <w:rPr>
                <w:sz w:val="18"/>
              </w:rPr>
              <w:t>cheap; one prompt version bump</w:t>
            </w:r>
          </w:p>
        </w:tc>
      </w:tr>
      <w:tr>
        <w:trPr>
          <w:cantSplit/>
        </w:trPr>
        <w:tc>
          <w:tcPr>
            <w:tcW w:type="dxa" w:w="567"/>
            <w:vAlign w:val="top"/>
          </w:tcPr>
          <w:p>
            <w:pPr>
              <w:spacing w:before="0" w:after="0" w:line="240" w:lineRule="auto"/>
            </w:pPr>
            <w:r>
              <w:rPr>
                <w:b/>
                <w:sz w:val="18"/>
              </w:rPr>
              <w:t>P6</w:t>
            </w:r>
          </w:p>
        </w:tc>
        <w:tc>
          <w:tcPr>
            <w:tcW w:type="dxa" w:w="4309"/>
            <w:vAlign w:val="top"/>
          </w:tcPr>
          <w:p>
            <w:pPr>
              <w:spacing w:before="0" w:after="0" w:line="240" w:lineRule="auto"/>
            </w:pPr>
            <w:r>
              <w:rPr>
                <w:sz w:val="18"/>
              </w:rPr>
              <w:t>Rate and cost guard: the cache and the one-call-per-fingerprint rule exist; add a per-caller rate limit and a budget alarm before PROD</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Jose</w:t>
            </w:r>
          </w:p>
        </w:tc>
        <w:tc>
          <w:tcPr>
            <w:tcW w:type="dxa" w:w="2268"/>
            <w:vAlign w:val="top"/>
          </w:tcPr>
          <w:p>
            <w:pPr>
              <w:spacing w:before="0" w:after="0" w:line="240" w:lineRule="auto"/>
            </w:pPr>
            <w:r>
              <w:rPr>
                <w:sz w:val="18"/>
              </w:rPr>
              <w:t>at ≈ US$0.01 per fresh draft the exposure is small</w:t>
            </w:r>
          </w:p>
        </w:tc>
      </w:tr>
      <w:tr>
        <w:trPr>
          <w:cantSplit/>
        </w:trPr>
        <w:tc>
          <w:tcPr>
            <w:tcW w:type="dxa" w:w="567"/>
            <w:vAlign w:val="top"/>
          </w:tcPr>
          <w:p>
            <w:pPr>
              <w:spacing w:before="0" w:after="0" w:line="240" w:lineRule="auto"/>
            </w:pPr>
            <w:r>
              <w:rPr>
                <w:b/>
                <w:sz w:val="18"/>
              </w:rPr>
              <w:t>P7</w:t>
            </w:r>
          </w:p>
        </w:tc>
        <w:tc>
          <w:tcPr>
            <w:tcW w:type="dxa" w:w="4309"/>
            <w:vAlign w:val="top"/>
          </w:tcPr>
          <w:p>
            <w:pPr>
              <w:spacing w:before="0" w:after="0" w:line="240" w:lineRule="auto"/>
            </w:pPr>
            <w:r>
              <w:rPr>
                <w:sz w:val="18"/>
              </w:rPr>
              <w:t>Refresh policy: drafts differ between generations; the cache keeps them stable until evidence changes. Decide who may press Refresh and how often</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Jose with PRMS team</w:t>
            </w:r>
          </w:p>
        </w:tc>
        <w:tc>
          <w:tcPr>
            <w:tcW w:type="dxa" w:w="2268"/>
            <w:vAlign w:val="top"/>
          </w:tcPr>
          <w:p>
            <w:pPr>
              <w:spacing w:before="0" w:after="0" w:line="240" w:lineRule="auto"/>
            </w:pPr>
            <w:r>
              <w:rPr>
                <w:sz w:val="18"/>
              </w:rPr>
              <w:t>UI has the button today</w:t>
            </w:r>
          </w:p>
        </w:tc>
      </w:tr>
      <w:tr>
        <w:trPr>
          <w:cantSplit/>
        </w:trPr>
        <w:tc>
          <w:tcPr>
            <w:tcW w:type="dxa" w:w="567"/>
            <w:vAlign w:val="top"/>
          </w:tcPr>
          <w:p>
            <w:pPr>
              <w:spacing w:before="0" w:after="0" w:line="240" w:lineRule="auto"/>
            </w:pPr>
            <w:r>
              <w:rPr>
                <w:b/>
                <w:sz w:val="18"/>
              </w:rPr>
              <w:t>P8</w:t>
            </w:r>
          </w:p>
        </w:tc>
        <w:tc>
          <w:tcPr>
            <w:tcW w:type="dxa" w:w="4309"/>
            <w:vAlign w:val="top"/>
          </w:tcPr>
          <w:p>
            <w:pPr>
              <w:spacing w:before="0" w:after="0" w:line="240" w:lineRule="auto"/>
            </w:pPr>
            <w:r>
              <w:rPr>
                <w:sz w:val="18"/>
              </w:rPr>
              <w:t xml:space="preserve">Warm-up for cold KPIs (pre-draft KPIs with evidence, or PRMS calls </w:t>
            </w:r>
            <w:r>
              <w:rPr>
                <w:rFonts w:ascii="Consolas" w:hAnsi="Consolas"/>
                <w:color w:val="1F3A5F"/>
                <w:sz w:val="16"/>
              </w:rPr>
              <w:t>mode=template</w:t>
            </w:r>
            <w:r>
              <w:rPr>
                <w:sz w:val="18"/>
              </w:rPr>
              <w:t xml:space="preserve"> first) to stay well inside the 29 s limit</w:t>
            </w:r>
          </w:p>
        </w:tc>
        <w:tc>
          <w:tcPr>
            <w:tcW w:type="dxa" w:w="1134"/>
            <w:vAlign w:val="top"/>
          </w:tcPr>
          <w:p>
            <w:pPr>
              <w:spacing w:before="0" w:after="0" w:line="240" w:lineRule="auto"/>
            </w:pPr>
            <w:r>
              <w:rPr>
                <w:sz w:val="18"/>
              </w:rPr>
              <w:t>work (optional)</w:t>
            </w:r>
          </w:p>
        </w:tc>
        <w:tc>
          <w:tcPr>
            <w:tcW w:type="dxa" w:w="1361"/>
            <w:vAlign w:val="top"/>
          </w:tcPr>
          <w:p>
            <w:pPr>
              <w:spacing w:before="0" w:after="0" w:line="240" w:lineRule="auto"/>
            </w:pPr>
            <w:r>
              <w:rPr>
                <w:sz w:val="18"/>
              </w:rPr>
              <w:t>Jose</w:t>
            </w:r>
          </w:p>
        </w:tc>
        <w:tc>
          <w:tcPr>
            <w:tcW w:type="dxa" w:w="2268"/>
            <w:vAlign w:val="top"/>
          </w:tcPr>
          <w:p>
            <w:pPr>
              <w:spacing w:before="0" w:after="0" w:line="240" w:lineRule="auto"/>
            </w:pPr>
            <w:r>
              <w:rPr>
                <w:sz w:val="18"/>
              </w:rPr>
              <w:t>measured 20–22 s on a 13-item KPI</w:t>
            </w:r>
          </w:p>
        </w:tc>
      </w:tr>
    </w:tbl>
    <w:p>
      <w:pPr>
        <w:spacing w:before="0" w:after="80" w:line="240" w:lineRule="auto"/>
      </w:pPr>
    </w:p>
    <w:p>
      <w:pPr>
        <w:pStyle w:val="Heading2"/>
      </w:pPr>
      <w:bookmarkStart w:id="124" w:name="_Toc16"/>
      <w:r>
        <w:rPr/>
        <w:t>8.3 Joint</w:t>
      </w:r>
      <w:bookmarkEnd w:id="124"/>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567"/>
        <w:gridCol w:w="4309"/>
        <w:gridCol w:w="1134"/>
        <w:gridCol w:w="1361"/>
        <w:gridCol w:w="2268"/>
      </w:tblGrid>
      <w:tr>
        <w:trPr>
          <w:cantSplit/>
          <w:tblHeader/>
        </w:trPr>
        <w:tc>
          <w:tcPr>
            <w:tcW w:type="dxa" w:w="567"/>
            <w:shd w:val="clear" w:color="auto" w:fill="E8EEF4"/>
            <w:vAlign w:val="top"/>
          </w:tcPr>
          <w:p>
            <w:pPr>
              <w:keepNext/>
              <w:spacing w:before="0" w:after="0" w:line="240" w:lineRule="auto"/>
            </w:pPr>
            <w:r>
              <w:rPr>
                <w:b/>
                <w:color w:val="00477A"/>
                <w:sz w:val="18"/>
              </w:rPr>
              <w:t>#</w:t>
            </w:r>
          </w:p>
        </w:tc>
        <w:tc>
          <w:tcPr>
            <w:tcW w:type="dxa" w:w="4309"/>
            <w:shd w:val="clear" w:color="auto" w:fill="E8EEF4"/>
            <w:vAlign w:val="top"/>
          </w:tcPr>
          <w:p>
            <w:pPr>
              <w:keepNext/>
              <w:spacing w:before="0" w:after="0" w:line="240" w:lineRule="auto"/>
            </w:pPr>
            <w:r>
              <w:rPr>
                <w:b/>
                <w:color w:val="00477A"/>
                <w:sz w:val="18"/>
              </w:rPr>
              <w:t>Step</w:t>
            </w:r>
          </w:p>
        </w:tc>
        <w:tc>
          <w:tcPr>
            <w:tcW w:type="dxa" w:w="1134"/>
            <w:shd w:val="clear" w:color="auto" w:fill="E8EEF4"/>
            <w:vAlign w:val="top"/>
          </w:tcPr>
          <w:p>
            <w:pPr>
              <w:keepNext/>
              <w:spacing w:before="0" w:after="0" w:line="240" w:lineRule="auto"/>
            </w:pPr>
            <w:r>
              <w:rPr>
                <w:b/>
                <w:color w:val="00477A"/>
                <w:sz w:val="18"/>
              </w:rPr>
              <w:t>Kind</w:t>
            </w:r>
          </w:p>
        </w:tc>
        <w:tc>
          <w:tcPr>
            <w:tcW w:type="dxa" w:w="1361"/>
            <w:shd w:val="clear" w:color="auto" w:fill="E8EEF4"/>
            <w:vAlign w:val="top"/>
          </w:tcPr>
          <w:p>
            <w:pPr>
              <w:keepNext/>
              <w:spacing w:before="0" w:after="0" w:line="240" w:lineRule="auto"/>
            </w:pPr>
            <w:r>
              <w:rPr>
                <w:b/>
                <w:color w:val="00477A"/>
                <w:sz w:val="18"/>
              </w:rPr>
              <w:t>Owner</w:t>
            </w:r>
          </w:p>
        </w:tc>
        <w:tc>
          <w:tcPr>
            <w:tcW w:type="dxa" w:w="2268"/>
            <w:shd w:val="clear" w:color="auto" w:fill="E8EEF4"/>
            <w:vAlign w:val="top"/>
          </w:tcPr>
          <w:p>
            <w:pPr>
              <w:keepNext/>
              <w:spacing w:before="0" w:after="0" w:line="240" w:lineRule="auto"/>
            </w:pPr>
            <w:r>
              <w:rPr>
                <w:b/>
                <w:color w:val="00477A"/>
                <w:sz w:val="18"/>
              </w:rPr>
              <w:t>Notes</w:t>
            </w:r>
          </w:p>
        </w:tc>
      </w:tr>
      <w:tr>
        <w:trPr>
          <w:cantSplit/>
        </w:trPr>
        <w:tc>
          <w:tcPr>
            <w:tcW w:type="dxa" w:w="567"/>
            <w:vAlign w:val="top"/>
          </w:tcPr>
          <w:p>
            <w:pPr>
              <w:spacing w:before="0" w:after="0" w:line="240" w:lineRule="auto"/>
            </w:pPr>
            <w:r>
              <w:rPr>
                <w:b/>
                <w:sz w:val="18"/>
              </w:rPr>
              <w:t>J1</w:t>
            </w:r>
          </w:p>
        </w:tc>
        <w:tc>
          <w:tcPr>
            <w:tcW w:type="dxa" w:w="4309"/>
            <w:vAlign w:val="top"/>
          </w:tcPr>
          <w:p>
            <w:pPr>
              <w:spacing w:before="0" w:after="0" w:line="240" w:lineRule="auto"/>
            </w:pPr>
            <w:r>
              <w:rPr>
                <w:sz w:val="18"/>
              </w:rPr>
              <w:t>Sign off the operating model of section 2 with Nicoleta Trifa and Julien Colomer: pull, pre-fill, the user creates, PRMS unchanged</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Jose, Héctor, Ángel</w:t>
            </w:r>
          </w:p>
        </w:tc>
        <w:tc>
          <w:tcPr>
            <w:tcW w:type="dxa" w:w="2268"/>
            <w:vAlign w:val="top"/>
          </w:tcPr>
          <w:p>
            <w:pPr>
              <w:spacing w:before="0" w:after="0" w:line="240" w:lineRule="auto"/>
            </w:pPr>
            <w:r>
              <w:rPr>
                <w:sz w:val="18"/>
              </w:rPr>
              <w:t>one message, this document attached</w:t>
            </w:r>
          </w:p>
        </w:tc>
      </w:tr>
      <w:tr>
        <w:trPr>
          <w:cantSplit/>
        </w:trPr>
        <w:tc>
          <w:tcPr>
            <w:tcW w:type="dxa" w:w="567"/>
            <w:vAlign w:val="top"/>
          </w:tcPr>
          <w:p>
            <w:pPr>
              <w:spacing w:before="0" w:after="0" w:line="240" w:lineRule="auto"/>
            </w:pPr>
            <w:r>
              <w:rPr>
                <w:b/>
                <w:sz w:val="18"/>
              </w:rPr>
              <w:t>J2</w:t>
            </w:r>
          </w:p>
        </w:tc>
        <w:tc>
          <w:tcPr>
            <w:tcW w:type="dxa" w:w="4309"/>
            <w:vAlign w:val="top"/>
          </w:tcPr>
          <w:p>
            <w:pPr>
              <w:spacing w:before="0" w:after="0" w:line="240" w:lineRule="auto"/>
            </w:pPr>
            <w:r>
              <w:rPr>
                <w:sz w:val="18"/>
              </w:rPr>
              <w:t>Co-sign the FAQ and update its question 10 (“export today, automated hand-off in the future”) once the pull is on TEST</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both teams, P&amp;R</w:t>
            </w:r>
          </w:p>
        </w:tc>
        <w:tc>
          <w:tcPr>
            <w:tcW w:type="dxa" w:w="2268"/>
            <w:vAlign w:val="top"/>
          </w:tcPr>
          <w:p>
            <w:pPr>
              <w:spacing w:before="0" w:after="0" w:line="240" w:lineRule="auto"/>
            </w:pPr>
            <w:r>
              <w:rPr>
                <w:sz w:val="18"/>
              </w:rPr>
              <w:t>wording stays true meanwhile</w:t>
            </w:r>
          </w:p>
        </w:tc>
      </w:tr>
      <w:tr>
        <w:trPr>
          <w:cantSplit/>
        </w:trPr>
        <w:tc>
          <w:tcPr>
            <w:tcW w:type="dxa" w:w="567"/>
            <w:vAlign w:val="top"/>
          </w:tcPr>
          <w:p>
            <w:pPr>
              <w:spacing w:before="0" w:after="0" w:line="240" w:lineRule="auto"/>
            </w:pPr>
            <w:r>
              <w:rPr>
                <w:b/>
                <w:sz w:val="18"/>
              </w:rPr>
              <w:t>J3</w:t>
            </w:r>
          </w:p>
        </w:tc>
        <w:tc>
          <w:tcPr>
            <w:tcW w:type="dxa" w:w="4309"/>
            <w:vAlign w:val="top"/>
          </w:tcPr>
          <w:p>
            <w:pPr>
              <w:spacing w:before="0" w:after="0" w:line="240" w:lineRule="auto"/>
            </w:pPr>
            <w:r>
              <w:rPr>
                <w:sz w:val="18"/>
              </w:rPr>
              <w:t>17 September session wording: “the tracker prepares the draft; the result is created, completed and submitted in PRMS” — unchanged; the pull is mentioned as a prototype being evaluated with the PRMS team</w:t>
            </w:r>
          </w:p>
        </w:tc>
        <w:tc>
          <w:tcPr>
            <w:tcW w:type="dxa" w:w="1134"/>
            <w:vAlign w:val="top"/>
          </w:tcPr>
          <w:p>
            <w:pPr>
              <w:spacing w:before="0" w:after="0" w:line="240" w:lineRule="auto"/>
            </w:pPr>
            <w:r>
              <w:rPr>
                <w:sz w:val="18"/>
              </w:rPr>
              <w:t>decision</w:t>
            </w:r>
          </w:p>
        </w:tc>
        <w:tc>
          <w:tcPr>
            <w:tcW w:type="dxa" w:w="1361"/>
            <w:vAlign w:val="top"/>
          </w:tcPr>
          <w:p>
            <w:pPr>
              <w:spacing w:before="0" w:after="0" w:line="240" w:lineRule="auto"/>
            </w:pPr>
            <w:r>
              <w:rPr>
                <w:sz w:val="18"/>
              </w:rPr>
              <w:t>Nicoleta, Jose</w:t>
            </w:r>
          </w:p>
        </w:tc>
        <w:tc>
          <w:tcPr>
            <w:tcW w:type="dxa" w:w="2268"/>
            <w:vAlign w:val="top"/>
          </w:tcPr>
          <w:p>
            <w:pPr>
              <w:spacing w:before="0" w:after="0" w:line="240" w:lineRule="auto"/>
            </w:pPr>
            <w:r>
              <w:rPr>
                <w:sz w:val="18"/>
              </w:rPr>
              <w:t>no promise of a date</w:t>
            </w:r>
          </w:p>
        </w:tc>
      </w:tr>
      <w:tr>
        <w:trPr>
          <w:cantSplit/>
        </w:trPr>
        <w:tc>
          <w:tcPr>
            <w:tcW w:type="dxa" w:w="567"/>
            <w:vAlign w:val="top"/>
          </w:tcPr>
          <w:p>
            <w:pPr>
              <w:spacing w:before="0" w:after="0" w:line="240" w:lineRule="auto"/>
            </w:pPr>
            <w:r>
              <w:rPr>
                <w:b/>
                <w:sz w:val="18"/>
              </w:rPr>
              <w:t>J4</w:t>
            </w:r>
          </w:p>
        </w:tc>
        <w:tc>
          <w:tcPr>
            <w:tcW w:type="dxa" w:w="4309"/>
            <w:vAlign w:val="top"/>
          </w:tcPr>
          <w:p>
            <w:pPr>
              <w:spacing w:before="0" w:after="0" w:line="240" w:lineRule="auto"/>
            </w:pPr>
            <w:r>
              <w:rPr>
                <w:sz w:val="18"/>
              </w:rPr>
              <w:t>TEST first, then PROD: a dated plan once the Alliance team is free (after the week of 21–25 September)</w:t>
            </w:r>
          </w:p>
        </w:tc>
        <w:tc>
          <w:tcPr>
            <w:tcW w:type="dxa" w:w="1134"/>
            <w:vAlign w:val="top"/>
          </w:tcPr>
          <w:p>
            <w:pPr>
              <w:spacing w:before="0" w:after="0" w:line="240" w:lineRule="auto"/>
            </w:pPr>
            <w:r>
              <w:rPr>
                <w:sz w:val="18"/>
              </w:rPr>
              <w:t>decision, then work</w:t>
            </w:r>
          </w:p>
        </w:tc>
        <w:tc>
          <w:tcPr>
            <w:tcW w:type="dxa" w:w="1361"/>
            <w:vAlign w:val="top"/>
          </w:tcPr>
          <w:p>
            <w:pPr>
              <w:spacing w:before="0" w:after="0" w:line="240" w:lineRule="auto"/>
            </w:pPr>
            <w:r>
              <w:rPr>
                <w:sz w:val="18"/>
              </w:rPr>
              <w:t>Héctor, Juan Carlos, Jose</w:t>
            </w:r>
          </w:p>
        </w:tc>
        <w:tc>
          <w:tcPr>
            <w:tcW w:type="dxa" w:w="2268"/>
            <w:vAlign w:val="top"/>
          </w:tcPr>
          <w:p>
            <w:pPr>
              <w:spacing w:before="0" w:after="0" w:line="240" w:lineRule="auto"/>
            </w:pPr>
            <w:r>
              <w:rPr>
                <w:sz w:val="18"/>
              </w:rPr>
              <w:t>both APIs of the MVP, in the order the team prefers</w:t>
            </w:r>
          </w:p>
        </w:tc>
      </w:tr>
      <w:tr>
        <w:trPr>
          <w:cantSplit/>
        </w:trPr>
        <w:tc>
          <w:tcPr>
            <w:tcW w:type="dxa" w:w="567"/>
            <w:vAlign w:val="top"/>
          </w:tcPr>
          <w:p>
            <w:pPr>
              <w:spacing w:before="0" w:after="0" w:line="240" w:lineRule="auto"/>
            </w:pPr>
            <w:r>
              <w:rPr>
                <w:b/>
                <w:sz w:val="18"/>
              </w:rPr>
              <w:t>J5</w:t>
            </w:r>
          </w:p>
        </w:tc>
        <w:tc>
          <w:tcPr>
            <w:tcW w:type="dxa" w:w="4309"/>
            <w:vAlign w:val="top"/>
          </w:tcPr>
          <w:p>
            <w:pPr>
              <w:spacing w:before="0" w:after="0" w:line="240" w:lineRule="auto"/>
            </w:pPr>
            <w:r>
              <w:rPr>
                <w:sz w:val="18"/>
              </w:rPr>
              <w:t>A 30-minute joint walkthrough of the prototype and the endpoints (Juan David, Juan Carlos, Jose)</w:t>
            </w:r>
          </w:p>
        </w:tc>
        <w:tc>
          <w:tcPr>
            <w:tcW w:type="dxa" w:w="1134"/>
            <w:vAlign w:val="top"/>
          </w:tcPr>
          <w:p>
            <w:pPr>
              <w:spacing w:before="0" w:after="0" w:line="240" w:lineRule="auto"/>
            </w:pPr>
            <w:r>
              <w:rPr>
                <w:sz w:val="18"/>
              </w:rPr>
              <w:t>work</w:t>
            </w:r>
          </w:p>
        </w:tc>
        <w:tc>
          <w:tcPr>
            <w:tcW w:type="dxa" w:w="1361"/>
            <w:vAlign w:val="top"/>
          </w:tcPr>
          <w:p>
            <w:pPr>
              <w:spacing w:before="0" w:after="0" w:line="240" w:lineRule="auto"/>
            </w:pPr>
            <w:r>
              <w:rPr>
                <w:sz w:val="18"/>
              </w:rPr>
              <w:t>all</w:t>
            </w:r>
          </w:p>
        </w:tc>
        <w:tc>
          <w:tcPr>
            <w:tcW w:type="dxa" w:w="2268"/>
            <w:vAlign w:val="top"/>
          </w:tcPr>
          <w:p>
            <w:pPr>
              <w:spacing w:before="0" w:after="0" w:line="240" w:lineRule="auto"/>
            </w:pPr>
            <w:r>
              <w:rPr>
                <w:sz w:val="18"/>
              </w:rPr>
              <w:t>the diff and this guide are the agenda</w:t>
            </w:r>
          </w:p>
        </w:tc>
      </w:tr>
    </w:tbl>
    <w:p>
      <w:pPr>
        <w:spacing w:before="0" w:after="80" w:line="240" w:lineRule="auto"/>
      </w:pPr>
    </w:p>
    <w:p>
      <w:pPr>
        <w:pStyle w:val="Heading1"/>
      </w:pPr>
      <w:bookmarkStart w:id="125" w:name="_Toc17"/>
      <w:r>
        <w:rPr/>
        <w:t>9. Hosting the PRMS prototype in the cloud</w:t>
      </w:r>
      <w:bookmarkEnd w:id="125"/>
    </w:p>
    <w:p>
      <w:pPr>
        <w:keepNext/>
        <w:keepLines/>
        <w:spacing w:before="120" w:after="40"/>
        <w:jc w:val="center"/>
      </w:pPr>
      <w:r>
        <w:drawing>
          <wp:inline xmlns:a="http://schemas.openxmlformats.org/drawingml/2006/main" xmlns:pic="http://schemas.openxmlformats.org/drawingml/2006/picture">
            <wp:extent cx="5760000" cy="3840000"/>
            <wp:docPr id="12" name="Picture 12"/>
            <wp:cNvGraphicFramePr>
              <a:graphicFrameLocks noChangeAspect="1"/>
            </wp:cNvGraphicFramePr>
            <a:graphic>
              <a:graphicData uri="http://schemas.openxmlformats.org/drawingml/2006/picture">
                <pic:pic>
                  <pic:nvPicPr>
                    <pic:cNvPr id="0" name="fig-hosting.png"/>
                    <pic:cNvPicPr/>
                  </pic:nvPicPr>
                  <pic:blipFill>
                    <a:blip r:embed="rId25"/>
                    <a:stretch>
                      <a:fillRect/>
                    </a:stretch>
                  </pic:blipFill>
                  <pic:spPr>
                    <a:xfrm>
                      <a:off x="0" y="0"/>
                      <a:ext cx="5760000" cy="3840000"/>
                    </a:xfrm>
                    <a:prstGeom prst="rect"/>
                  </pic:spPr>
                </pic:pic>
              </a:graphicData>
            </a:graphic>
          </wp:inline>
        </w:drawing>
      </w:r>
    </w:p>
    <w:p>
      <w:pPr>
        <w:spacing w:before="0" w:after="200" w:line="240" w:lineRule="auto"/>
        <w:jc w:val="center"/>
      </w:pPr>
      <w:bookmarkStart w:id="126" w:name="_Fig9"/>
      <w:r>
        <w:rPr>
          <w:i/>
          <w:color w:val="555B63"/>
          <w:sz w:val="18"/>
        </w:rPr>
        <w:t>Figure 9 — A demo-grade cloud shape for the adjusted local copy: one instance, one managed database, basic-auth edge, pipeline from GitHub</w:t>
      </w:r>
      <w:bookmarkEnd w:id="126"/>
    </w:p>
    <w:p>
      <w:pPr>
        <w:keepNext/>
        <w:keepLines/>
        <w:spacing w:after="40"/>
      </w:pPr>
      <w:r>
        <w:rPr/>
        <w:t>For this round no hosted copy is needed: the Alliance receives the endpoints, this guide and the screenshots, and the prototype is demonstrated live from Jose’s own environment. Should a hosted copy become useful (for Nicoleta, or for the PRMS team to click through without a call), the assessment is:</w:t>
      </w:r>
    </w:p>
    <w:p>
      <w:pPr>
        <w:pStyle w:val="ListBullet"/>
        <w:keepLines/>
      </w:pPr>
      <w:r>
        <w:rPr>
          <w:b/>
        </w:rPr>
        <w:t>Shape.</w:t>
      </w:r>
      <w:r>
        <w:rPr/>
        <w:t xml:space="preserve"> What upstream ships is a modular monolith: the server runs either as a Node 20 container or as a Lambda behind API Gateway; the client is a static Angular build served by nginx; the database is managed MySQL. The cheapest faithful shape for a demo is one small EC2 instance (</w:t>
      </w:r>
      <w:r>
        <w:rPr>
          <w:rFonts w:ascii="Consolas" w:hAnsi="Consolas"/>
          <w:color w:val="1F3A5F"/>
          <w:sz w:val="19"/>
        </w:rPr>
        <w:t>t4g.medium</w:t>
      </w:r>
      <w:r>
        <w:rPr/>
        <w:t>) running docker-compose with four containers — web, API, normalizer, an authentication stub — a single-AZ RDS MySQL 8.0 (</w:t>
      </w:r>
      <w:r>
        <w:rPr>
          <w:rFonts w:ascii="Consolas" w:hAnsi="Consolas"/>
          <w:color w:val="1F3A5F"/>
          <w:sz w:val="19"/>
        </w:rPr>
        <w:t>db.t4g.small</w:t>
      </w:r>
      <w:r>
        <w:rPr/>
        <w:t xml:space="preserve">), an nginx or ALB edge with basic authentication and a TLS certificate on a </w:t>
      </w:r>
      <w:r>
        <w:rPr>
          <w:rFonts w:ascii="Consolas" w:hAnsi="Consolas"/>
          <w:color w:val="1F3A5F"/>
          <w:sz w:val="19"/>
        </w:rPr>
        <w:t>synapsis-analytics.com</w:t>
      </w:r>
      <w:r>
        <w:rPr/>
        <w:t xml:space="preserve"> sub-domain, and GitHub Actions deploying through an OIDC role and CloudFormation.</w:t>
      </w:r>
    </w:p>
    <w:p>
      <w:pPr>
        <w:pStyle w:val="ListBullet"/>
        <w:keepLines/>
      </w:pPr>
      <w:r>
        <w:rPr>
          <w:b/>
        </w:rPr>
        <w:t>Effort.</w:t>
      </w:r>
      <w:r>
        <w:rPr/>
        <w:t xml:space="preserve"> 1.5–2.5 days: half a day for compose, the proxy locations and the production client build; half a day for the CloudFormation, role and pipeline; half a day for the data restore and smoke test; half to one day for surprises.</w:t>
      </w:r>
    </w:p>
    <w:p>
      <w:pPr>
        <w:pStyle w:val="ListBullet"/>
        <w:keepLines/>
      </w:pPr>
      <w:r>
        <w:rPr>
          <w:b/>
        </w:rPr>
        <w:t>Cost bracket</w:t>
      </w:r>
      <w:r>
        <w:rPr/>
        <w:t xml:space="preserve"> (eu-central-1, always on): RDS ≈ US$30, instance ≈ US$27 (Fargate ≈ US$50 if preferred), ALB ≈ US$20 unless the existing edge is reused, logs and egress ≈ US$5 — </w:t>
      </w:r>
      <w:r>
        <w:rPr>
          <w:b/>
        </w:rPr>
        <w:t>≈ US$60–110 a month</w:t>
      </w:r>
      <w:r>
        <w:rPr/>
        <w:t>, ≈ US$30–40 if stopped outside demo hours.</w:t>
      </w:r>
    </w:p>
    <w:p>
      <w:pPr>
        <w:pStyle w:val="ListBullet"/>
        <w:keepLines/>
      </w:pPr>
      <w:r>
        <w:rPr>
          <w:b/>
        </w:rPr>
        <w:t>The three hard bits.</w:t>
      </w:r>
      <w:r>
        <w:rPr/>
        <w:t xml:space="preserve"> (1) The Reporting tab reads a ToC catalogue that is fed by the Alliance’s ToC tooling, not by the code base — our seed for Breeding for Tomorrow is the only source, so any “real-looking” demo beyond that program means extending the seed. (2) The database cannot be rebuilt from migrations alone; it must be restored from the current dump and only new migrations replayed. (3) Everything external is stubbed — single sign-on, CLARISA validation, CGSpace/MELSpace/WorldFish discovery, repository metadata, evidence storage, messaging, e-mail — so each is a network decision and a “this button shows an error state” caveat in the demo script; exposing the copy to Alliance colleagues also needs a governance decision on basic authentication versus single sign-on.</w:t>
      </w:r>
    </w:p>
    <w:p>
      <w:pPr>
        <w:pStyle w:val="ListBullet"/>
        <w:keepLines/>
      </w:pPr>
      <w:r>
        <w:rPr>
          <w:b/>
        </w:rPr>
        <w:t>Does PRMS’s architecture make hand-over easier?</w:t>
      </w:r>
      <w:r>
        <w:rPr/>
        <w:t xml:space="preserve"> Yes on the server side: the discovery-proxy pattern (</w:t>
      </w:r>
      <w:r>
        <w:rPr>
          <w:rFonts w:ascii="Consolas" w:hAnsi="Consolas"/>
          <w:color w:val="1F3A5F"/>
          <w:sz w:val="19"/>
        </w:rPr>
        <w:t>cgspace-discovery</w:t>
      </w:r>
      <w:r>
        <w:rPr/>
        <w:t xml:space="preserve">) is a clean, self-contained “external source” module that a </w:t>
      </w:r>
      <w:r>
        <w:rPr>
          <w:rFonts w:ascii="Consolas" w:hAnsi="Consolas"/>
          <w:color w:val="1F3A5F"/>
          <w:sz w:val="19"/>
        </w:rPr>
        <w:t>progress-tracker</w:t>
      </w:r>
      <w:r>
        <w:rPr/>
        <w:t xml:space="preserve"> module copies one to one, and the framework create endpoint already accepts the indicator context, so no schema change was needed. Less so on the client: the Report form is one large component with the knowledge-product-only tab pair, so adding a source for non-KP result types is a small structural change to that form — kept tagged and hand-over friendly as a single pull request.</w:t>
      </w:r>
    </w:p>
    <w:p>
      <w:pPr>
        <w:pStyle w:val="Heading1"/>
      </w:pPr>
      <w:bookmarkStart w:id="127" w:name="_Toc18"/>
      <w:r>
        <w:rPr/>
        <w:t>Annex A — Glossary</w:t>
      </w:r>
      <w:bookmarkEnd w:id="127"/>
    </w:p>
    <w:tbl>
      <w:tblPr>
        <w:tblW w:type="dxa" w:w="9637"/>
        <w:jc w:val="center"/>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Layout w:type="fixed"/>
        <w:tblLayout w:type="fixed"/>
        <w:tblCellMar>
          <w:top w:w="50" w:type="dxa"/>
          <w:left w:w="90" w:type="dxa"/>
          <w:bottom w:w="50" w:type="dxa"/>
          <w:right w:w="90" w:type="dxa"/>
        </w:tblCellMar>
        <w:tblLook w:firstColumn="1" w:firstRow="1" w:lastColumn="0" w:lastRow="0" w:noHBand="0" w:noVBand="1" w:val="04A0"/>
      </w:tblPr>
      <w:tblGrid>
        <w:gridCol w:w="2268"/>
        <w:gridCol w:w="7370"/>
      </w:tblGrid>
      <w:tr>
        <w:trPr>
          <w:cantSplit/>
          <w:tblHeader/>
        </w:trPr>
        <w:tc>
          <w:tcPr>
            <w:tcW w:type="dxa" w:w="2268"/>
            <w:shd w:val="clear" w:color="auto" w:fill="E8EEF4"/>
            <w:vAlign w:val="top"/>
          </w:tcPr>
          <w:p>
            <w:pPr>
              <w:keepNext/>
              <w:spacing w:before="0" w:after="0" w:line="240" w:lineRule="auto"/>
            </w:pPr>
            <w:r>
              <w:rPr>
                <w:b/>
                <w:color w:val="00477A"/>
                <w:sz w:val="19"/>
              </w:rPr>
              <w:t>Term</w:t>
            </w:r>
          </w:p>
        </w:tc>
        <w:tc>
          <w:tcPr>
            <w:tcW w:type="dxa" w:w="7370"/>
            <w:shd w:val="clear" w:color="auto" w:fill="E8EEF4"/>
            <w:vAlign w:val="top"/>
          </w:tcPr>
          <w:p>
            <w:pPr>
              <w:keepNext/>
              <w:spacing w:before="0" w:after="0" w:line="240" w:lineRule="auto"/>
            </w:pPr>
            <w:r>
              <w:rPr>
                <w:b/>
                <w:color w:val="00477A"/>
                <w:sz w:val="19"/>
              </w:rPr>
              <w:t>Meaning in this document</w:t>
            </w:r>
          </w:p>
        </w:tc>
      </w:tr>
      <w:tr>
        <w:trPr>
          <w:cantSplit/>
        </w:trPr>
        <w:tc>
          <w:tcPr>
            <w:tcW w:type="dxa" w:w="2268"/>
            <w:vAlign w:val="top"/>
          </w:tcPr>
          <w:p>
            <w:pPr>
              <w:spacing w:before="0" w:after="0" w:line="240" w:lineRule="auto"/>
            </w:pPr>
            <w:r>
              <w:rPr>
                <w:sz w:val="19"/>
              </w:rPr>
              <w:t>Progress Tracker</w:t>
            </w:r>
          </w:p>
        </w:tc>
        <w:tc>
          <w:tcPr>
            <w:tcW w:type="dxa" w:w="7370"/>
            <w:vAlign w:val="top"/>
          </w:tcPr>
          <w:p>
            <w:pPr>
              <w:spacing w:before="0" w:after="0" w:line="240" w:lineRule="auto"/>
            </w:pPr>
            <w:r>
              <w:rPr>
                <w:sz w:val="19"/>
              </w:rPr>
              <w:t>The CGIAR Progress Tracking Solution: optional, year-round evidence capture against PORB KPIs for Programs and Accelerators (pooled W1/W2)</w:t>
            </w:r>
          </w:p>
        </w:tc>
      </w:tr>
      <w:tr>
        <w:trPr>
          <w:cantSplit/>
        </w:trPr>
        <w:tc>
          <w:tcPr>
            <w:tcW w:type="dxa" w:w="2268"/>
            <w:vAlign w:val="top"/>
          </w:tcPr>
          <w:p>
            <w:pPr>
              <w:spacing w:before="0" w:after="0" w:line="240" w:lineRule="auto"/>
            </w:pPr>
            <w:r>
              <w:rPr>
                <w:sz w:val="19"/>
              </w:rPr>
              <w:t>Interoperability API</w:t>
            </w:r>
          </w:p>
        </w:tc>
        <w:tc>
          <w:tcPr>
            <w:tcW w:type="dxa" w:w="7370"/>
            <w:vAlign w:val="top"/>
          </w:tcPr>
          <w:p>
            <w:pPr>
              <w:spacing w:before="0" w:after="0" w:line="240" w:lineRule="auto"/>
            </w:pPr>
            <w:r>
              <w:rPr>
                <w:sz w:val="19"/>
              </w:rPr>
              <w:t>The Progress Tracker’s public API (AWS Lambda + API Gateway, eu-central-1) used by Centers’ MEL systems and, now, by PRMS</w:t>
            </w:r>
          </w:p>
        </w:tc>
      </w:tr>
      <w:tr>
        <w:trPr>
          <w:cantSplit/>
        </w:trPr>
        <w:tc>
          <w:tcPr>
            <w:tcW w:type="dxa" w:w="2268"/>
            <w:vAlign w:val="top"/>
          </w:tcPr>
          <w:p>
            <w:pPr>
              <w:spacing w:before="0" w:after="0" w:line="240" w:lineRule="auto"/>
            </w:pPr>
            <w:r>
              <w:rPr>
                <w:sz w:val="19"/>
              </w:rPr>
              <w:t>Pull</w:t>
            </w:r>
          </w:p>
        </w:tc>
        <w:tc>
          <w:tcPr>
            <w:tcW w:type="dxa" w:w="7370"/>
            <w:vAlign w:val="top"/>
          </w:tcPr>
          <w:p>
            <w:pPr>
              <w:spacing w:before="0" w:after="0" w:line="240" w:lineRule="auto"/>
            </w:pPr>
            <w:r>
              <w:rPr>
                <w:sz w:val="19"/>
              </w:rPr>
              <w:t>PRMS asks the Progress Tracker for proposals when a user reports; nothing is pushed into PRMS</w:t>
            </w:r>
          </w:p>
        </w:tc>
      </w:tr>
      <w:tr>
        <w:trPr>
          <w:cantSplit/>
        </w:trPr>
        <w:tc>
          <w:tcPr>
            <w:tcW w:type="dxa" w:w="2268"/>
            <w:vAlign w:val="top"/>
          </w:tcPr>
          <w:p>
            <w:pPr>
              <w:spacing w:before="0" w:after="0" w:line="240" w:lineRule="auto"/>
            </w:pPr>
            <w:r>
              <w:rPr>
                <w:sz w:val="19"/>
              </w:rPr>
              <w:t>Push (on-ramp door)</w:t>
            </w:r>
          </w:p>
        </w:tc>
        <w:tc>
          <w:tcPr>
            <w:tcW w:type="dxa" w:w="7370"/>
            <w:vAlign w:val="top"/>
          </w:tcPr>
          <w:p>
            <w:pPr>
              <w:spacing w:before="0" w:after="0" w:line="240" w:lineRule="auto"/>
            </w:pPr>
            <w:r>
              <w:rPr>
                <w:sz w:val="19"/>
              </w:rPr>
              <w:t>The Progress Tracker creates a draft result in PRMS through PRMS’s ingestion API with a platform key — the July concept, item (a) of the 15 September MVP</w:t>
            </w:r>
          </w:p>
        </w:tc>
      </w:tr>
      <w:tr>
        <w:trPr>
          <w:cantSplit/>
        </w:trPr>
        <w:tc>
          <w:tcPr>
            <w:tcW w:type="dxa" w:w="2268"/>
            <w:vAlign w:val="top"/>
          </w:tcPr>
          <w:p>
            <w:pPr>
              <w:spacing w:before="0" w:after="0" w:line="240" w:lineRule="auto"/>
            </w:pPr>
            <w:r>
              <w:rPr>
                <w:sz w:val="19"/>
              </w:rPr>
              <w:t>KPI · indicator</w:t>
            </w:r>
          </w:p>
        </w:tc>
        <w:tc>
          <w:tcPr>
            <w:tcW w:type="dxa" w:w="7370"/>
            <w:vAlign w:val="top"/>
          </w:tcPr>
          <w:p>
            <w:pPr>
              <w:spacing w:before="0" w:after="0" w:line="240" w:lineRule="auto"/>
            </w:pPr>
            <w:r>
              <w:rPr>
                <w:sz w:val="19"/>
              </w:rPr>
              <w:t xml:space="preserve">One PORB row (program, area of work, Center, high-level output, description, type, target); </w:t>
            </w:r>
            <w:r>
              <w:rPr>
                <w:rFonts w:ascii="Consolas" w:hAnsi="Consolas"/>
                <w:color w:val="1F3A5F"/>
                <w:sz w:val="17"/>
              </w:rPr>
              <w:t>indicator_id</w:t>
            </w:r>
            <w:r>
              <w:rPr>
                <w:sz w:val="19"/>
              </w:rPr>
              <w:t xml:space="preserve"> is its 12-character key in the Progress Tracker</w:t>
            </w:r>
          </w:p>
        </w:tc>
      </w:tr>
      <w:tr>
        <w:trPr>
          <w:cantSplit/>
        </w:trPr>
        <w:tc>
          <w:tcPr>
            <w:tcW w:type="dxa" w:w="2268"/>
            <w:vAlign w:val="top"/>
          </w:tcPr>
          <w:p>
            <w:pPr>
              <w:spacing w:before="0" w:after="0" w:line="240" w:lineRule="auto"/>
            </w:pPr>
            <w:r>
              <w:rPr>
                <w:sz w:val="19"/>
              </w:rPr>
              <w:t>PORB</w:t>
            </w:r>
          </w:p>
        </w:tc>
        <w:tc>
          <w:tcPr>
            <w:tcW w:type="dxa" w:w="7370"/>
            <w:vAlign w:val="top"/>
          </w:tcPr>
          <w:p>
            <w:pPr>
              <w:spacing w:before="0" w:after="0" w:line="240" w:lineRule="auto"/>
            </w:pPr>
            <w:r>
              <w:rPr>
                <w:sz w:val="19"/>
              </w:rPr>
              <w:t>Plan of Results and Budget — the one-year slice of the Theory of Change from which both systems take their KPIs</w:t>
            </w:r>
          </w:p>
        </w:tc>
      </w:tr>
      <w:tr>
        <w:trPr>
          <w:cantSplit/>
        </w:trPr>
        <w:tc>
          <w:tcPr>
            <w:tcW w:type="dxa" w:w="2268"/>
            <w:vAlign w:val="top"/>
          </w:tcPr>
          <w:p>
            <w:pPr>
              <w:spacing w:before="0" w:after="0" w:line="240" w:lineRule="auto"/>
            </w:pPr>
            <w:r>
              <w:rPr>
                <w:sz w:val="19"/>
              </w:rPr>
              <w:t>Draft · proposal</w:t>
            </w:r>
          </w:p>
        </w:tc>
        <w:tc>
          <w:tcPr>
            <w:tcW w:type="dxa" w:w="7370"/>
            <w:vAlign w:val="top"/>
          </w:tcPr>
          <w:p>
            <w:pPr>
              <w:spacing w:before="0" w:after="0" w:line="240" w:lineRule="auto"/>
            </w:pPr>
            <w:r>
              <w:rPr>
                <w:sz w:val="19"/>
              </w:rPr>
              <w:t>One PRMS-shaped result the API proposes for a KPI, drafted by a small model from the evidence attached to that KPI</w:t>
            </w:r>
          </w:p>
        </w:tc>
      </w:tr>
      <w:tr>
        <w:trPr>
          <w:cantSplit/>
        </w:trPr>
        <w:tc>
          <w:tcPr>
            <w:tcW w:type="dxa" w:w="2268"/>
            <w:vAlign w:val="top"/>
          </w:tcPr>
          <w:p>
            <w:pPr>
              <w:spacing w:before="0" w:after="0" w:line="240" w:lineRule="auto"/>
            </w:pPr>
            <w:r>
              <w:rPr>
                <w:sz w:val="19"/>
              </w:rPr>
              <w:t>Template</w:t>
            </w:r>
          </w:p>
        </w:tc>
        <w:tc>
          <w:tcPr>
            <w:tcW w:type="dxa" w:w="7370"/>
            <w:vAlign w:val="top"/>
          </w:tcPr>
          <w:p>
            <w:pPr>
              <w:spacing w:before="0" w:after="0" w:line="240" w:lineRule="auto"/>
            </w:pPr>
            <w:r>
              <w:rPr>
                <w:sz w:val="19"/>
              </w:rPr>
              <w:t>The placeholder returned when a KPI has no evidence or drafting failed; always available, never cached</w:t>
            </w:r>
          </w:p>
        </w:tc>
      </w:tr>
      <w:tr>
        <w:trPr>
          <w:cantSplit/>
        </w:trPr>
        <w:tc>
          <w:tcPr>
            <w:tcW w:type="dxa" w:w="2268"/>
            <w:vAlign w:val="top"/>
          </w:tcPr>
          <w:p>
            <w:pPr>
              <w:spacing w:before="0" w:after="0" w:line="240" w:lineRule="auto"/>
            </w:pPr>
            <w:r>
              <w:rPr>
                <w:sz w:val="19"/>
              </w:rPr>
              <w:t>Evidence fingerprint</w:t>
            </w:r>
          </w:p>
        </w:tc>
        <w:tc>
          <w:tcPr>
            <w:tcW w:type="dxa" w:w="7370"/>
            <w:vAlign w:val="top"/>
          </w:tcPr>
          <w:p>
            <w:pPr>
              <w:spacing w:before="0" w:after="0" w:line="240" w:lineRule="auto"/>
            </w:pPr>
            <w:r>
              <w:rPr>
                <w:sz w:val="19"/>
              </w:rPr>
              <w:t>A hash of the evidence a draft was made from; the cache key and the duplicate-detection key</w:t>
            </w:r>
          </w:p>
        </w:tc>
      </w:tr>
      <w:tr>
        <w:trPr>
          <w:cantSplit/>
        </w:trPr>
        <w:tc>
          <w:tcPr>
            <w:tcW w:type="dxa" w:w="2268"/>
            <w:vAlign w:val="top"/>
          </w:tcPr>
          <w:p>
            <w:pPr>
              <w:spacing w:before="0" w:after="0" w:line="240" w:lineRule="auto"/>
            </w:pPr>
            <w:r>
              <w:rPr>
                <w:sz w:val="19"/>
              </w:rPr>
              <w:t>Editing</w:t>
            </w:r>
          </w:p>
        </w:tc>
        <w:tc>
          <w:tcPr>
            <w:tcW w:type="dxa" w:w="7370"/>
            <w:vAlign w:val="top"/>
          </w:tcPr>
          <w:p>
            <w:pPr>
              <w:spacing w:before="0" w:after="0" w:line="240" w:lineRule="auto"/>
            </w:pPr>
            <w:r>
              <w:rPr>
                <w:sz w:val="19"/>
              </w:rPr>
              <w:t>PRMS’s status for a result created but not yet submitted; where a result lands when a user presses Create</w:t>
            </w:r>
          </w:p>
        </w:tc>
      </w:tr>
      <w:tr>
        <w:trPr>
          <w:cantSplit/>
        </w:trPr>
        <w:tc>
          <w:tcPr>
            <w:tcW w:type="dxa" w:w="2268"/>
            <w:vAlign w:val="top"/>
          </w:tcPr>
          <w:p>
            <w:pPr>
              <w:spacing w:before="0" w:after="0" w:line="240" w:lineRule="auto"/>
            </w:pPr>
            <w:r>
              <w:rPr>
                <w:sz w:val="19"/>
              </w:rPr>
              <w:t>Adjusted local copy</w:t>
            </w:r>
          </w:p>
        </w:tc>
        <w:tc>
          <w:tcPr>
            <w:tcW w:type="dxa" w:w="7370"/>
            <w:vAlign w:val="top"/>
          </w:tcPr>
          <w:p>
            <w:pPr>
              <w:spacing w:before="0" w:after="0" w:line="240" w:lineRule="auto"/>
            </w:pPr>
            <w:r>
              <w:rPr>
                <w:sz w:val="19"/>
              </w:rPr>
              <w:t>The PRMS Reporting Tool and normalizer run locally from the public repositories, on synthetic and public reference data, with no connection to any CGIAR system</w:t>
            </w:r>
          </w:p>
        </w:tc>
      </w:tr>
    </w:tbl>
    <w:p>
      <w:pPr>
        <w:spacing w:before="0" w:after="80" w:line="240" w:lineRule="auto"/>
      </w:pPr>
    </w:p>
    <w:p>
      <w:pPr>
        <w:pStyle w:val="Heading1"/>
      </w:pPr>
      <w:bookmarkStart w:id="128" w:name="_Toc19"/>
      <w:r>
        <w:rPr/>
        <w:t>Annex B — Sources and references</w:t>
      </w:r>
      <w:bookmarkEnd w:id="128"/>
    </w:p>
    <w:p>
      <w:pPr>
        <w:pStyle w:val="ListBullet"/>
        <w:keepLines/>
      </w:pPr>
      <w:r>
        <w:rPr/>
        <w:t xml:space="preserve">Jose’s two documents already with the Alliance: </w:t>
      </w:r>
      <w:r>
        <w:rPr>
          <w:i/>
        </w:rPr>
        <w:t>Progress Tracker → PRMS on-ramp: the record, the five questions, and a proposed way forward</w:t>
      </w:r>
      <w:r>
        <w:rPr/>
        <w:t xml:space="preserve"> (15 September 2026) and </w:t>
      </w:r>
      <w:r>
        <w:rPr>
          <w:i/>
        </w:rPr>
        <w:t>The CGIAR Progress Tracking Solution &amp; PRMS — Frequently Asked Questions</w:t>
      </w:r>
      <w:r>
        <w:rPr/>
        <w:t xml:space="preserve"> (July 2026, draft pending endorsement).</w:t>
      </w:r>
    </w:p>
    <w:p>
      <w:pPr>
        <w:pStyle w:val="ListBullet"/>
        <w:keepLines/>
      </w:pPr>
      <w:r>
        <w:rPr/>
        <w:t>Call of 15 September 2026, “Re: W1/W2 results to PRMS through API” (31 min, recorded and transcribed by Ángel Jarrín): Héctor Tobón, Juan Carlos Cadavid, Juan David Delgado, Ángel Jarrín, Jose Berenguer.</w:t>
      </w:r>
    </w:p>
    <w:p>
      <w:pPr>
        <w:pStyle w:val="ListBullet"/>
        <w:keepLines/>
      </w:pPr>
      <w:r>
        <w:rPr/>
        <w:t xml:space="preserve">Interoperability API repository </w:t>
      </w:r>
      <w:r>
        <w:rPr>
          <w:rFonts w:ascii="Consolas" w:hAnsi="Consolas"/>
          <w:color w:val="1F3A5F"/>
          <w:sz w:val="19"/>
        </w:rPr>
        <w:t>cgiar-ppu/progress-tracker-interoperability-api</w:t>
      </w:r>
      <w:r>
        <w:rPr/>
        <w:t xml:space="preserve">: pull requests #101 and #102, </w:t>
      </w:r>
      <w:r>
        <w:rPr>
          <w:rFonts w:ascii="Consolas" w:hAnsi="Consolas"/>
          <w:color w:val="1F3A5F"/>
          <w:sz w:val="19"/>
        </w:rPr>
        <w:t>docs/PRMS-PULL.md</w:t>
      </w:r>
      <w:r>
        <w:rPr/>
        <w:t xml:space="preserve"> (the contract), </w:t>
      </w:r>
      <w:r>
        <w:rPr>
          <w:rFonts w:ascii="Consolas" w:hAnsi="Consolas"/>
          <w:color w:val="1F3A5F"/>
          <w:sz w:val="19"/>
        </w:rPr>
        <w:t>main</w:t>
      </w:r>
      <w:r>
        <w:rPr/>
        <w:t xml:space="preserve"> at </w:t>
      </w:r>
      <w:r>
        <w:rPr>
          <w:rFonts w:ascii="Consolas" w:hAnsi="Consolas"/>
          <w:color w:val="1F3A5F"/>
          <w:sz w:val="19"/>
        </w:rPr>
        <w:t>02270e55</w:t>
      </w:r>
      <w:r>
        <w:rPr/>
        <w:t>.</w:t>
      </w:r>
    </w:p>
    <w:p>
      <w:pPr>
        <w:pStyle w:val="ListBullet"/>
        <w:keepLines/>
      </w:pPr>
      <w:r>
        <w:rPr/>
        <w:t xml:space="preserve">Interactive documentation: </w:t>
      </w:r>
      <w:r>
        <w:rPr>
          <w:rFonts w:ascii="Consolas" w:hAnsi="Consolas"/>
          <w:color w:val="1F3A5F"/>
          <w:sz w:val="19"/>
        </w:rPr>
        <w:t>https://mrl8hgyyye.execute-api.eu-central-1.amazonaws.com/dev/docs</w:t>
      </w:r>
      <w:r>
        <w:rPr/>
        <w:t xml:space="preserve"> and </w:t>
      </w:r>
      <w:r>
        <w:rPr>
          <w:rFonts w:ascii="Consolas" w:hAnsi="Consolas"/>
          <w:color w:val="1F3A5F"/>
          <w:sz w:val="19"/>
        </w:rPr>
        <w:t>https://seyxtu7vha.execute-api.eu-central-1.amazonaws.com/staging/docs</w:t>
      </w:r>
      <w:r>
        <w:rPr/>
        <w:t>.</w:t>
      </w:r>
    </w:p>
    <w:p>
      <w:pPr>
        <w:pStyle w:val="ListBullet"/>
        <w:keepLines/>
      </w:pPr>
      <w:r>
        <w:rPr/>
        <w:t xml:space="preserve">PRMS team’s recent work this prototype relies on: per-tool, per-environment API keys (27 August) and </w:t>
      </w:r>
      <w:r>
        <w:rPr>
          <w:rFonts w:ascii="Consolas" w:hAnsi="Consolas"/>
          <w:color w:val="1F3A5F"/>
          <w:sz w:val="19"/>
        </w:rPr>
        <w:t>keep_editing</w:t>
      </w:r>
      <w:r>
        <w:rPr/>
        <w:t xml:space="preserve"> (10 September) on the push door; the 2026 Reporting tab and its Report form, on which the Progress Tracker source sits.</w:t>
      </w:r>
    </w:p>
    <w:sectPr w:rsidR="00FC693F" w:rsidRPr="0006063C" w:rsidSect="00034616">
      <w:headerReference w:type="default" r:id="rId9"/>
      <w:footerReference w:type="default" r:id="rId10"/>
      <w:footerReference w:type="first" r:id="rId11"/>
      <w:headerReference w:type="first" r:id="rId12"/>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3"/>
        <w:sz w:val="17"/>
      </w:rPr>
      <w:t xml:space="preserve">Page </w:t>
    </w:r>
    <w:fldSimple w:instr=" PAGE ">
      <w:r>
        <w:rPr>
          <w:sz w:val="17"/>
          <w:color w:val="555B63"/>
        </w:rPr>
        <w:t>1</w:t>
      </w:r>
    </w:fldSimple>
    <w:r>
      <w:rPr>
        <w:color w:val="555B63"/>
        <w:sz w:val="17"/>
      </w:rPr>
      <w:t xml:space="preserve"> of </w:t>
    </w:r>
    <w:fldSimple w:instr=" NUMPAGES ">
      <w:r>
        <w:rPr>
          <w:sz w:val="17"/>
          <w:color w:val="555B63"/>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3"/>
        <w:sz w:val="17"/>
      </w:rPr>
      <w:t xml:space="preserve">Page </w:t>
    </w:r>
    <w:fldSimple w:instr=" PAGE ">
      <w:r>
        <w:rPr>
          <w:sz w:val="17"/>
          <w:color w:val="555B63"/>
        </w:rPr>
        <w:t>1</w:t>
      </w:r>
    </w:fldSimple>
    <w:r>
      <w:rPr>
        <w:color w:val="555B63"/>
        <w:sz w:val="17"/>
      </w:rPr>
      <w:t xml:space="preserve"> of </w:t>
    </w:r>
    <w:fldSimple w:instr=" NUMPAGES ">
      <w:r>
        <w:rPr>
          <w:sz w:val="17"/>
          <w:color w:val="555B6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D0D7DE"/>
      </w:pBdr>
      <w:jc w:val="right"/>
    </w:pPr>
    <w:r>
      <w:rPr>
        <w:color w:val="555B63"/>
        <w:sz w:val="17"/>
      </w:rPr>
      <w:t>PRMS ⇄ Progress Tracker · the pull bridge · 15 September 2026 · v1.0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color w:val="00477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0047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eastAsia="Calibri" w:cs="Calibri"/>
      <w:b/>
      <w:color w:val="00477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eastAsia="Calibri" w:cs="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mrl8hgyyye.execute-api.eu-central-1.amazonaws.com/dev/docs"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