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CF602" w14:textId="77777777" w:rsidR="00BE61B8" w:rsidRDefault="00BE61B8" w:rsidP="00BE61B8">
      <w:pPr>
        <w:rPr>
          <w:b/>
          <w:sz w:val="28"/>
          <w:szCs w:val="28"/>
        </w:rPr>
      </w:pPr>
    </w:p>
    <w:p w14:paraId="0A767BE1" w14:textId="77777777" w:rsidR="009567DB" w:rsidRDefault="009567DB" w:rsidP="00BE61B8">
      <w:pPr>
        <w:rPr>
          <w:b/>
          <w:sz w:val="28"/>
          <w:szCs w:val="28"/>
        </w:rPr>
      </w:pPr>
    </w:p>
    <w:p w14:paraId="7E7B0F59" w14:textId="77777777" w:rsidR="00733500" w:rsidRDefault="00733500" w:rsidP="00BE61B8">
      <w:pPr>
        <w:rPr>
          <w:b/>
          <w:sz w:val="28"/>
          <w:szCs w:val="28"/>
        </w:rPr>
      </w:pPr>
    </w:p>
    <w:p w14:paraId="5208B467" w14:textId="77777777" w:rsidR="00733500" w:rsidRDefault="00733500" w:rsidP="00BE61B8">
      <w:pPr>
        <w:rPr>
          <w:b/>
          <w:sz w:val="28"/>
          <w:szCs w:val="28"/>
        </w:rPr>
      </w:pPr>
    </w:p>
    <w:p w14:paraId="32FDC2FD" w14:textId="77777777" w:rsidR="00733500" w:rsidRDefault="00733500" w:rsidP="00BE61B8">
      <w:pPr>
        <w:rPr>
          <w:b/>
          <w:sz w:val="28"/>
          <w:szCs w:val="28"/>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567DB" w14:paraId="5CF2BC4D" w14:textId="77777777" w:rsidTr="009567DB">
        <w:tc>
          <w:tcPr>
            <w:tcW w:w="9017" w:type="dxa"/>
          </w:tcPr>
          <w:p w14:paraId="4C2E2925" w14:textId="77777777" w:rsidR="009567DB" w:rsidRDefault="009567DB" w:rsidP="00BE61B8">
            <w:pPr>
              <w:rPr>
                <w:b/>
                <w:sz w:val="28"/>
                <w:szCs w:val="28"/>
              </w:rPr>
            </w:pPr>
          </w:p>
          <w:p w14:paraId="21ED43FD" w14:textId="77777777" w:rsidR="009567DB" w:rsidRDefault="009567DB" w:rsidP="009567DB">
            <w:pPr>
              <w:jc w:val="center"/>
              <w:rPr>
                <w:b/>
                <w:sz w:val="44"/>
                <w:szCs w:val="44"/>
              </w:rPr>
            </w:pPr>
          </w:p>
          <w:p w14:paraId="265608B1" w14:textId="77777777" w:rsidR="009567DB" w:rsidRPr="009567DB" w:rsidRDefault="009567DB" w:rsidP="009567DB">
            <w:pPr>
              <w:jc w:val="center"/>
              <w:rPr>
                <w:b/>
                <w:sz w:val="44"/>
                <w:szCs w:val="44"/>
              </w:rPr>
            </w:pPr>
            <w:r w:rsidRPr="009567DB">
              <w:rPr>
                <w:b/>
                <w:sz w:val="44"/>
                <w:szCs w:val="44"/>
              </w:rPr>
              <w:t>Open Access/Open Data Implementation Plan</w:t>
            </w:r>
          </w:p>
          <w:p w14:paraId="4D984897" w14:textId="77777777" w:rsidR="009567DB" w:rsidRDefault="009567DB" w:rsidP="009567DB">
            <w:pPr>
              <w:jc w:val="center"/>
              <w:rPr>
                <w:b/>
                <w:sz w:val="28"/>
                <w:szCs w:val="28"/>
              </w:rPr>
            </w:pPr>
          </w:p>
          <w:p w14:paraId="66259DF9" w14:textId="77777777" w:rsidR="009567DB" w:rsidRPr="009567DB" w:rsidRDefault="009567DB" w:rsidP="009567DB">
            <w:pPr>
              <w:jc w:val="center"/>
              <w:rPr>
                <w:b/>
                <w:color w:val="0000FF"/>
                <w:sz w:val="40"/>
                <w:szCs w:val="40"/>
              </w:rPr>
            </w:pPr>
            <w:r>
              <w:rPr>
                <w:b/>
                <w:color w:val="0000FF"/>
                <w:sz w:val="40"/>
                <w:szCs w:val="40"/>
              </w:rPr>
              <w:t>&lt;</w:t>
            </w:r>
            <w:r w:rsidRPr="009567DB">
              <w:rPr>
                <w:b/>
                <w:color w:val="0000FF"/>
                <w:sz w:val="40"/>
                <w:szCs w:val="40"/>
              </w:rPr>
              <w:t>MEMBER CENTER</w:t>
            </w:r>
            <w:r>
              <w:rPr>
                <w:b/>
                <w:color w:val="0000FF"/>
                <w:sz w:val="40"/>
                <w:szCs w:val="40"/>
              </w:rPr>
              <w:t xml:space="preserve"> NAME&gt;</w:t>
            </w:r>
          </w:p>
          <w:p w14:paraId="4C2A407C" w14:textId="77777777" w:rsidR="009567DB" w:rsidRDefault="009567DB" w:rsidP="00BE61B8">
            <w:pPr>
              <w:rPr>
                <w:b/>
                <w:sz w:val="28"/>
                <w:szCs w:val="28"/>
              </w:rPr>
            </w:pPr>
          </w:p>
          <w:p w14:paraId="0BF8A586" w14:textId="77777777" w:rsidR="009567DB" w:rsidRDefault="009567DB" w:rsidP="00BE61B8">
            <w:pPr>
              <w:rPr>
                <w:b/>
                <w:sz w:val="28"/>
                <w:szCs w:val="28"/>
              </w:rPr>
            </w:pPr>
          </w:p>
        </w:tc>
      </w:tr>
    </w:tbl>
    <w:p w14:paraId="672EBFC5" w14:textId="77777777" w:rsidR="009567DB" w:rsidRDefault="009567DB" w:rsidP="00BE61B8">
      <w:pPr>
        <w:rPr>
          <w:b/>
          <w:sz w:val="28"/>
          <w:szCs w:val="28"/>
        </w:rPr>
      </w:pPr>
    </w:p>
    <w:p w14:paraId="077FD4B1" w14:textId="77777777" w:rsidR="009567DB" w:rsidRDefault="009567DB" w:rsidP="00BE61B8">
      <w:pPr>
        <w:rPr>
          <w:b/>
          <w:sz w:val="28"/>
          <w:szCs w:val="28"/>
        </w:rPr>
      </w:pPr>
    </w:p>
    <w:p w14:paraId="4E0F41E6" w14:textId="69C523F5" w:rsidR="009567DB" w:rsidRDefault="009567DB" w:rsidP="00BE61B8">
      <w:pPr>
        <w:jc w:val="center"/>
        <w:rPr>
          <w:b/>
          <w:sz w:val="28"/>
          <w:szCs w:val="28"/>
        </w:rPr>
      </w:pPr>
      <w:r>
        <w:rPr>
          <w:b/>
          <w:sz w:val="28"/>
          <w:szCs w:val="28"/>
        </w:rPr>
        <w:t xml:space="preserve">Version </w:t>
      </w:r>
      <w:r w:rsidR="00BB439E">
        <w:rPr>
          <w:b/>
          <w:color w:val="0000FF"/>
          <w:sz w:val="28"/>
          <w:szCs w:val="28"/>
        </w:rPr>
        <w:t>&lt;2</w:t>
      </w:r>
      <w:r w:rsidR="00E84519">
        <w:rPr>
          <w:b/>
          <w:color w:val="0000FF"/>
          <w:sz w:val="28"/>
          <w:szCs w:val="28"/>
        </w:rPr>
        <w:t>.0</w:t>
      </w:r>
      <w:r w:rsidRPr="009567DB">
        <w:rPr>
          <w:b/>
          <w:color w:val="0000FF"/>
          <w:sz w:val="28"/>
          <w:szCs w:val="28"/>
        </w:rPr>
        <w:t>&gt;</w:t>
      </w:r>
    </w:p>
    <w:p w14:paraId="3A5FE5DA" w14:textId="77777777" w:rsidR="009567DB" w:rsidRDefault="009567DB" w:rsidP="00BE61B8">
      <w:pPr>
        <w:jc w:val="center"/>
        <w:rPr>
          <w:b/>
          <w:sz w:val="28"/>
          <w:szCs w:val="28"/>
        </w:rPr>
      </w:pPr>
    </w:p>
    <w:p w14:paraId="0C01B91C" w14:textId="77777777" w:rsidR="009567DB" w:rsidRDefault="009567DB" w:rsidP="00BE61B8">
      <w:pPr>
        <w:jc w:val="center"/>
        <w:rPr>
          <w:b/>
          <w:sz w:val="28"/>
          <w:szCs w:val="28"/>
        </w:rPr>
      </w:pPr>
      <w:r w:rsidRPr="009567DB">
        <w:rPr>
          <w:b/>
          <w:color w:val="0000FF"/>
          <w:sz w:val="28"/>
          <w:szCs w:val="28"/>
        </w:rPr>
        <w:t>&lt;Date&gt;</w:t>
      </w:r>
    </w:p>
    <w:p w14:paraId="392723A4" w14:textId="77777777" w:rsidR="009567DB" w:rsidRDefault="009567DB" w:rsidP="00BE61B8">
      <w:pPr>
        <w:jc w:val="center"/>
        <w:rPr>
          <w:b/>
          <w:sz w:val="28"/>
          <w:szCs w:val="28"/>
        </w:rPr>
      </w:pPr>
    </w:p>
    <w:p w14:paraId="2D8F1475" w14:textId="77777777" w:rsidR="009567DB" w:rsidRDefault="009567DB">
      <w:r>
        <w:br w:type="page"/>
      </w:r>
    </w:p>
    <w:p w14:paraId="6510AA16" w14:textId="77777777" w:rsidR="00BE61B8" w:rsidRDefault="00BE61B8"/>
    <w:p w14:paraId="4B5A092D" w14:textId="77777777" w:rsidR="009567DB" w:rsidRPr="00AC6A9B" w:rsidRDefault="00AC6A9B" w:rsidP="00AC6A9B">
      <w:pPr>
        <w:jc w:val="center"/>
        <w:rPr>
          <w:i/>
          <w:color w:val="0000FF"/>
          <w:u w:val="single"/>
        </w:rPr>
      </w:pPr>
      <w:r w:rsidRPr="00AC6A9B">
        <w:rPr>
          <w:i/>
          <w:color w:val="0000FF"/>
          <w:u w:val="single"/>
        </w:rPr>
        <w:t>[</w:t>
      </w:r>
      <w:r w:rsidR="009567DB" w:rsidRPr="00AC6A9B">
        <w:rPr>
          <w:i/>
          <w:color w:val="0000FF"/>
          <w:u w:val="single"/>
        </w:rPr>
        <w:t>Notes to Open Access and Open Data Team</w:t>
      </w:r>
      <w:r w:rsidRPr="00AC6A9B">
        <w:rPr>
          <w:i/>
          <w:color w:val="0000FF"/>
          <w:u w:val="single"/>
        </w:rPr>
        <w:t>]</w:t>
      </w:r>
    </w:p>
    <w:p w14:paraId="581ECE80" w14:textId="77777777" w:rsidR="009567DB" w:rsidRPr="00AC6A9B" w:rsidRDefault="009567DB">
      <w:pPr>
        <w:rPr>
          <w:i/>
          <w:color w:val="0000FF"/>
        </w:rPr>
      </w:pPr>
    </w:p>
    <w:p w14:paraId="30E4E575" w14:textId="77777777" w:rsidR="009567DB" w:rsidRPr="00AC6A9B" w:rsidRDefault="009567DB">
      <w:pPr>
        <w:rPr>
          <w:i/>
          <w:color w:val="0000FF"/>
        </w:rPr>
      </w:pPr>
      <w:r w:rsidRPr="00AC6A9B">
        <w:rPr>
          <w:i/>
          <w:color w:val="0000FF"/>
        </w:rPr>
        <w:t xml:space="preserve">[This document is a template of an Open Access/Open Data Implementation Plan document which complies with the criteria specified by the CGIAR Open Access and Data Management Policy and the CGIAR Open Access and Data Management Implementation Guidelines. The template includes instructions to authors, boilerplate text, and fields that should be replaced with the values specific to the Center/CRP. </w:t>
      </w:r>
    </w:p>
    <w:p w14:paraId="584394FD" w14:textId="77777777" w:rsidR="009567DB" w:rsidRPr="00AC6A9B" w:rsidRDefault="009567DB">
      <w:pPr>
        <w:rPr>
          <w:i/>
          <w:color w:val="0000FF"/>
        </w:rPr>
      </w:pPr>
    </w:p>
    <w:p w14:paraId="33B7A5CC" w14:textId="77777777" w:rsidR="009567DB" w:rsidRPr="00AC6A9B" w:rsidRDefault="009567DB" w:rsidP="009567DB">
      <w:pPr>
        <w:pStyle w:val="ListParagraph"/>
        <w:numPr>
          <w:ilvl w:val="0"/>
          <w:numId w:val="5"/>
        </w:numPr>
        <w:rPr>
          <w:i/>
          <w:color w:val="0000FF"/>
        </w:rPr>
      </w:pPr>
      <w:r w:rsidRPr="00AC6A9B">
        <w:rPr>
          <w:i/>
          <w:color w:val="0000FF"/>
        </w:rPr>
        <w:t xml:space="preserve">Blue italicized text enclosed in square brackets ([text]) provides instructions to the document authors or describes the intent and context for content included in the document. </w:t>
      </w:r>
    </w:p>
    <w:p w14:paraId="27604E90" w14:textId="77777777" w:rsidR="009567DB" w:rsidRPr="00AC6A9B" w:rsidRDefault="009567DB" w:rsidP="009567DB">
      <w:pPr>
        <w:pStyle w:val="ListParagraph"/>
        <w:numPr>
          <w:ilvl w:val="0"/>
          <w:numId w:val="5"/>
        </w:numPr>
        <w:rPr>
          <w:i/>
          <w:color w:val="0000FF"/>
        </w:rPr>
      </w:pPr>
      <w:r w:rsidRPr="00AC6A9B">
        <w:rPr>
          <w:i/>
          <w:color w:val="0000FF"/>
        </w:rPr>
        <w:t xml:space="preserve">Blue italicized text enclosed in angle brackets (&lt;text&gt;) indicates a field that should be replaced with information specific to a </w:t>
      </w:r>
      <w:proofErr w:type="gramStart"/>
      <w:r w:rsidRPr="00AC6A9B">
        <w:rPr>
          <w:i/>
          <w:color w:val="0000FF"/>
        </w:rPr>
        <w:t>particular Center/CRP</w:t>
      </w:r>
      <w:proofErr w:type="gramEnd"/>
      <w:r w:rsidRPr="00AC6A9B">
        <w:rPr>
          <w:i/>
          <w:color w:val="0000FF"/>
        </w:rPr>
        <w:t xml:space="preserve">. </w:t>
      </w:r>
    </w:p>
    <w:p w14:paraId="34B2C0C8" w14:textId="77777777" w:rsidR="009567DB" w:rsidRPr="00AC6A9B" w:rsidRDefault="009567DB" w:rsidP="009567DB">
      <w:pPr>
        <w:pStyle w:val="ListParagraph"/>
        <w:numPr>
          <w:ilvl w:val="0"/>
          <w:numId w:val="5"/>
        </w:numPr>
        <w:rPr>
          <w:i/>
          <w:color w:val="0000FF"/>
        </w:rPr>
      </w:pPr>
      <w:r w:rsidRPr="00AC6A9B">
        <w:rPr>
          <w:i/>
          <w:color w:val="0000FF"/>
        </w:rPr>
        <w:t>Text and tables in black are provided as boilerplate examples of wording and formats that may be used or modified as appropriate. These are offered only as suggestions to assist in developing implementation plans; they are not mandatory fields, formats, or text.</w:t>
      </w:r>
      <w:r w:rsidR="007E4EB4">
        <w:rPr>
          <w:i/>
          <w:color w:val="0000FF"/>
        </w:rPr>
        <w:t>]</w:t>
      </w:r>
      <w:r w:rsidRPr="00AC6A9B">
        <w:rPr>
          <w:i/>
          <w:color w:val="0000FF"/>
        </w:rPr>
        <w:t xml:space="preserve"> </w:t>
      </w:r>
    </w:p>
    <w:p w14:paraId="489A83A9" w14:textId="77777777" w:rsidR="009567DB" w:rsidRPr="00AC6A9B" w:rsidRDefault="009567DB" w:rsidP="009567DB">
      <w:pPr>
        <w:rPr>
          <w:i/>
          <w:color w:val="0000FF"/>
        </w:rPr>
      </w:pPr>
    </w:p>
    <w:p w14:paraId="6AB9BD6A" w14:textId="77777777" w:rsidR="009567DB" w:rsidRPr="00AC6A9B" w:rsidRDefault="007E4EB4" w:rsidP="009567DB">
      <w:pPr>
        <w:rPr>
          <w:i/>
          <w:color w:val="0000FF"/>
        </w:rPr>
      </w:pPr>
      <w:r>
        <w:rPr>
          <w:i/>
          <w:color w:val="0000FF"/>
        </w:rPr>
        <w:t>[</w:t>
      </w:r>
      <w:r w:rsidR="009567DB" w:rsidRPr="00AC6A9B">
        <w:rPr>
          <w:i/>
          <w:color w:val="0000FF"/>
        </w:rPr>
        <w:t xml:space="preserve">When using this template, the following steps are recommended: </w:t>
      </w:r>
    </w:p>
    <w:p w14:paraId="72A46F3C" w14:textId="77777777" w:rsidR="009567DB" w:rsidRPr="00AC6A9B" w:rsidRDefault="009567DB" w:rsidP="009567DB">
      <w:pPr>
        <w:rPr>
          <w:i/>
          <w:color w:val="0000FF"/>
        </w:rPr>
      </w:pPr>
    </w:p>
    <w:p w14:paraId="294C47EF" w14:textId="77777777" w:rsidR="009567DB" w:rsidRPr="00AC6A9B" w:rsidRDefault="009567DB" w:rsidP="009567DB">
      <w:pPr>
        <w:pStyle w:val="ListParagraph"/>
        <w:numPr>
          <w:ilvl w:val="0"/>
          <w:numId w:val="6"/>
        </w:numPr>
        <w:rPr>
          <w:i/>
          <w:color w:val="0000FF"/>
        </w:rPr>
      </w:pPr>
      <w:r w:rsidRPr="00AC6A9B">
        <w:rPr>
          <w:i/>
          <w:color w:val="0000FF"/>
        </w:rPr>
        <w:t xml:space="preserve">Replace all text enclosed in angle brackets </w:t>
      </w:r>
      <w:r w:rsidR="00AC6A9B" w:rsidRPr="00AC6A9B">
        <w:rPr>
          <w:i/>
          <w:color w:val="0000FF"/>
        </w:rPr>
        <w:t xml:space="preserve">(e.g. &lt;Center Name&gt;) with the correct field/document values. </w:t>
      </w:r>
    </w:p>
    <w:p w14:paraId="6E706E78" w14:textId="77777777" w:rsidR="00AC6A9B" w:rsidRPr="00AC6A9B" w:rsidRDefault="00AC6A9B" w:rsidP="009567DB">
      <w:pPr>
        <w:pStyle w:val="ListParagraph"/>
        <w:numPr>
          <w:ilvl w:val="0"/>
          <w:numId w:val="6"/>
        </w:numPr>
        <w:rPr>
          <w:i/>
          <w:color w:val="0000FF"/>
        </w:rPr>
      </w:pPr>
      <w:r w:rsidRPr="00AC6A9B">
        <w:rPr>
          <w:i/>
          <w:color w:val="0000FF"/>
        </w:rPr>
        <w:t xml:space="preserve">Modify boilerplate text as appropriate. </w:t>
      </w:r>
    </w:p>
    <w:p w14:paraId="6A4AD8D8" w14:textId="77777777" w:rsidR="00AC6A9B" w:rsidRPr="00AC6A9B" w:rsidRDefault="00AC6A9B" w:rsidP="009567DB">
      <w:pPr>
        <w:pStyle w:val="ListParagraph"/>
        <w:numPr>
          <w:ilvl w:val="0"/>
          <w:numId w:val="6"/>
        </w:numPr>
        <w:rPr>
          <w:i/>
          <w:color w:val="0000FF"/>
        </w:rPr>
      </w:pPr>
      <w:r w:rsidRPr="00AC6A9B">
        <w:rPr>
          <w:i/>
          <w:color w:val="0000FF"/>
        </w:rPr>
        <w:t xml:space="preserve">To add any new sections, ensure that the appropriate header and body text are used </w:t>
      </w:r>
      <w:proofErr w:type="gramStart"/>
      <w:r w:rsidRPr="00AC6A9B">
        <w:rPr>
          <w:i/>
          <w:color w:val="0000FF"/>
        </w:rPr>
        <w:t>in order to</w:t>
      </w:r>
      <w:proofErr w:type="gramEnd"/>
      <w:r w:rsidRPr="00AC6A9B">
        <w:rPr>
          <w:i/>
          <w:color w:val="0000FF"/>
        </w:rPr>
        <w:t xml:space="preserve"> maintain styles. Styles used for this document are: Heading 1, Heading 2, and Heading 3. Style used for boilerplate text is Normal. </w:t>
      </w:r>
    </w:p>
    <w:p w14:paraId="546DBBFF" w14:textId="77777777" w:rsidR="00AC6A9B" w:rsidRPr="00AC6A9B" w:rsidRDefault="00AC6A9B" w:rsidP="009567DB">
      <w:pPr>
        <w:pStyle w:val="ListParagraph"/>
        <w:numPr>
          <w:ilvl w:val="0"/>
          <w:numId w:val="6"/>
        </w:numPr>
        <w:rPr>
          <w:i/>
          <w:color w:val="0000FF"/>
        </w:rPr>
      </w:pPr>
      <w:r w:rsidRPr="00AC6A9B">
        <w:rPr>
          <w:i/>
          <w:color w:val="0000FF"/>
        </w:rPr>
        <w:t>Before finalizing the plan, delete this section and all author instructions.</w:t>
      </w:r>
    </w:p>
    <w:p w14:paraId="10D20433" w14:textId="77777777" w:rsidR="00AC6A9B" w:rsidRPr="00AC6A9B" w:rsidRDefault="00AC6A9B" w:rsidP="009567DB">
      <w:pPr>
        <w:pStyle w:val="ListParagraph"/>
        <w:numPr>
          <w:ilvl w:val="0"/>
          <w:numId w:val="6"/>
        </w:numPr>
        <w:rPr>
          <w:i/>
          <w:color w:val="0000FF"/>
        </w:rPr>
      </w:pPr>
      <w:r w:rsidRPr="00AC6A9B">
        <w:rPr>
          <w:i/>
          <w:color w:val="0000FF"/>
        </w:rPr>
        <w:t>To update the Table of Contents, right-click on it and select “Update field” and choose “Update entire table.”]</w:t>
      </w:r>
    </w:p>
    <w:p w14:paraId="63F7D4D8" w14:textId="77777777" w:rsidR="007E4EB4" w:rsidRDefault="007E4EB4"/>
    <w:p w14:paraId="35AD44C7" w14:textId="77777777" w:rsidR="009E3110" w:rsidRDefault="009E3110"/>
    <w:p w14:paraId="533445C2" w14:textId="03593AC0" w:rsidR="009E3110" w:rsidRPr="007E4EB4" w:rsidRDefault="007E4EB4">
      <w:pPr>
        <w:rPr>
          <w:i/>
          <w:color w:val="0000FF"/>
        </w:rPr>
      </w:pPr>
      <w:r>
        <w:rPr>
          <w:i/>
          <w:color w:val="0000FF"/>
        </w:rPr>
        <w:t>[</w:t>
      </w:r>
      <w:r w:rsidRPr="007E4EB4">
        <w:rPr>
          <w:i/>
          <w:color w:val="0000FF"/>
        </w:rPr>
        <w:t>Please note: If your Center/CRP already has an Implementation Plan (or one in development), it is not necessary to revise the plan using this template. However, please consider adding the information and detail included in the template to the Center or CRP’</w:t>
      </w:r>
      <w:r>
        <w:rPr>
          <w:i/>
          <w:color w:val="0000FF"/>
        </w:rPr>
        <w:t>s plan.]</w:t>
      </w:r>
    </w:p>
    <w:p w14:paraId="1764F78D" w14:textId="77777777" w:rsidR="007E4EB4" w:rsidRDefault="007E4EB4"/>
    <w:p w14:paraId="1779880F" w14:textId="77777777" w:rsidR="00BE61B8" w:rsidRDefault="00BE61B8">
      <w:r>
        <w:br w:type="page"/>
      </w:r>
    </w:p>
    <w:p w14:paraId="2C6564E4" w14:textId="77777777" w:rsidR="007F0178" w:rsidRDefault="007F0178"/>
    <w:sdt>
      <w:sdtPr>
        <w:rPr>
          <w:rFonts w:ascii="Calibri" w:eastAsiaTheme="minorHAnsi" w:hAnsi="Calibri" w:cstheme="minorBidi"/>
          <w:color w:val="auto"/>
          <w:sz w:val="20"/>
          <w:szCs w:val="22"/>
        </w:rPr>
        <w:id w:val="2081942467"/>
        <w:docPartObj>
          <w:docPartGallery w:val="Table of Contents"/>
          <w:docPartUnique/>
        </w:docPartObj>
      </w:sdtPr>
      <w:sdtEndPr>
        <w:rPr>
          <w:b/>
          <w:bCs/>
          <w:noProof/>
        </w:rPr>
      </w:sdtEndPr>
      <w:sdtContent>
        <w:p w14:paraId="48DC5692" w14:textId="77777777" w:rsidR="007F0178" w:rsidRDefault="007F0178">
          <w:pPr>
            <w:pStyle w:val="TOCHeading"/>
          </w:pPr>
          <w:r>
            <w:t>Table of Contents</w:t>
          </w:r>
        </w:p>
        <w:p w14:paraId="7F1A3405" w14:textId="77777777" w:rsidR="00D935F2" w:rsidRDefault="007F0178">
          <w:pPr>
            <w:pStyle w:val="TOC1"/>
            <w:tabs>
              <w:tab w:val="right" w:leader="dot" w:pos="9017"/>
            </w:tabs>
            <w:rPr>
              <w:rFonts w:asciiTheme="minorHAnsi" w:eastAsiaTheme="minorEastAsia" w:hAnsiTheme="minorHAnsi"/>
              <w:noProof/>
              <w:sz w:val="22"/>
            </w:rPr>
          </w:pPr>
          <w:r w:rsidRPr="00F74DBD">
            <w:rPr>
              <w:sz w:val="22"/>
            </w:rPr>
            <w:fldChar w:fldCharType="begin"/>
          </w:r>
          <w:r w:rsidRPr="00F74DBD">
            <w:rPr>
              <w:sz w:val="22"/>
            </w:rPr>
            <w:instrText xml:space="preserve"> TOC \o "1-3" \h \z \u </w:instrText>
          </w:r>
          <w:r w:rsidRPr="00F74DBD">
            <w:rPr>
              <w:sz w:val="22"/>
            </w:rPr>
            <w:fldChar w:fldCharType="separate"/>
          </w:r>
          <w:hyperlink w:anchor="_Toc416727069" w:history="1">
            <w:r w:rsidR="00D935F2" w:rsidRPr="00466C39">
              <w:rPr>
                <w:rStyle w:val="Hyperlink"/>
                <w:noProof/>
              </w:rPr>
              <w:t>Section 1: Introduction</w:t>
            </w:r>
            <w:r w:rsidR="00D935F2">
              <w:rPr>
                <w:noProof/>
                <w:webHidden/>
              </w:rPr>
              <w:tab/>
            </w:r>
            <w:r w:rsidR="00D935F2">
              <w:rPr>
                <w:noProof/>
                <w:webHidden/>
              </w:rPr>
              <w:fldChar w:fldCharType="begin"/>
            </w:r>
            <w:r w:rsidR="00D935F2">
              <w:rPr>
                <w:noProof/>
                <w:webHidden/>
              </w:rPr>
              <w:instrText xml:space="preserve"> PAGEREF _Toc416727069 \h </w:instrText>
            </w:r>
            <w:r w:rsidR="00D935F2">
              <w:rPr>
                <w:noProof/>
                <w:webHidden/>
              </w:rPr>
            </w:r>
            <w:r w:rsidR="00D935F2">
              <w:rPr>
                <w:noProof/>
                <w:webHidden/>
              </w:rPr>
              <w:fldChar w:fldCharType="separate"/>
            </w:r>
            <w:r w:rsidR="00D935F2">
              <w:rPr>
                <w:noProof/>
                <w:webHidden/>
              </w:rPr>
              <w:t>5</w:t>
            </w:r>
            <w:r w:rsidR="00D935F2">
              <w:rPr>
                <w:noProof/>
                <w:webHidden/>
              </w:rPr>
              <w:fldChar w:fldCharType="end"/>
            </w:r>
          </w:hyperlink>
        </w:p>
        <w:p w14:paraId="2B4AA299" w14:textId="77777777" w:rsidR="00D935F2" w:rsidRDefault="00A43D77">
          <w:pPr>
            <w:pStyle w:val="TOC2"/>
            <w:tabs>
              <w:tab w:val="right" w:leader="dot" w:pos="9017"/>
            </w:tabs>
            <w:rPr>
              <w:rFonts w:asciiTheme="minorHAnsi" w:eastAsiaTheme="minorEastAsia" w:hAnsiTheme="minorHAnsi"/>
              <w:noProof/>
              <w:sz w:val="22"/>
            </w:rPr>
          </w:pPr>
          <w:hyperlink w:anchor="_Toc416727070" w:history="1">
            <w:r w:rsidR="00D935F2" w:rsidRPr="00466C39">
              <w:rPr>
                <w:rStyle w:val="Hyperlink"/>
                <w:noProof/>
              </w:rPr>
              <w:t>1.1: Purpose of the OA/OD Implementation Plan</w:t>
            </w:r>
            <w:r w:rsidR="00D935F2">
              <w:rPr>
                <w:noProof/>
                <w:webHidden/>
              </w:rPr>
              <w:tab/>
            </w:r>
            <w:r w:rsidR="00D935F2">
              <w:rPr>
                <w:noProof/>
                <w:webHidden/>
              </w:rPr>
              <w:fldChar w:fldCharType="begin"/>
            </w:r>
            <w:r w:rsidR="00D935F2">
              <w:rPr>
                <w:noProof/>
                <w:webHidden/>
              </w:rPr>
              <w:instrText xml:space="preserve"> PAGEREF _Toc416727070 \h </w:instrText>
            </w:r>
            <w:r w:rsidR="00D935F2">
              <w:rPr>
                <w:noProof/>
                <w:webHidden/>
              </w:rPr>
            </w:r>
            <w:r w:rsidR="00D935F2">
              <w:rPr>
                <w:noProof/>
                <w:webHidden/>
              </w:rPr>
              <w:fldChar w:fldCharType="separate"/>
            </w:r>
            <w:r w:rsidR="00D935F2">
              <w:rPr>
                <w:noProof/>
                <w:webHidden/>
              </w:rPr>
              <w:t>5</w:t>
            </w:r>
            <w:r w:rsidR="00D935F2">
              <w:rPr>
                <w:noProof/>
                <w:webHidden/>
              </w:rPr>
              <w:fldChar w:fldCharType="end"/>
            </w:r>
          </w:hyperlink>
        </w:p>
        <w:p w14:paraId="694C87F1" w14:textId="77777777" w:rsidR="00D935F2" w:rsidRDefault="00A43D77">
          <w:pPr>
            <w:pStyle w:val="TOC2"/>
            <w:tabs>
              <w:tab w:val="right" w:leader="dot" w:pos="9017"/>
            </w:tabs>
            <w:rPr>
              <w:rFonts w:asciiTheme="minorHAnsi" w:eastAsiaTheme="minorEastAsia" w:hAnsiTheme="minorHAnsi"/>
              <w:noProof/>
              <w:sz w:val="22"/>
            </w:rPr>
          </w:pPr>
          <w:hyperlink w:anchor="_Toc416727071" w:history="1">
            <w:r w:rsidR="00D935F2" w:rsidRPr="00466C39">
              <w:rPr>
                <w:rStyle w:val="Hyperlink"/>
                <w:noProof/>
              </w:rPr>
              <w:t>1.2: Scope of Open Access and Definition of Openness</w:t>
            </w:r>
            <w:r w:rsidR="00D935F2">
              <w:rPr>
                <w:noProof/>
                <w:webHidden/>
              </w:rPr>
              <w:tab/>
            </w:r>
            <w:r w:rsidR="00D935F2">
              <w:rPr>
                <w:noProof/>
                <w:webHidden/>
              </w:rPr>
              <w:fldChar w:fldCharType="begin"/>
            </w:r>
            <w:r w:rsidR="00D935F2">
              <w:rPr>
                <w:noProof/>
                <w:webHidden/>
              </w:rPr>
              <w:instrText xml:space="preserve"> PAGEREF _Toc416727071 \h </w:instrText>
            </w:r>
            <w:r w:rsidR="00D935F2">
              <w:rPr>
                <w:noProof/>
                <w:webHidden/>
              </w:rPr>
            </w:r>
            <w:r w:rsidR="00D935F2">
              <w:rPr>
                <w:noProof/>
                <w:webHidden/>
              </w:rPr>
              <w:fldChar w:fldCharType="separate"/>
            </w:r>
            <w:r w:rsidR="00D935F2">
              <w:rPr>
                <w:noProof/>
                <w:webHidden/>
              </w:rPr>
              <w:t>5</w:t>
            </w:r>
            <w:r w:rsidR="00D935F2">
              <w:rPr>
                <w:noProof/>
                <w:webHidden/>
              </w:rPr>
              <w:fldChar w:fldCharType="end"/>
            </w:r>
          </w:hyperlink>
        </w:p>
        <w:p w14:paraId="380829E1" w14:textId="77777777" w:rsidR="00D935F2" w:rsidRDefault="00A43D77">
          <w:pPr>
            <w:pStyle w:val="TOC2"/>
            <w:tabs>
              <w:tab w:val="right" w:leader="dot" w:pos="9017"/>
            </w:tabs>
            <w:rPr>
              <w:rFonts w:asciiTheme="minorHAnsi" w:eastAsiaTheme="minorEastAsia" w:hAnsiTheme="minorHAnsi"/>
              <w:noProof/>
              <w:sz w:val="22"/>
            </w:rPr>
          </w:pPr>
          <w:hyperlink w:anchor="_Toc416727072" w:history="1">
            <w:r w:rsidR="00D935F2" w:rsidRPr="00466C39">
              <w:rPr>
                <w:rStyle w:val="Hyperlink"/>
                <w:noProof/>
              </w:rPr>
              <w:t>1.3: Overview of the &lt;Center/CRP&gt;</w:t>
            </w:r>
            <w:r w:rsidR="00D935F2">
              <w:rPr>
                <w:noProof/>
                <w:webHidden/>
              </w:rPr>
              <w:tab/>
            </w:r>
            <w:r w:rsidR="00D935F2">
              <w:rPr>
                <w:noProof/>
                <w:webHidden/>
              </w:rPr>
              <w:fldChar w:fldCharType="begin"/>
            </w:r>
            <w:r w:rsidR="00D935F2">
              <w:rPr>
                <w:noProof/>
                <w:webHidden/>
              </w:rPr>
              <w:instrText xml:space="preserve"> PAGEREF _Toc416727072 \h </w:instrText>
            </w:r>
            <w:r w:rsidR="00D935F2">
              <w:rPr>
                <w:noProof/>
                <w:webHidden/>
              </w:rPr>
            </w:r>
            <w:r w:rsidR="00D935F2">
              <w:rPr>
                <w:noProof/>
                <w:webHidden/>
              </w:rPr>
              <w:fldChar w:fldCharType="separate"/>
            </w:r>
            <w:r w:rsidR="00D935F2">
              <w:rPr>
                <w:noProof/>
                <w:webHidden/>
              </w:rPr>
              <w:t>6</w:t>
            </w:r>
            <w:r w:rsidR="00D935F2">
              <w:rPr>
                <w:noProof/>
                <w:webHidden/>
              </w:rPr>
              <w:fldChar w:fldCharType="end"/>
            </w:r>
          </w:hyperlink>
        </w:p>
        <w:p w14:paraId="2C3B63D9" w14:textId="77777777" w:rsidR="00D935F2" w:rsidRDefault="00A43D77">
          <w:pPr>
            <w:pStyle w:val="TOC2"/>
            <w:tabs>
              <w:tab w:val="right" w:leader="dot" w:pos="9017"/>
            </w:tabs>
            <w:rPr>
              <w:rFonts w:asciiTheme="minorHAnsi" w:eastAsiaTheme="minorEastAsia" w:hAnsiTheme="minorHAnsi"/>
              <w:noProof/>
              <w:sz w:val="22"/>
            </w:rPr>
          </w:pPr>
          <w:hyperlink w:anchor="_Toc416727073" w:history="1">
            <w:r w:rsidR="00D935F2" w:rsidRPr="00466C39">
              <w:rPr>
                <w:rStyle w:val="Hyperlink"/>
                <w:noProof/>
              </w:rPr>
              <w:t>1.4: Overview of Current OA/OD Environment at &lt;Center/CRP&gt;</w:t>
            </w:r>
            <w:r w:rsidR="00D935F2">
              <w:rPr>
                <w:noProof/>
                <w:webHidden/>
              </w:rPr>
              <w:tab/>
            </w:r>
            <w:r w:rsidR="00D935F2">
              <w:rPr>
                <w:noProof/>
                <w:webHidden/>
              </w:rPr>
              <w:fldChar w:fldCharType="begin"/>
            </w:r>
            <w:r w:rsidR="00D935F2">
              <w:rPr>
                <w:noProof/>
                <w:webHidden/>
              </w:rPr>
              <w:instrText xml:space="preserve"> PAGEREF _Toc416727073 \h </w:instrText>
            </w:r>
            <w:r w:rsidR="00D935F2">
              <w:rPr>
                <w:noProof/>
                <w:webHidden/>
              </w:rPr>
            </w:r>
            <w:r w:rsidR="00D935F2">
              <w:rPr>
                <w:noProof/>
                <w:webHidden/>
              </w:rPr>
              <w:fldChar w:fldCharType="separate"/>
            </w:r>
            <w:r w:rsidR="00D935F2">
              <w:rPr>
                <w:noProof/>
                <w:webHidden/>
              </w:rPr>
              <w:t>6</w:t>
            </w:r>
            <w:r w:rsidR="00D935F2">
              <w:rPr>
                <w:noProof/>
                <w:webHidden/>
              </w:rPr>
              <w:fldChar w:fldCharType="end"/>
            </w:r>
          </w:hyperlink>
        </w:p>
        <w:p w14:paraId="7D723DC4" w14:textId="77777777" w:rsidR="00D935F2" w:rsidRDefault="00A43D77">
          <w:pPr>
            <w:pStyle w:val="TOC2"/>
            <w:tabs>
              <w:tab w:val="right" w:leader="dot" w:pos="9017"/>
            </w:tabs>
            <w:rPr>
              <w:rFonts w:asciiTheme="minorHAnsi" w:eastAsiaTheme="minorEastAsia" w:hAnsiTheme="minorHAnsi"/>
              <w:noProof/>
              <w:sz w:val="22"/>
            </w:rPr>
          </w:pPr>
          <w:hyperlink w:anchor="_Toc416727074" w:history="1">
            <w:r w:rsidR="00D935F2" w:rsidRPr="00466C39">
              <w:rPr>
                <w:rStyle w:val="Hyperlink"/>
                <w:noProof/>
              </w:rPr>
              <w:t>1.5: Information Products and Priorities</w:t>
            </w:r>
            <w:r w:rsidR="00D935F2">
              <w:rPr>
                <w:noProof/>
                <w:webHidden/>
              </w:rPr>
              <w:tab/>
            </w:r>
            <w:r w:rsidR="00D935F2">
              <w:rPr>
                <w:noProof/>
                <w:webHidden/>
              </w:rPr>
              <w:fldChar w:fldCharType="begin"/>
            </w:r>
            <w:r w:rsidR="00D935F2">
              <w:rPr>
                <w:noProof/>
                <w:webHidden/>
              </w:rPr>
              <w:instrText xml:space="preserve"> PAGEREF _Toc416727074 \h </w:instrText>
            </w:r>
            <w:r w:rsidR="00D935F2">
              <w:rPr>
                <w:noProof/>
                <w:webHidden/>
              </w:rPr>
            </w:r>
            <w:r w:rsidR="00D935F2">
              <w:rPr>
                <w:noProof/>
                <w:webHidden/>
              </w:rPr>
              <w:fldChar w:fldCharType="separate"/>
            </w:r>
            <w:r w:rsidR="00D935F2">
              <w:rPr>
                <w:noProof/>
                <w:webHidden/>
              </w:rPr>
              <w:t>6</w:t>
            </w:r>
            <w:r w:rsidR="00D935F2">
              <w:rPr>
                <w:noProof/>
                <w:webHidden/>
              </w:rPr>
              <w:fldChar w:fldCharType="end"/>
            </w:r>
          </w:hyperlink>
        </w:p>
        <w:p w14:paraId="22B8826A" w14:textId="77777777" w:rsidR="00D935F2" w:rsidRDefault="00A43D77">
          <w:pPr>
            <w:pStyle w:val="TOC2"/>
            <w:tabs>
              <w:tab w:val="right" w:leader="dot" w:pos="9017"/>
            </w:tabs>
            <w:rPr>
              <w:rFonts w:asciiTheme="minorHAnsi" w:eastAsiaTheme="minorEastAsia" w:hAnsiTheme="minorHAnsi"/>
              <w:noProof/>
              <w:sz w:val="22"/>
            </w:rPr>
          </w:pPr>
          <w:hyperlink w:anchor="_Toc416727075" w:history="1">
            <w:r w:rsidR="00D935F2" w:rsidRPr="00466C39">
              <w:rPr>
                <w:rStyle w:val="Hyperlink"/>
                <w:noProof/>
              </w:rPr>
              <w:t>1.6: Deposit Schedules for Information Products</w:t>
            </w:r>
            <w:r w:rsidR="00D935F2">
              <w:rPr>
                <w:noProof/>
                <w:webHidden/>
              </w:rPr>
              <w:tab/>
            </w:r>
            <w:r w:rsidR="00D935F2">
              <w:rPr>
                <w:noProof/>
                <w:webHidden/>
              </w:rPr>
              <w:fldChar w:fldCharType="begin"/>
            </w:r>
            <w:r w:rsidR="00D935F2">
              <w:rPr>
                <w:noProof/>
                <w:webHidden/>
              </w:rPr>
              <w:instrText xml:space="preserve"> PAGEREF _Toc416727075 \h </w:instrText>
            </w:r>
            <w:r w:rsidR="00D935F2">
              <w:rPr>
                <w:noProof/>
                <w:webHidden/>
              </w:rPr>
            </w:r>
            <w:r w:rsidR="00D935F2">
              <w:rPr>
                <w:noProof/>
                <w:webHidden/>
              </w:rPr>
              <w:fldChar w:fldCharType="separate"/>
            </w:r>
            <w:r w:rsidR="00D935F2">
              <w:rPr>
                <w:noProof/>
                <w:webHidden/>
              </w:rPr>
              <w:t>6</w:t>
            </w:r>
            <w:r w:rsidR="00D935F2">
              <w:rPr>
                <w:noProof/>
                <w:webHidden/>
              </w:rPr>
              <w:fldChar w:fldCharType="end"/>
            </w:r>
          </w:hyperlink>
        </w:p>
        <w:p w14:paraId="1B6FD9E0" w14:textId="77777777" w:rsidR="00D935F2" w:rsidRDefault="00A43D77">
          <w:pPr>
            <w:pStyle w:val="TOC2"/>
            <w:tabs>
              <w:tab w:val="right" w:leader="dot" w:pos="9017"/>
            </w:tabs>
            <w:rPr>
              <w:rFonts w:asciiTheme="minorHAnsi" w:eastAsiaTheme="minorEastAsia" w:hAnsiTheme="minorHAnsi"/>
              <w:noProof/>
              <w:sz w:val="22"/>
            </w:rPr>
          </w:pPr>
          <w:hyperlink w:anchor="_Toc416727076" w:history="1">
            <w:r w:rsidR="00D935F2" w:rsidRPr="00466C39">
              <w:rPr>
                <w:rStyle w:val="Hyperlink"/>
                <w:noProof/>
              </w:rPr>
              <w:t>1.7: Exceptions and Extensions to the Deposit Schedules</w:t>
            </w:r>
            <w:r w:rsidR="00D935F2">
              <w:rPr>
                <w:noProof/>
                <w:webHidden/>
              </w:rPr>
              <w:tab/>
            </w:r>
            <w:r w:rsidR="00D935F2">
              <w:rPr>
                <w:noProof/>
                <w:webHidden/>
              </w:rPr>
              <w:fldChar w:fldCharType="begin"/>
            </w:r>
            <w:r w:rsidR="00D935F2">
              <w:rPr>
                <w:noProof/>
                <w:webHidden/>
              </w:rPr>
              <w:instrText xml:space="preserve"> PAGEREF _Toc416727076 \h </w:instrText>
            </w:r>
            <w:r w:rsidR="00D935F2">
              <w:rPr>
                <w:noProof/>
                <w:webHidden/>
              </w:rPr>
            </w:r>
            <w:r w:rsidR="00D935F2">
              <w:rPr>
                <w:noProof/>
                <w:webHidden/>
              </w:rPr>
              <w:fldChar w:fldCharType="separate"/>
            </w:r>
            <w:r w:rsidR="00D935F2">
              <w:rPr>
                <w:noProof/>
                <w:webHidden/>
              </w:rPr>
              <w:t>7</w:t>
            </w:r>
            <w:r w:rsidR="00D935F2">
              <w:rPr>
                <w:noProof/>
                <w:webHidden/>
              </w:rPr>
              <w:fldChar w:fldCharType="end"/>
            </w:r>
          </w:hyperlink>
        </w:p>
        <w:p w14:paraId="2D063726" w14:textId="77777777" w:rsidR="00D935F2" w:rsidRDefault="00A43D77">
          <w:pPr>
            <w:pStyle w:val="TOC1"/>
            <w:tabs>
              <w:tab w:val="right" w:leader="dot" w:pos="9017"/>
            </w:tabs>
            <w:rPr>
              <w:rFonts w:asciiTheme="minorHAnsi" w:eastAsiaTheme="minorEastAsia" w:hAnsiTheme="minorHAnsi"/>
              <w:noProof/>
              <w:sz w:val="22"/>
            </w:rPr>
          </w:pPr>
          <w:hyperlink w:anchor="_Toc416727077" w:history="1">
            <w:r w:rsidR="00D935F2" w:rsidRPr="00466C39">
              <w:rPr>
                <w:rStyle w:val="Hyperlink"/>
                <w:noProof/>
              </w:rPr>
              <w:t>Section 2: Strategy and Implementation Overview</w:t>
            </w:r>
            <w:r w:rsidR="00D935F2">
              <w:rPr>
                <w:noProof/>
                <w:webHidden/>
              </w:rPr>
              <w:tab/>
            </w:r>
            <w:r w:rsidR="00D935F2">
              <w:rPr>
                <w:noProof/>
                <w:webHidden/>
              </w:rPr>
              <w:fldChar w:fldCharType="begin"/>
            </w:r>
            <w:r w:rsidR="00D935F2">
              <w:rPr>
                <w:noProof/>
                <w:webHidden/>
              </w:rPr>
              <w:instrText xml:space="preserve"> PAGEREF _Toc416727077 \h </w:instrText>
            </w:r>
            <w:r w:rsidR="00D935F2">
              <w:rPr>
                <w:noProof/>
                <w:webHidden/>
              </w:rPr>
            </w:r>
            <w:r w:rsidR="00D935F2">
              <w:rPr>
                <w:noProof/>
                <w:webHidden/>
              </w:rPr>
              <w:fldChar w:fldCharType="separate"/>
            </w:r>
            <w:r w:rsidR="00D935F2">
              <w:rPr>
                <w:noProof/>
                <w:webHidden/>
              </w:rPr>
              <w:t>8</w:t>
            </w:r>
            <w:r w:rsidR="00D935F2">
              <w:rPr>
                <w:noProof/>
                <w:webHidden/>
              </w:rPr>
              <w:fldChar w:fldCharType="end"/>
            </w:r>
          </w:hyperlink>
        </w:p>
        <w:p w14:paraId="627E7F4D" w14:textId="77777777" w:rsidR="00D935F2" w:rsidRDefault="00A43D77">
          <w:pPr>
            <w:pStyle w:val="TOC2"/>
            <w:tabs>
              <w:tab w:val="right" w:leader="dot" w:pos="9017"/>
            </w:tabs>
            <w:rPr>
              <w:rFonts w:asciiTheme="minorHAnsi" w:eastAsiaTheme="minorEastAsia" w:hAnsiTheme="minorHAnsi"/>
              <w:noProof/>
              <w:sz w:val="22"/>
            </w:rPr>
          </w:pPr>
          <w:hyperlink w:anchor="_Toc416727078" w:history="1">
            <w:r w:rsidR="00D935F2" w:rsidRPr="00466C39">
              <w:rPr>
                <w:rStyle w:val="Hyperlink"/>
                <w:noProof/>
              </w:rPr>
              <w:t>2.1: Overview of Strategy and Approach to Implementation</w:t>
            </w:r>
            <w:r w:rsidR="00D935F2">
              <w:rPr>
                <w:noProof/>
                <w:webHidden/>
              </w:rPr>
              <w:tab/>
            </w:r>
            <w:r w:rsidR="00D935F2">
              <w:rPr>
                <w:noProof/>
                <w:webHidden/>
              </w:rPr>
              <w:fldChar w:fldCharType="begin"/>
            </w:r>
            <w:r w:rsidR="00D935F2">
              <w:rPr>
                <w:noProof/>
                <w:webHidden/>
              </w:rPr>
              <w:instrText xml:space="preserve"> PAGEREF _Toc416727078 \h </w:instrText>
            </w:r>
            <w:r w:rsidR="00D935F2">
              <w:rPr>
                <w:noProof/>
                <w:webHidden/>
              </w:rPr>
            </w:r>
            <w:r w:rsidR="00D935F2">
              <w:rPr>
                <w:noProof/>
                <w:webHidden/>
              </w:rPr>
              <w:fldChar w:fldCharType="separate"/>
            </w:r>
            <w:r w:rsidR="00D935F2">
              <w:rPr>
                <w:noProof/>
                <w:webHidden/>
              </w:rPr>
              <w:t>8</w:t>
            </w:r>
            <w:r w:rsidR="00D935F2">
              <w:rPr>
                <w:noProof/>
                <w:webHidden/>
              </w:rPr>
              <w:fldChar w:fldCharType="end"/>
            </w:r>
          </w:hyperlink>
        </w:p>
        <w:p w14:paraId="29E6864A" w14:textId="77777777" w:rsidR="00D935F2" w:rsidRDefault="00A43D77">
          <w:pPr>
            <w:pStyle w:val="TOC2"/>
            <w:tabs>
              <w:tab w:val="right" w:leader="dot" w:pos="9017"/>
            </w:tabs>
            <w:rPr>
              <w:rFonts w:asciiTheme="minorHAnsi" w:eastAsiaTheme="minorEastAsia" w:hAnsiTheme="minorHAnsi"/>
              <w:noProof/>
              <w:sz w:val="22"/>
            </w:rPr>
          </w:pPr>
          <w:hyperlink w:anchor="_Toc416727079" w:history="1">
            <w:r w:rsidR="00D935F2" w:rsidRPr="00466C39">
              <w:rPr>
                <w:rStyle w:val="Hyperlink"/>
                <w:noProof/>
              </w:rPr>
              <w:t>2.2: Goals and Objectives</w:t>
            </w:r>
            <w:r w:rsidR="00D935F2">
              <w:rPr>
                <w:noProof/>
                <w:webHidden/>
              </w:rPr>
              <w:tab/>
            </w:r>
            <w:r w:rsidR="00D935F2">
              <w:rPr>
                <w:noProof/>
                <w:webHidden/>
              </w:rPr>
              <w:fldChar w:fldCharType="begin"/>
            </w:r>
            <w:r w:rsidR="00D935F2">
              <w:rPr>
                <w:noProof/>
                <w:webHidden/>
              </w:rPr>
              <w:instrText xml:space="preserve"> PAGEREF _Toc416727079 \h </w:instrText>
            </w:r>
            <w:r w:rsidR="00D935F2">
              <w:rPr>
                <w:noProof/>
                <w:webHidden/>
              </w:rPr>
            </w:r>
            <w:r w:rsidR="00D935F2">
              <w:rPr>
                <w:noProof/>
                <w:webHidden/>
              </w:rPr>
              <w:fldChar w:fldCharType="separate"/>
            </w:r>
            <w:r w:rsidR="00D935F2">
              <w:rPr>
                <w:noProof/>
                <w:webHidden/>
              </w:rPr>
              <w:t>8</w:t>
            </w:r>
            <w:r w:rsidR="00D935F2">
              <w:rPr>
                <w:noProof/>
                <w:webHidden/>
              </w:rPr>
              <w:fldChar w:fldCharType="end"/>
            </w:r>
          </w:hyperlink>
        </w:p>
        <w:p w14:paraId="0BBA8C25" w14:textId="77777777" w:rsidR="00D935F2" w:rsidRDefault="00A43D77">
          <w:pPr>
            <w:pStyle w:val="TOC2"/>
            <w:tabs>
              <w:tab w:val="right" w:leader="dot" w:pos="9017"/>
            </w:tabs>
            <w:rPr>
              <w:rFonts w:asciiTheme="minorHAnsi" w:eastAsiaTheme="minorEastAsia" w:hAnsiTheme="minorHAnsi"/>
              <w:noProof/>
              <w:sz w:val="22"/>
            </w:rPr>
          </w:pPr>
          <w:hyperlink w:anchor="_Toc416727080" w:history="1">
            <w:r w:rsidR="00D935F2" w:rsidRPr="00466C39">
              <w:rPr>
                <w:rStyle w:val="Hyperlink"/>
                <w:noProof/>
              </w:rPr>
              <w:t>2.3: Timelines and Key Milestones</w:t>
            </w:r>
            <w:r w:rsidR="00D935F2">
              <w:rPr>
                <w:noProof/>
                <w:webHidden/>
              </w:rPr>
              <w:tab/>
            </w:r>
            <w:r w:rsidR="00D935F2">
              <w:rPr>
                <w:noProof/>
                <w:webHidden/>
              </w:rPr>
              <w:fldChar w:fldCharType="begin"/>
            </w:r>
            <w:r w:rsidR="00D935F2">
              <w:rPr>
                <w:noProof/>
                <w:webHidden/>
              </w:rPr>
              <w:instrText xml:space="preserve"> PAGEREF _Toc416727080 \h </w:instrText>
            </w:r>
            <w:r w:rsidR="00D935F2">
              <w:rPr>
                <w:noProof/>
                <w:webHidden/>
              </w:rPr>
            </w:r>
            <w:r w:rsidR="00D935F2">
              <w:rPr>
                <w:noProof/>
                <w:webHidden/>
              </w:rPr>
              <w:fldChar w:fldCharType="separate"/>
            </w:r>
            <w:r w:rsidR="00D935F2">
              <w:rPr>
                <w:noProof/>
                <w:webHidden/>
              </w:rPr>
              <w:t>8</w:t>
            </w:r>
            <w:r w:rsidR="00D935F2">
              <w:rPr>
                <w:noProof/>
                <w:webHidden/>
              </w:rPr>
              <w:fldChar w:fldCharType="end"/>
            </w:r>
          </w:hyperlink>
        </w:p>
        <w:p w14:paraId="0E9F10F4" w14:textId="77777777" w:rsidR="00D935F2" w:rsidRDefault="00A43D77">
          <w:pPr>
            <w:pStyle w:val="TOC2"/>
            <w:tabs>
              <w:tab w:val="right" w:leader="dot" w:pos="9017"/>
            </w:tabs>
            <w:rPr>
              <w:rFonts w:asciiTheme="minorHAnsi" w:eastAsiaTheme="minorEastAsia" w:hAnsiTheme="minorHAnsi"/>
              <w:noProof/>
              <w:sz w:val="22"/>
            </w:rPr>
          </w:pPr>
          <w:hyperlink w:anchor="_Toc416727081" w:history="1">
            <w:r w:rsidR="00D935F2" w:rsidRPr="00466C39">
              <w:rPr>
                <w:rStyle w:val="Hyperlink"/>
                <w:noProof/>
              </w:rPr>
              <w:t>2.4: Anticipated Needs and Challenges</w:t>
            </w:r>
            <w:r w:rsidR="00D935F2">
              <w:rPr>
                <w:noProof/>
                <w:webHidden/>
              </w:rPr>
              <w:tab/>
            </w:r>
            <w:r w:rsidR="00D935F2">
              <w:rPr>
                <w:noProof/>
                <w:webHidden/>
              </w:rPr>
              <w:fldChar w:fldCharType="begin"/>
            </w:r>
            <w:r w:rsidR="00D935F2">
              <w:rPr>
                <w:noProof/>
                <w:webHidden/>
              </w:rPr>
              <w:instrText xml:space="preserve"> PAGEREF _Toc416727081 \h </w:instrText>
            </w:r>
            <w:r w:rsidR="00D935F2">
              <w:rPr>
                <w:noProof/>
                <w:webHidden/>
              </w:rPr>
            </w:r>
            <w:r w:rsidR="00D935F2">
              <w:rPr>
                <w:noProof/>
                <w:webHidden/>
              </w:rPr>
              <w:fldChar w:fldCharType="separate"/>
            </w:r>
            <w:r w:rsidR="00D935F2">
              <w:rPr>
                <w:noProof/>
                <w:webHidden/>
              </w:rPr>
              <w:t>8</w:t>
            </w:r>
            <w:r w:rsidR="00D935F2">
              <w:rPr>
                <w:noProof/>
                <w:webHidden/>
              </w:rPr>
              <w:fldChar w:fldCharType="end"/>
            </w:r>
          </w:hyperlink>
        </w:p>
        <w:p w14:paraId="075A2C3F" w14:textId="77777777" w:rsidR="00D935F2" w:rsidRDefault="00A43D77">
          <w:pPr>
            <w:pStyle w:val="TOC2"/>
            <w:tabs>
              <w:tab w:val="right" w:leader="dot" w:pos="9017"/>
            </w:tabs>
            <w:rPr>
              <w:rFonts w:asciiTheme="minorHAnsi" w:eastAsiaTheme="minorEastAsia" w:hAnsiTheme="minorHAnsi"/>
              <w:noProof/>
              <w:sz w:val="22"/>
            </w:rPr>
          </w:pPr>
          <w:hyperlink w:anchor="_Toc416727082" w:history="1">
            <w:r w:rsidR="00D935F2" w:rsidRPr="00466C39">
              <w:rPr>
                <w:rStyle w:val="Hyperlink"/>
                <w:noProof/>
              </w:rPr>
              <w:t>2.5: Lead Centers, Participating Centers and Partners</w:t>
            </w:r>
            <w:r w:rsidR="00D935F2">
              <w:rPr>
                <w:noProof/>
                <w:webHidden/>
              </w:rPr>
              <w:tab/>
            </w:r>
            <w:r w:rsidR="00D935F2">
              <w:rPr>
                <w:noProof/>
                <w:webHidden/>
              </w:rPr>
              <w:fldChar w:fldCharType="begin"/>
            </w:r>
            <w:r w:rsidR="00D935F2">
              <w:rPr>
                <w:noProof/>
                <w:webHidden/>
              </w:rPr>
              <w:instrText xml:space="preserve"> PAGEREF _Toc416727082 \h </w:instrText>
            </w:r>
            <w:r w:rsidR="00D935F2">
              <w:rPr>
                <w:noProof/>
                <w:webHidden/>
              </w:rPr>
            </w:r>
            <w:r w:rsidR="00D935F2">
              <w:rPr>
                <w:noProof/>
                <w:webHidden/>
              </w:rPr>
              <w:fldChar w:fldCharType="separate"/>
            </w:r>
            <w:r w:rsidR="00D935F2">
              <w:rPr>
                <w:noProof/>
                <w:webHidden/>
              </w:rPr>
              <w:t>9</w:t>
            </w:r>
            <w:r w:rsidR="00D935F2">
              <w:rPr>
                <w:noProof/>
                <w:webHidden/>
              </w:rPr>
              <w:fldChar w:fldCharType="end"/>
            </w:r>
          </w:hyperlink>
        </w:p>
        <w:p w14:paraId="29602AEE" w14:textId="77777777" w:rsidR="00D935F2" w:rsidRDefault="00A43D77">
          <w:pPr>
            <w:pStyle w:val="TOC1"/>
            <w:tabs>
              <w:tab w:val="right" w:leader="dot" w:pos="9017"/>
            </w:tabs>
            <w:rPr>
              <w:rFonts w:asciiTheme="minorHAnsi" w:eastAsiaTheme="minorEastAsia" w:hAnsiTheme="minorHAnsi"/>
              <w:noProof/>
              <w:sz w:val="22"/>
            </w:rPr>
          </w:pPr>
          <w:hyperlink w:anchor="_Toc416727083" w:history="1">
            <w:r w:rsidR="00D935F2" w:rsidRPr="00466C39">
              <w:rPr>
                <w:rStyle w:val="Hyperlink"/>
                <w:noProof/>
              </w:rPr>
              <w:t>Section 3: Technical Infrastructure</w:t>
            </w:r>
            <w:r w:rsidR="00D935F2">
              <w:rPr>
                <w:noProof/>
                <w:webHidden/>
              </w:rPr>
              <w:tab/>
            </w:r>
            <w:r w:rsidR="00D935F2">
              <w:rPr>
                <w:noProof/>
                <w:webHidden/>
              </w:rPr>
              <w:fldChar w:fldCharType="begin"/>
            </w:r>
            <w:r w:rsidR="00D935F2">
              <w:rPr>
                <w:noProof/>
                <w:webHidden/>
              </w:rPr>
              <w:instrText xml:space="preserve"> PAGEREF _Toc416727083 \h </w:instrText>
            </w:r>
            <w:r w:rsidR="00D935F2">
              <w:rPr>
                <w:noProof/>
                <w:webHidden/>
              </w:rPr>
            </w:r>
            <w:r w:rsidR="00D935F2">
              <w:rPr>
                <w:noProof/>
                <w:webHidden/>
              </w:rPr>
              <w:fldChar w:fldCharType="separate"/>
            </w:r>
            <w:r w:rsidR="00D935F2">
              <w:rPr>
                <w:noProof/>
                <w:webHidden/>
              </w:rPr>
              <w:t>9</w:t>
            </w:r>
            <w:r w:rsidR="00D935F2">
              <w:rPr>
                <w:noProof/>
                <w:webHidden/>
              </w:rPr>
              <w:fldChar w:fldCharType="end"/>
            </w:r>
          </w:hyperlink>
        </w:p>
        <w:p w14:paraId="695BAF38" w14:textId="77777777" w:rsidR="00D935F2" w:rsidRDefault="00A43D77">
          <w:pPr>
            <w:pStyle w:val="TOC2"/>
            <w:tabs>
              <w:tab w:val="right" w:leader="dot" w:pos="9017"/>
            </w:tabs>
            <w:rPr>
              <w:rFonts w:asciiTheme="minorHAnsi" w:eastAsiaTheme="minorEastAsia" w:hAnsiTheme="minorHAnsi"/>
              <w:noProof/>
              <w:sz w:val="22"/>
            </w:rPr>
          </w:pPr>
          <w:hyperlink w:anchor="_Toc416727084" w:history="1">
            <w:r w:rsidR="00D935F2" w:rsidRPr="00466C39">
              <w:rPr>
                <w:rStyle w:val="Hyperlink"/>
                <w:noProof/>
              </w:rPr>
              <w:t>3.1: Repository Systems</w:t>
            </w:r>
            <w:r w:rsidR="00D935F2">
              <w:rPr>
                <w:noProof/>
                <w:webHidden/>
              </w:rPr>
              <w:tab/>
            </w:r>
            <w:r w:rsidR="00D935F2">
              <w:rPr>
                <w:noProof/>
                <w:webHidden/>
              </w:rPr>
              <w:fldChar w:fldCharType="begin"/>
            </w:r>
            <w:r w:rsidR="00D935F2">
              <w:rPr>
                <w:noProof/>
                <w:webHidden/>
              </w:rPr>
              <w:instrText xml:space="preserve"> PAGEREF _Toc416727084 \h </w:instrText>
            </w:r>
            <w:r w:rsidR="00D935F2">
              <w:rPr>
                <w:noProof/>
                <w:webHidden/>
              </w:rPr>
            </w:r>
            <w:r w:rsidR="00D935F2">
              <w:rPr>
                <w:noProof/>
                <w:webHidden/>
              </w:rPr>
              <w:fldChar w:fldCharType="separate"/>
            </w:r>
            <w:r w:rsidR="00D935F2">
              <w:rPr>
                <w:noProof/>
                <w:webHidden/>
              </w:rPr>
              <w:t>9</w:t>
            </w:r>
            <w:r w:rsidR="00D935F2">
              <w:rPr>
                <w:noProof/>
                <w:webHidden/>
              </w:rPr>
              <w:fldChar w:fldCharType="end"/>
            </w:r>
          </w:hyperlink>
        </w:p>
        <w:p w14:paraId="7D5DF179" w14:textId="77777777" w:rsidR="00D935F2" w:rsidRDefault="00A43D77">
          <w:pPr>
            <w:pStyle w:val="TOC2"/>
            <w:tabs>
              <w:tab w:val="right" w:leader="dot" w:pos="9017"/>
            </w:tabs>
            <w:rPr>
              <w:rFonts w:asciiTheme="minorHAnsi" w:eastAsiaTheme="minorEastAsia" w:hAnsiTheme="minorHAnsi"/>
              <w:noProof/>
              <w:sz w:val="22"/>
            </w:rPr>
          </w:pPr>
          <w:hyperlink w:anchor="_Toc416727085" w:history="1">
            <w:r w:rsidR="00D935F2" w:rsidRPr="00466C39">
              <w:rPr>
                <w:rStyle w:val="Hyperlink"/>
                <w:noProof/>
              </w:rPr>
              <w:t>3.2: Interoperability</w:t>
            </w:r>
            <w:r w:rsidR="00D935F2">
              <w:rPr>
                <w:noProof/>
                <w:webHidden/>
              </w:rPr>
              <w:tab/>
            </w:r>
            <w:r w:rsidR="00D935F2">
              <w:rPr>
                <w:noProof/>
                <w:webHidden/>
              </w:rPr>
              <w:fldChar w:fldCharType="begin"/>
            </w:r>
            <w:r w:rsidR="00D935F2">
              <w:rPr>
                <w:noProof/>
                <w:webHidden/>
              </w:rPr>
              <w:instrText xml:space="preserve"> PAGEREF _Toc416727085 \h </w:instrText>
            </w:r>
            <w:r w:rsidR="00D935F2">
              <w:rPr>
                <w:noProof/>
                <w:webHidden/>
              </w:rPr>
            </w:r>
            <w:r w:rsidR="00D935F2">
              <w:rPr>
                <w:noProof/>
                <w:webHidden/>
              </w:rPr>
              <w:fldChar w:fldCharType="separate"/>
            </w:r>
            <w:r w:rsidR="00D935F2">
              <w:rPr>
                <w:noProof/>
                <w:webHidden/>
              </w:rPr>
              <w:t>9</w:t>
            </w:r>
            <w:r w:rsidR="00D935F2">
              <w:rPr>
                <w:noProof/>
                <w:webHidden/>
              </w:rPr>
              <w:fldChar w:fldCharType="end"/>
            </w:r>
          </w:hyperlink>
        </w:p>
        <w:p w14:paraId="1805B202" w14:textId="77777777" w:rsidR="00D935F2" w:rsidRDefault="00A43D77">
          <w:pPr>
            <w:pStyle w:val="TOC2"/>
            <w:tabs>
              <w:tab w:val="right" w:leader="dot" w:pos="9017"/>
            </w:tabs>
            <w:rPr>
              <w:rFonts w:asciiTheme="minorHAnsi" w:eastAsiaTheme="minorEastAsia" w:hAnsiTheme="minorHAnsi"/>
              <w:noProof/>
              <w:sz w:val="22"/>
            </w:rPr>
          </w:pPr>
          <w:hyperlink w:anchor="_Toc416727086" w:history="1">
            <w:r w:rsidR="00D935F2" w:rsidRPr="00466C39">
              <w:rPr>
                <w:rStyle w:val="Hyperlink"/>
                <w:noProof/>
              </w:rPr>
              <w:t>3.3: Metadata</w:t>
            </w:r>
            <w:r w:rsidR="00D935F2">
              <w:rPr>
                <w:noProof/>
                <w:webHidden/>
              </w:rPr>
              <w:tab/>
            </w:r>
            <w:r w:rsidR="00D935F2">
              <w:rPr>
                <w:noProof/>
                <w:webHidden/>
              </w:rPr>
              <w:fldChar w:fldCharType="begin"/>
            </w:r>
            <w:r w:rsidR="00D935F2">
              <w:rPr>
                <w:noProof/>
                <w:webHidden/>
              </w:rPr>
              <w:instrText xml:space="preserve"> PAGEREF _Toc416727086 \h </w:instrText>
            </w:r>
            <w:r w:rsidR="00D935F2">
              <w:rPr>
                <w:noProof/>
                <w:webHidden/>
              </w:rPr>
            </w:r>
            <w:r w:rsidR="00D935F2">
              <w:rPr>
                <w:noProof/>
                <w:webHidden/>
              </w:rPr>
              <w:fldChar w:fldCharType="separate"/>
            </w:r>
            <w:r w:rsidR="00D935F2">
              <w:rPr>
                <w:noProof/>
                <w:webHidden/>
              </w:rPr>
              <w:t>10</w:t>
            </w:r>
            <w:r w:rsidR="00D935F2">
              <w:rPr>
                <w:noProof/>
                <w:webHidden/>
              </w:rPr>
              <w:fldChar w:fldCharType="end"/>
            </w:r>
          </w:hyperlink>
        </w:p>
        <w:p w14:paraId="2D8AC4BA" w14:textId="77777777" w:rsidR="00D935F2" w:rsidRDefault="00A43D77">
          <w:pPr>
            <w:pStyle w:val="TOC2"/>
            <w:tabs>
              <w:tab w:val="right" w:leader="dot" w:pos="9017"/>
            </w:tabs>
            <w:rPr>
              <w:rFonts w:asciiTheme="minorHAnsi" w:eastAsiaTheme="minorEastAsia" w:hAnsiTheme="minorHAnsi"/>
              <w:noProof/>
              <w:sz w:val="22"/>
            </w:rPr>
          </w:pPr>
          <w:hyperlink w:anchor="_Toc416727087" w:history="1">
            <w:r w:rsidR="00D935F2" w:rsidRPr="00466C39">
              <w:rPr>
                <w:rStyle w:val="Hyperlink"/>
                <w:noProof/>
              </w:rPr>
              <w:t>3.4: Data Storage and Preservation for Future Use</w:t>
            </w:r>
            <w:r w:rsidR="00D935F2">
              <w:rPr>
                <w:noProof/>
                <w:webHidden/>
              </w:rPr>
              <w:tab/>
            </w:r>
            <w:r w:rsidR="00D935F2">
              <w:rPr>
                <w:noProof/>
                <w:webHidden/>
              </w:rPr>
              <w:fldChar w:fldCharType="begin"/>
            </w:r>
            <w:r w:rsidR="00D935F2">
              <w:rPr>
                <w:noProof/>
                <w:webHidden/>
              </w:rPr>
              <w:instrText xml:space="preserve"> PAGEREF _Toc416727087 \h </w:instrText>
            </w:r>
            <w:r w:rsidR="00D935F2">
              <w:rPr>
                <w:noProof/>
                <w:webHidden/>
              </w:rPr>
            </w:r>
            <w:r w:rsidR="00D935F2">
              <w:rPr>
                <w:noProof/>
                <w:webHidden/>
              </w:rPr>
              <w:fldChar w:fldCharType="separate"/>
            </w:r>
            <w:r w:rsidR="00D935F2">
              <w:rPr>
                <w:noProof/>
                <w:webHidden/>
              </w:rPr>
              <w:t>10</w:t>
            </w:r>
            <w:r w:rsidR="00D935F2">
              <w:rPr>
                <w:noProof/>
                <w:webHidden/>
              </w:rPr>
              <w:fldChar w:fldCharType="end"/>
            </w:r>
          </w:hyperlink>
        </w:p>
        <w:p w14:paraId="3FA9F0C8" w14:textId="77777777" w:rsidR="00D935F2" w:rsidRDefault="00A43D77">
          <w:pPr>
            <w:pStyle w:val="TOC2"/>
            <w:tabs>
              <w:tab w:val="right" w:leader="dot" w:pos="9017"/>
            </w:tabs>
            <w:rPr>
              <w:rFonts w:asciiTheme="minorHAnsi" w:eastAsiaTheme="minorEastAsia" w:hAnsiTheme="minorHAnsi"/>
              <w:noProof/>
              <w:sz w:val="22"/>
            </w:rPr>
          </w:pPr>
          <w:hyperlink w:anchor="_Toc416727088" w:history="1">
            <w:r w:rsidR="00D935F2" w:rsidRPr="00466C39">
              <w:rPr>
                <w:rStyle w:val="Hyperlink"/>
                <w:noProof/>
              </w:rPr>
              <w:t>3.5: Limited Internet Connectivity</w:t>
            </w:r>
            <w:r w:rsidR="00D935F2">
              <w:rPr>
                <w:noProof/>
                <w:webHidden/>
              </w:rPr>
              <w:tab/>
            </w:r>
            <w:r w:rsidR="00D935F2">
              <w:rPr>
                <w:noProof/>
                <w:webHidden/>
              </w:rPr>
              <w:fldChar w:fldCharType="begin"/>
            </w:r>
            <w:r w:rsidR="00D935F2">
              <w:rPr>
                <w:noProof/>
                <w:webHidden/>
              </w:rPr>
              <w:instrText xml:space="preserve"> PAGEREF _Toc416727088 \h </w:instrText>
            </w:r>
            <w:r w:rsidR="00D935F2">
              <w:rPr>
                <w:noProof/>
                <w:webHidden/>
              </w:rPr>
            </w:r>
            <w:r w:rsidR="00D935F2">
              <w:rPr>
                <w:noProof/>
                <w:webHidden/>
              </w:rPr>
              <w:fldChar w:fldCharType="separate"/>
            </w:r>
            <w:r w:rsidR="00D935F2">
              <w:rPr>
                <w:noProof/>
                <w:webHidden/>
              </w:rPr>
              <w:t>11</w:t>
            </w:r>
            <w:r w:rsidR="00D935F2">
              <w:rPr>
                <w:noProof/>
                <w:webHidden/>
              </w:rPr>
              <w:fldChar w:fldCharType="end"/>
            </w:r>
          </w:hyperlink>
        </w:p>
        <w:p w14:paraId="758700FE" w14:textId="77777777" w:rsidR="00D935F2" w:rsidRDefault="00A43D77">
          <w:pPr>
            <w:pStyle w:val="TOC1"/>
            <w:tabs>
              <w:tab w:val="right" w:leader="dot" w:pos="9017"/>
            </w:tabs>
            <w:rPr>
              <w:rFonts w:asciiTheme="minorHAnsi" w:eastAsiaTheme="minorEastAsia" w:hAnsiTheme="minorHAnsi"/>
              <w:noProof/>
              <w:sz w:val="22"/>
            </w:rPr>
          </w:pPr>
          <w:hyperlink w:anchor="_Toc416727089" w:history="1">
            <w:r w:rsidR="00D935F2" w:rsidRPr="00466C39">
              <w:rPr>
                <w:rStyle w:val="Hyperlink"/>
                <w:noProof/>
              </w:rPr>
              <w:t>Section 4: IPR/Intellectual Assets</w:t>
            </w:r>
            <w:r w:rsidR="00D935F2">
              <w:rPr>
                <w:noProof/>
                <w:webHidden/>
              </w:rPr>
              <w:tab/>
            </w:r>
            <w:r w:rsidR="00D935F2">
              <w:rPr>
                <w:noProof/>
                <w:webHidden/>
              </w:rPr>
              <w:fldChar w:fldCharType="begin"/>
            </w:r>
            <w:r w:rsidR="00D935F2">
              <w:rPr>
                <w:noProof/>
                <w:webHidden/>
              </w:rPr>
              <w:instrText xml:space="preserve"> PAGEREF _Toc416727089 \h </w:instrText>
            </w:r>
            <w:r w:rsidR="00D935F2">
              <w:rPr>
                <w:noProof/>
                <w:webHidden/>
              </w:rPr>
            </w:r>
            <w:r w:rsidR="00D935F2">
              <w:rPr>
                <w:noProof/>
                <w:webHidden/>
              </w:rPr>
              <w:fldChar w:fldCharType="separate"/>
            </w:r>
            <w:r w:rsidR="00D935F2">
              <w:rPr>
                <w:noProof/>
                <w:webHidden/>
              </w:rPr>
              <w:t>11</w:t>
            </w:r>
            <w:r w:rsidR="00D935F2">
              <w:rPr>
                <w:noProof/>
                <w:webHidden/>
              </w:rPr>
              <w:fldChar w:fldCharType="end"/>
            </w:r>
          </w:hyperlink>
        </w:p>
        <w:p w14:paraId="573E1665" w14:textId="77777777" w:rsidR="00D935F2" w:rsidRDefault="00A43D77">
          <w:pPr>
            <w:pStyle w:val="TOC2"/>
            <w:tabs>
              <w:tab w:val="right" w:leader="dot" w:pos="9017"/>
            </w:tabs>
            <w:rPr>
              <w:rFonts w:asciiTheme="minorHAnsi" w:eastAsiaTheme="minorEastAsia" w:hAnsiTheme="minorHAnsi"/>
              <w:noProof/>
              <w:sz w:val="22"/>
            </w:rPr>
          </w:pPr>
          <w:hyperlink w:anchor="_Toc416727090" w:history="1">
            <w:r w:rsidR="00D935F2" w:rsidRPr="00466C39">
              <w:rPr>
                <w:rStyle w:val="Hyperlink"/>
                <w:noProof/>
              </w:rPr>
              <w:t>4.1: CGIAR Principles on the Management of Intellectual Assets</w:t>
            </w:r>
            <w:r w:rsidR="00D935F2">
              <w:rPr>
                <w:noProof/>
                <w:webHidden/>
              </w:rPr>
              <w:tab/>
            </w:r>
            <w:r w:rsidR="00D935F2">
              <w:rPr>
                <w:noProof/>
                <w:webHidden/>
              </w:rPr>
              <w:fldChar w:fldCharType="begin"/>
            </w:r>
            <w:r w:rsidR="00D935F2">
              <w:rPr>
                <w:noProof/>
                <w:webHidden/>
              </w:rPr>
              <w:instrText xml:space="preserve"> PAGEREF _Toc416727090 \h </w:instrText>
            </w:r>
            <w:r w:rsidR="00D935F2">
              <w:rPr>
                <w:noProof/>
                <w:webHidden/>
              </w:rPr>
            </w:r>
            <w:r w:rsidR="00D935F2">
              <w:rPr>
                <w:noProof/>
                <w:webHidden/>
              </w:rPr>
              <w:fldChar w:fldCharType="separate"/>
            </w:r>
            <w:r w:rsidR="00D935F2">
              <w:rPr>
                <w:noProof/>
                <w:webHidden/>
              </w:rPr>
              <w:t>11</w:t>
            </w:r>
            <w:r w:rsidR="00D935F2">
              <w:rPr>
                <w:noProof/>
                <w:webHidden/>
              </w:rPr>
              <w:fldChar w:fldCharType="end"/>
            </w:r>
          </w:hyperlink>
        </w:p>
        <w:p w14:paraId="03EDFFEE" w14:textId="77777777" w:rsidR="00D935F2" w:rsidRDefault="00A43D77">
          <w:pPr>
            <w:pStyle w:val="TOC2"/>
            <w:tabs>
              <w:tab w:val="right" w:leader="dot" w:pos="9017"/>
            </w:tabs>
            <w:rPr>
              <w:rFonts w:asciiTheme="minorHAnsi" w:eastAsiaTheme="minorEastAsia" w:hAnsiTheme="minorHAnsi"/>
              <w:noProof/>
              <w:sz w:val="22"/>
            </w:rPr>
          </w:pPr>
          <w:hyperlink w:anchor="_Toc416727091" w:history="1">
            <w:r w:rsidR="00D935F2" w:rsidRPr="00466C39">
              <w:rPr>
                <w:rStyle w:val="Hyperlink"/>
                <w:noProof/>
              </w:rPr>
              <w:t>4.2: Open Licenses</w:t>
            </w:r>
            <w:r w:rsidR="00D935F2">
              <w:rPr>
                <w:noProof/>
                <w:webHidden/>
              </w:rPr>
              <w:tab/>
            </w:r>
            <w:r w:rsidR="00D935F2">
              <w:rPr>
                <w:noProof/>
                <w:webHidden/>
              </w:rPr>
              <w:fldChar w:fldCharType="begin"/>
            </w:r>
            <w:r w:rsidR="00D935F2">
              <w:rPr>
                <w:noProof/>
                <w:webHidden/>
              </w:rPr>
              <w:instrText xml:space="preserve"> PAGEREF _Toc416727091 \h </w:instrText>
            </w:r>
            <w:r w:rsidR="00D935F2">
              <w:rPr>
                <w:noProof/>
                <w:webHidden/>
              </w:rPr>
            </w:r>
            <w:r w:rsidR="00D935F2">
              <w:rPr>
                <w:noProof/>
                <w:webHidden/>
              </w:rPr>
              <w:fldChar w:fldCharType="separate"/>
            </w:r>
            <w:r w:rsidR="00D935F2">
              <w:rPr>
                <w:noProof/>
                <w:webHidden/>
              </w:rPr>
              <w:t>12</w:t>
            </w:r>
            <w:r w:rsidR="00D935F2">
              <w:rPr>
                <w:noProof/>
                <w:webHidden/>
              </w:rPr>
              <w:fldChar w:fldCharType="end"/>
            </w:r>
          </w:hyperlink>
        </w:p>
        <w:p w14:paraId="5C7FFBC4" w14:textId="77777777" w:rsidR="00D935F2" w:rsidRDefault="00A43D77">
          <w:pPr>
            <w:pStyle w:val="TOC2"/>
            <w:tabs>
              <w:tab w:val="right" w:leader="dot" w:pos="9017"/>
            </w:tabs>
            <w:rPr>
              <w:rFonts w:asciiTheme="minorHAnsi" w:eastAsiaTheme="minorEastAsia" w:hAnsiTheme="minorHAnsi"/>
              <w:noProof/>
              <w:sz w:val="22"/>
            </w:rPr>
          </w:pPr>
          <w:hyperlink w:anchor="_Toc416727092" w:history="1">
            <w:r w:rsidR="00D935F2" w:rsidRPr="00466C39">
              <w:rPr>
                <w:rStyle w:val="Hyperlink"/>
                <w:noProof/>
              </w:rPr>
              <w:t>4.3: Guidance for Authors</w:t>
            </w:r>
            <w:r w:rsidR="00D935F2">
              <w:rPr>
                <w:noProof/>
                <w:webHidden/>
              </w:rPr>
              <w:tab/>
            </w:r>
            <w:r w:rsidR="00D935F2">
              <w:rPr>
                <w:noProof/>
                <w:webHidden/>
              </w:rPr>
              <w:fldChar w:fldCharType="begin"/>
            </w:r>
            <w:r w:rsidR="00D935F2">
              <w:rPr>
                <w:noProof/>
                <w:webHidden/>
              </w:rPr>
              <w:instrText xml:space="preserve"> PAGEREF _Toc416727092 \h </w:instrText>
            </w:r>
            <w:r w:rsidR="00D935F2">
              <w:rPr>
                <w:noProof/>
                <w:webHidden/>
              </w:rPr>
            </w:r>
            <w:r w:rsidR="00D935F2">
              <w:rPr>
                <w:noProof/>
                <w:webHidden/>
              </w:rPr>
              <w:fldChar w:fldCharType="separate"/>
            </w:r>
            <w:r w:rsidR="00D935F2">
              <w:rPr>
                <w:noProof/>
                <w:webHidden/>
              </w:rPr>
              <w:t>12</w:t>
            </w:r>
            <w:r w:rsidR="00D935F2">
              <w:rPr>
                <w:noProof/>
                <w:webHidden/>
              </w:rPr>
              <w:fldChar w:fldCharType="end"/>
            </w:r>
          </w:hyperlink>
        </w:p>
        <w:p w14:paraId="34EA71C9" w14:textId="77777777" w:rsidR="00D935F2" w:rsidRDefault="00A43D77">
          <w:pPr>
            <w:pStyle w:val="TOC2"/>
            <w:tabs>
              <w:tab w:val="right" w:leader="dot" w:pos="9017"/>
            </w:tabs>
            <w:rPr>
              <w:rFonts w:asciiTheme="minorHAnsi" w:eastAsiaTheme="minorEastAsia" w:hAnsiTheme="minorHAnsi"/>
              <w:noProof/>
              <w:sz w:val="22"/>
            </w:rPr>
          </w:pPr>
          <w:hyperlink w:anchor="_Toc416727093" w:history="1">
            <w:r w:rsidR="00D935F2" w:rsidRPr="00466C39">
              <w:rPr>
                <w:rStyle w:val="Hyperlink"/>
                <w:noProof/>
              </w:rPr>
              <w:t>4.4: Translations</w:t>
            </w:r>
            <w:r w:rsidR="00D935F2">
              <w:rPr>
                <w:noProof/>
                <w:webHidden/>
              </w:rPr>
              <w:tab/>
            </w:r>
            <w:r w:rsidR="00D935F2">
              <w:rPr>
                <w:noProof/>
                <w:webHidden/>
              </w:rPr>
              <w:fldChar w:fldCharType="begin"/>
            </w:r>
            <w:r w:rsidR="00D935F2">
              <w:rPr>
                <w:noProof/>
                <w:webHidden/>
              </w:rPr>
              <w:instrText xml:space="preserve"> PAGEREF _Toc416727093 \h </w:instrText>
            </w:r>
            <w:r w:rsidR="00D935F2">
              <w:rPr>
                <w:noProof/>
                <w:webHidden/>
              </w:rPr>
            </w:r>
            <w:r w:rsidR="00D935F2">
              <w:rPr>
                <w:noProof/>
                <w:webHidden/>
              </w:rPr>
              <w:fldChar w:fldCharType="separate"/>
            </w:r>
            <w:r w:rsidR="00D935F2">
              <w:rPr>
                <w:noProof/>
                <w:webHidden/>
              </w:rPr>
              <w:t>12</w:t>
            </w:r>
            <w:r w:rsidR="00D935F2">
              <w:rPr>
                <w:noProof/>
                <w:webHidden/>
              </w:rPr>
              <w:fldChar w:fldCharType="end"/>
            </w:r>
          </w:hyperlink>
        </w:p>
        <w:p w14:paraId="211BEEDC" w14:textId="77777777" w:rsidR="00D935F2" w:rsidRDefault="00A43D77">
          <w:pPr>
            <w:pStyle w:val="TOC1"/>
            <w:tabs>
              <w:tab w:val="right" w:leader="dot" w:pos="9017"/>
            </w:tabs>
            <w:rPr>
              <w:rFonts w:asciiTheme="minorHAnsi" w:eastAsiaTheme="minorEastAsia" w:hAnsiTheme="minorHAnsi"/>
              <w:noProof/>
              <w:sz w:val="22"/>
            </w:rPr>
          </w:pPr>
          <w:hyperlink w:anchor="_Toc416727094" w:history="1">
            <w:r w:rsidR="00D935F2" w:rsidRPr="00466C39">
              <w:rPr>
                <w:rStyle w:val="Hyperlink"/>
                <w:noProof/>
              </w:rPr>
              <w:t>Section 5: OA/DM Teams and Staffing</w:t>
            </w:r>
            <w:r w:rsidR="00D935F2">
              <w:rPr>
                <w:noProof/>
                <w:webHidden/>
              </w:rPr>
              <w:tab/>
            </w:r>
            <w:r w:rsidR="00D935F2">
              <w:rPr>
                <w:noProof/>
                <w:webHidden/>
              </w:rPr>
              <w:fldChar w:fldCharType="begin"/>
            </w:r>
            <w:r w:rsidR="00D935F2">
              <w:rPr>
                <w:noProof/>
                <w:webHidden/>
              </w:rPr>
              <w:instrText xml:space="preserve"> PAGEREF _Toc416727094 \h </w:instrText>
            </w:r>
            <w:r w:rsidR="00D935F2">
              <w:rPr>
                <w:noProof/>
                <w:webHidden/>
              </w:rPr>
            </w:r>
            <w:r w:rsidR="00D935F2">
              <w:rPr>
                <w:noProof/>
                <w:webHidden/>
              </w:rPr>
              <w:fldChar w:fldCharType="separate"/>
            </w:r>
            <w:r w:rsidR="00D935F2">
              <w:rPr>
                <w:noProof/>
                <w:webHidden/>
              </w:rPr>
              <w:t>12</w:t>
            </w:r>
            <w:r w:rsidR="00D935F2">
              <w:rPr>
                <w:noProof/>
                <w:webHidden/>
              </w:rPr>
              <w:fldChar w:fldCharType="end"/>
            </w:r>
          </w:hyperlink>
        </w:p>
        <w:p w14:paraId="47A7224C" w14:textId="77777777" w:rsidR="00D935F2" w:rsidRDefault="00A43D77">
          <w:pPr>
            <w:pStyle w:val="TOC2"/>
            <w:tabs>
              <w:tab w:val="right" w:leader="dot" w:pos="9017"/>
            </w:tabs>
            <w:rPr>
              <w:rFonts w:asciiTheme="minorHAnsi" w:eastAsiaTheme="minorEastAsia" w:hAnsiTheme="minorHAnsi"/>
              <w:noProof/>
              <w:sz w:val="22"/>
            </w:rPr>
          </w:pPr>
          <w:hyperlink w:anchor="_Toc416727095" w:history="1">
            <w:r w:rsidR="00D935F2" w:rsidRPr="00466C39">
              <w:rPr>
                <w:rStyle w:val="Hyperlink"/>
                <w:noProof/>
              </w:rPr>
              <w:t>5.1: Day-to-Day Operations</w:t>
            </w:r>
            <w:r w:rsidR="00D935F2">
              <w:rPr>
                <w:noProof/>
                <w:webHidden/>
              </w:rPr>
              <w:tab/>
            </w:r>
            <w:r w:rsidR="00D935F2">
              <w:rPr>
                <w:noProof/>
                <w:webHidden/>
              </w:rPr>
              <w:fldChar w:fldCharType="begin"/>
            </w:r>
            <w:r w:rsidR="00D935F2">
              <w:rPr>
                <w:noProof/>
                <w:webHidden/>
              </w:rPr>
              <w:instrText xml:space="preserve"> PAGEREF _Toc416727095 \h </w:instrText>
            </w:r>
            <w:r w:rsidR="00D935F2">
              <w:rPr>
                <w:noProof/>
                <w:webHidden/>
              </w:rPr>
            </w:r>
            <w:r w:rsidR="00D935F2">
              <w:rPr>
                <w:noProof/>
                <w:webHidden/>
              </w:rPr>
              <w:fldChar w:fldCharType="separate"/>
            </w:r>
            <w:r w:rsidR="00D935F2">
              <w:rPr>
                <w:noProof/>
                <w:webHidden/>
              </w:rPr>
              <w:t>12</w:t>
            </w:r>
            <w:r w:rsidR="00D935F2">
              <w:rPr>
                <w:noProof/>
                <w:webHidden/>
              </w:rPr>
              <w:fldChar w:fldCharType="end"/>
            </w:r>
          </w:hyperlink>
        </w:p>
        <w:p w14:paraId="71DB962C" w14:textId="77777777" w:rsidR="00D935F2" w:rsidRDefault="00A43D77">
          <w:pPr>
            <w:pStyle w:val="TOC2"/>
            <w:tabs>
              <w:tab w:val="right" w:leader="dot" w:pos="9017"/>
            </w:tabs>
            <w:rPr>
              <w:rFonts w:asciiTheme="minorHAnsi" w:eastAsiaTheme="minorEastAsia" w:hAnsiTheme="minorHAnsi"/>
              <w:noProof/>
              <w:sz w:val="22"/>
            </w:rPr>
          </w:pPr>
          <w:hyperlink w:anchor="_Toc416727096" w:history="1">
            <w:r w:rsidR="00D935F2" w:rsidRPr="00466C39">
              <w:rPr>
                <w:rStyle w:val="Hyperlink"/>
                <w:noProof/>
              </w:rPr>
              <w:t>5.2: OAIWG and DMTF Representation</w:t>
            </w:r>
            <w:r w:rsidR="00D935F2">
              <w:rPr>
                <w:noProof/>
                <w:webHidden/>
              </w:rPr>
              <w:tab/>
            </w:r>
            <w:r w:rsidR="00D935F2">
              <w:rPr>
                <w:noProof/>
                <w:webHidden/>
              </w:rPr>
              <w:fldChar w:fldCharType="begin"/>
            </w:r>
            <w:r w:rsidR="00D935F2">
              <w:rPr>
                <w:noProof/>
                <w:webHidden/>
              </w:rPr>
              <w:instrText xml:space="preserve"> PAGEREF _Toc416727096 \h </w:instrText>
            </w:r>
            <w:r w:rsidR="00D935F2">
              <w:rPr>
                <w:noProof/>
                <w:webHidden/>
              </w:rPr>
            </w:r>
            <w:r w:rsidR="00D935F2">
              <w:rPr>
                <w:noProof/>
                <w:webHidden/>
              </w:rPr>
              <w:fldChar w:fldCharType="separate"/>
            </w:r>
            <w:r w:rsidR="00D935F2">
              <w:rPr>
                <w:noProof/>
                <w:webHidden/>
              </w:rPr>
              <w:t>12</w:t>
            </w:r>
            <w:r w:rsidR="00D935F2">
              <w:rPr>
                <w:noProof/>
                <w:webHidden/>
              </w:rPr>
              <w:fldChar w:fldCharType="end"/>
            </w:r>
          </w:hyperlink>
        </w:p>
        <w:p w14:paraId="101D0AA7" w14:textId="77777777" w:rsidR="00D935F2" w:rsidRDefault="00A43D77">
          <w:pPr>
            <w:pStyle w:val="TOC2"/>
            <w:tabs>
              <w:tab w:val="right" w:leader="dot" w:pos="9017"/>
            </w:tabs>
            <w:rPr>
              <w:rFonts w:asciiTheme="minorHAnsi" w:eastAsiaTheme="minorEastAsia" w:hAnsiTheme="minorHAnsi"/>
              <w:noProof/>
              <w:sz w:val="22"/>
            </w:rPr>
          </w:pPr>
          <w:hyperlink w:anchor="_Toc416727097" w:history="1">
            <w:r w:rsidR="00D935F2" w:rsidRPr="00466C39">
              <w:rPr>
                <w:rStyle w:val="Hyperlink"/>
                <w:noProof/>
              </w:rPr>
              <w:t>5.3: &lt;Center/CRP Steering Committee&gt; and Other Internal Partners</w:t>
            </w:r>
            <w:r w:rsidR="00D935F2">
              <w:rPr>
                <w:noProof/>
                <w:webHidden/>
              </w:rPr>
              <w:tab/>
            </w:r>
            <w:r w:rsidR="00D935F2">
              <w:rPr>
                <w:noProof/>
                <w:webHidden/>
              </w:rPr>
              <w:fldChar w:fldCharType="begin"/>
            </w:r>
            <w:r w:rsidR="00D935F2">
              <w:rPr>
                <w:noProof/>
                <w:webHidden/>
              </w:rPr>
              <w:instrText xml:space="preserve"> PAGEREF _Toc416727097 \h </w:instrText>
            </w:r>
            <w:r w:rsidR="00D935F2">
              <w:rPr>
                <w:noProof/>
                <w:webHidden/>
              </w:rPr>
            </w:r>
            <w:r w:rsidR="00D935F2">
              <w:rPr>
                <w:noProof/>
                <w:webHidden/>
              </w:rPr>
              <w:fldChar w:fldCharType="separate"/>
            </w:r>
            <w:r w:rsidR="00D935F2">
              <w:rPr>
                <w:noProof/>
                <w:webHidden/>
              </w:rPr>
              <w:t>13</w:t>
            </w:r>
            <w:r w:rsidR="00D935F2">
              <w:rPr>
                <w:noProof/>
                <w:webHidden/>
              </w:rPr>
              <w:fldChar w:fldCharType="end"/>
            </w:r>
          </w:hyperlink>
        </w:p>
        <w:p w14:paraId="452E551A" w14:textId="77777777" w:rsidR="00D935F2" w:rsidRDefault="00A43D77">
          <w:pPr>
            <w:pStyle w:val="TOC1"/>
            <w:tabs>
              <w:tab w:val="right" w:leader="dot" w:pos="9017"/>
            </w:tabs>
            <w:rPr>
              <w:rFonts w:asciiTheme="minorHAnsi" w:eastAsiaTheme="minorEastAsia" w:hAnsiTheme="minorHAnsi"/>
              <w:noProof/>
              <w:sz w:val="22"/>
            </w:rPr>
          </w:pPr>
          <w:hyperlink w:anchor="_Toc416727098" w:history="1">
            <w:r w:rsidR="00D935F2" w:rsidRPr="00466C39">
              <w:rPr>
                <w:rStyle w:val="Hyperlink"/>
                <w:noProof/>
              </w:rPr>
              <w:t>Section 6: Promoting and Supporting Researchers’ Implementation of OA for Publications</w:t>
            </w:r>
            <w:r w:rsidR="00D935F2">
              <w:rPr>
                <w:noProof/>
                <w:webHidden/>
              </w:rPr>
              <w:tab/>
            </w:r>
            <w:r w:rsidR="00D935F2">
              <w:rPr>
                <w:noProof/>
                <w:webHidden/>
              </w:rPr>
              <w:fldChar w:fldCharType="begin"/>
            </w:r>
            <w:r w:rsidR="00D935F2">
              <w:rPr>
                <w:noProof/>
                <w:webHidden/>
              </w:rPr>
              <w:instrText xml:space="preserve"> PAGEREF _Toc416727098 \h </w:instrText>
            </w:r>
            <w:r w:rsidR="00D935F2">
              <w:rPr>
                <w:noProof/>
                <w:webHidden/>
              </w:rPr>
            </w:r>
            <w:r w:rsidR="00D935F2">
              <w:rPr>
                <w:noProof/>
                <w:webHidden/>
              </w:rPr>
              <w:fldChar w:fldCharType="separate"/>
            </w:r>
            <w:r w:rsidR="00D935F2">
              <w:rPr>
                <w:noProof/>
                <w:webHidden/>
              </w:rPr>
              <w:t>13</w:t>
            </w:r>
            <w:r w:rsidR="00D935F2">
              <w:rPr>
                <w:noProof/>
                <w:webHidden/>
              </w:rPr>
              <w:fldChar w:fldCharType="end"/>
            </w:r>
          </w:hyperlink>
        </w:p>
        <w:p w14:paraId="1D839546" w14:textId="77777777" w:rsidR="00D935F2" w:rsidRDefault="00A43D77">
          <w:pPr>
            <w:pStyle w:val="TOC2"/>
            <w:tabs>
              <w:tab w:val="right" w:leader="dot" w:pos="9017"/>
            </w:tabs>
            <w:rPr>
              <w:rFonts w:asciiTheme="minorHAnsi" w:eastAsiaTheme="minorEastAsia" w:hAnsiTheme="minorHAnsi"/>
              <w:noProof/>
              <w:sz w:val="22"/>
            </w:rPr>
          </w:pPr>
          <w:hyperlink w:anchor="_Toc416727099" w:history="1">
            <w:r w:rsidR="00D935F2" w:rsidRPr="00466C39">
              <w:rPr>
                <w:rStyle w:val="Hyperlink"/>
                <w:noProof/>
              </w:rPr>
              <w:t>6.1: Deposit Workflows for OA Publications Repository</w:t>
            </w:r>
            <w:r w:rsidR="00D935F2">
              <w:rPr>
                <w:noProof/>
                <w:webHidden/>
              </w:rPr>
              <w:tab/>
            </w:r>
            <w:r w:rsidR="00D935F2">
              <w:rPr>
                <w:noProof/>
                <w:webHidden/>
              </w:rPr>
              <w:fldChar w:fldCharType="begin"/>
            </w:r>
            <w:r w:rsidR="00D935F2">
              <w:rPr>
                <w:noProof/>
                <w:webHidden/>
              </w:rPr>
              <w:instrText xml:space="preserve"> PAGEREF _Toc416727099 \h </w:instrText>
            </w:r>
            <w:r w:rsidR="00D935F2">
              <w:rPr>
                <w:noProof/>
                <w:webHidden/>
              </w:rPr>
            </w:r>
            <w:r w:rsidR="00D935F2">
              <w:rPr>
                <w:noProof/>
                <w:webHidden/>
              </w:rPr>
              <w:fldChar w:fldCharType="separate"/>
            </w:r>
            <w:r w:rsidR="00D935F2">
              <w:rPr>
                <w:noProof/>
                <w:webHidden/>
              </w:rPr>
              <w:t>13</w:t>
            </w:r>
            <w:r w:rsidR="00D935F2">
              <w:rPr>
                <w:noProof/>
                <w:webHidden/>
              </w:rPr>
              <w:fldChar w:fldCharType="end"/>
            </w:r>
          </w:hyperlink>
        </w:p>
        <w:p w14:paraId="5C025533" w14:textId="77777777" w:rsidR="00D935F2" w:rsidRDefault="00A43D77">
          <w:pPr>
            <w:pStyle w:val="TOC2"/>
            <w:tabs>
              <w:tab w:val="right" w:leader="dot" w:pos="9017"/>
            </w:tabs>
            <w:rPr>
              <w:rFonts w:asciiTheme="minorHAnsi" w:eastAsiaTheme="minorEastAsia" w:hAnsiTheme="minorHAnsi"/>
              <w:noProof/>
              <w:sz w:val="22"/>
            </w:rPr>
          </w:pPr>
          <w:hyperlink w:anchor="_Toc416727100" w:history="1">
            <w:r w:rsidR="00D935F2" w:rsidRPr="00466C39">
              <w:rPr>
                <w:rStyle w:val="Hyperlink"/>
                <w:noProof/>
              </w:rPr>
              <w:t>6.2: Author Guidance</w:t>
            </w:r>
            <w:r w:rsidR="00D935F2">
              <w:rPr>
                <w:noProof/>
                <w:webHidden/>
              </w:rPr>
              <w:tab/>
            </w:r>
            <w:r w:rsidR="00D935F2">
              <w:rPr>
                <w:noProof/>
                <w:webHidden/>
              </w:rPr>
              <w:fldChar w:fldCharType="begin"/>
            </w:r>
            <w:r w:rsidR="00D935F2">
              <w:rPr>
                <w:noProof/>
                <w:webHidden/>
              </w:rPr>
              <w:instrText xml:space="preserve"> PAGEREF _Toc416727100 \h </w:instrText>
            </w:r>
            <w:r w:rsidR="00D935F2">
              <w:rPr>
                <w:noProof/>
                <w:webHidden/>
              </w:rPr>
            </w:r>
            <w:r w:rsidR="00D935F2">
              <w:rPr>
                <w:noProof/>
                <w:webHidden/>
              </w:rPr>
              <w:fldChar w:fldCharType="separate"/>
            </w:r>
            <w:r w:rsidR="00D935F2">
              <w:rPr>
                <w:noProof/>
                <w:webHidden/>
              </w:rPr>
              <w:t>13</w:t>
            </w:r>
            <w:r w:rsidR="00D935F2">
              <w:rPr>
                <w:noProof/>
                <w:webHidden/>
              </w:rPr>
              <w:fldChar w:fldCharType="end"/>
            </w:r>
          </w:hyperlink>
        </w:p>
        <w:p w14:paraId="608B7D43" w14:textId="77777777" w:rsidR="00D935F2" w:rsidRDefault="00A43D77">
          <w:pPr>
            <w:pStyle w:val="TOC2"/>
            <w:tabs>
              <w:tab w:val="right" w:leader="dot" w:pos="9017"/>
            </w:tabs>
            <w:rPr>
              <w:rFonts w:asciiTheme="minorHAnsi" w:eastAsiaTheme="minorEastAsia" w:hAnsiTheme="minorHAnsi"/>
              <w:noProof/>
              <w:sz w:val="22"/>
            </w:rPr>
          </w:pPr>
          <w:hyperlink w:anchor="_Toc416727101" w:history="1">
            <w:r w:rsidR="00D935F2" w:rsidRPr="00466C39">
              <w:rPr>
                <w:rStyle w:val="Hyperlink"/>
                <w:noProof/>
              </w:rPr>
              <w:t>6.3: Funding for OA Fees</w:t>
            </w:r>
            <w:r w:rsidR="00D935F2">
              <w:rPr>
                <w:noProof/>
                <w:webHidden/>
              </w:rPr>
              <w:tab/>
            </w:r>
            <w:r w:rsidR="00D935F2">
              <w:rPr>
                <w:noProof/>
                <w:webHidden/>
              </w:rPr>
              <w:fldChar w:fldCharType="begin"/>
            </w:r>
            <w:r w:rsidR="00D935F2">
              <w:rPr>
                <w:noProof/>
                <w:webHidden/>
              </w:rPr>
              <w:instrText xml:space="preserve"> PAGEREF _Toc416727101 \h </w:instrText>
            </w:r>
            <w:r w:rsidR="00D935F2">
              <w:rPr>
                <w:noProof/>
                <w:webHidden/>
              </w:rPr>
            </w:r>
            <w:r w:rsidR="00D935F2">
              <w:rPr>
                <w:noProof/>
                <w:webHidden/>
              </w:rPr>
              <w:fldChar w:fldCharType="separate"/>
            </w:r>
            <w:r w:rsidR="00D935F2">
              <w:rPr>
                <w:noProof/>
                <w:webHidden/>
              </w:rPr>
              <w:t>13</w:t>
            </w:r>
            <w:r w:rsidR="00D935F2">
              <w:rPr>
                <w:noProof/>
                <w:webHidden/>
              </w:rPr>
              <w:fldChar w:fldCharType="end"/>
            </w:r>
          </w:hyperlink>
        </w:p>
        <w:p w14:paraId="62515738" w14:textId="77777777" w:rsidR="00D935F2" w:rsidRDefault="00A43D77">
          <w:pPr>
            <w:pStyle w:val="TOC2"/>
            <w:tabs>
              <w:tab w:val="right" w:leader="dot" w:pos="9017"/>
            </w:tabs>
            <w:rPr>
              <w:rFonts w:asciiTheme="minorHAnsi" w:eastAsiaTheme="minorEastAsia" w:hAnsiTheme="minorHAnsi"/>
              <w:noProof/>
              <w:sz w:val="22"/>
            </w:rPr>
          </w:pPr>
          <w:hyperlink w:anchor="_Toc416727102" w:history="1">
            <w:r w:rsidR="00D935F2" w:rsidRPr="00466C39">
              <w:rPr>
                <w:rStyle w:val="Hyperlink"/>
                <w:noProof/>
              </w:rPr>
              <w:t>6.4: Internal Communication Strategy</w:t>
            </w:r>
            <w:r w:rsidR="00D935F2">
              <w:rPr>
                <w:noProof/>
                <w:webHidden/>
              </w:rPr>
              <w:tab/>
            </w:r>
            <w:r w:rsidR="00D935F2">
              <w:rPr>
                <w:noProof/>
                <w:webHidden/>
              </w:rPr>
              <w:fldChar w:fldCharType="begin"/>
            </w:r>
            <w:r w:rsidR="00D935F2">
              <w:rPr>
                <w:noProof/>
                <w:webHidden/>
              </w:rPr>
              <w:instrText xml:space="preserve"> PAGEREF _Toc416727102 \h </w:instrText>
            </w:r>
            <w:r w:rsidR="00D935F2">
              <w:rPr>
                <w:noProof/>
                <w:webHidden/>
              </w:rPr>
            </w:r>
            <w:r w:rsidR="00D935F2">
              <w:rPr>
                <w:noProof/>
                <w:webHidden/>
              </w:rPr>
              <w:fldChar w:fldCharType="separate"/>
            </w:r>
            <w:r w:rsidR="00D935F2">
              <w:rPr>
                <w:noProof/>
                <w:webHidden/>
              </w:rPr>
              <w:t>14</w:t>
            </w:r>
            <w:r w:rsidR="00D935F2">
              <w:rPr>
                <w:noProof/>
                <w:webHidden/>
              </w:rPr>
              <w:fldChar w:fldCharType="end"/>
            </w:r>
          </w:hyperlink>
        </w:p>
        <w:p w14:paraId="658BDE0D" w14:textId="77777777" w:rsidR="00D935F2" w:rsidRDefault="00A43D77">
          <w:pPr>
            <w:pStyle w:val="TOC1"/>
            <w:tabs>
              <w:tab w:val="right" w:leader="dot" w:pos="9017"/>
            </w:tabs>
            <w:rPr>
              <w:rFonts w:asciiTheme="minorHAnsi" w:eastAsiaTheme="minorEastAsia" w:hAnsiTheme="minorHAnsi"/>
              <w:noProof/>
              <w:sz w:val="22"/>
            </w:rPr>
          </w:pPr>
          <w:hyperlink w:anchor="_Toc416727103" w:history="1">
            <w:r w:rsidR="00D935F2" w:rsidRPr="00466C39">
              <w:rPr>
                <w:rStyle w:val="Hyperlink"/>
                <w:noProof/>
              </w:rPr>
              <w:t>Section 7: Promoting and Supporting Researchers’ Implementation of Open Data and Data Management</w:t>
            </w:r>
            <w:r w:rsidR="00D935F2">
              <w:rPr>
                <w:noProof/>
                <w:webHidden/>
              </w:rPr>
              <w:tab/>
            </w:r>
            <w:r w:rsidR="00D935F2">
              <w:rPr>
                <w:noProof/>
                <w:webHidden/>
              </w:rPr>
              <w:fldChar w:fldCharType="begin"/>
            </w:r>
            <w:r w:rsidR="00D935F2">
              <w:rPr>
                <w:noProof/>
                <w:webHidden/>
              </w:rPr>
              <w:instrText xml:space="preserve"> PAGEREF _Toc416727103 \h </w:instrText>
            </w:r>
            <w:r w:rsidR="00D935F2">
              <w:rPr>
                <w:noProof/>
                <w:webHidden/>
              </w:rPr>
            </w:r>
            <w:r w:rsidR="00D935F2">
              <w:rPr>
                <w:noProof/>
                <w:webHidden/>
              </w:rPr>
              <w:fldChar w:fldCharType="separate"/>
            </w:r>
            <w:r w:rsidR="00D935F2">
              <w:rPr>
                <w:noProof/>
                <w:webHidden/>
              </w:rPr>
              <w:t>14</w:t>
            </w:r>
            <w:r w:rsidR="00D935F2">
              <w:rPr>
                <w:noProof/>
                <w:webHidden/>
              </w:rPr>
              <w:fldChar w:fldCharType="end"/>
            </w:r>
          </w:hyperlink>
        </w:p>
        <w:p w14:paraId="41D28957" w14:textId="77777777" w:rsidR="00D935F2" w:rsidRDefault="00A43D77">
          <w:pPr>
            <w:pStyle w:val="TOC2"/>
            <w:tabs>
              <w:tab w:val="right" w:leader="dot" w:pos="9017"/>
            </w:tabs>
            <w:rPr>
              <w:rFonts w:asciiTheme="minorHAnsi" w:eastAsiaTheme="minorEastAsia" w:hAnsiTheme="minorHAnsi"/>
              <w:noProof/>
              <w:sz w:val="22"/>
            </w:rPr>
          </w:pPr>
          <w:hyperlink w:anchor="_Toc416727104" w:history="1">
            <w:r w:rsidR="00D935F2" w:rsidRPr="00466C39">
              <w:rPr>
                <w:rStyle w:val="Hyperlink"/>
                <w:noProof/>
              </w:rPr>
              <w:t>7.1: Deposit Workflow for Open Data Repository</w:t>
            </w:r>
            <w:r w:rsidR="00D935F2">
              <w:rPr>
                <w:noProof/>
                <w:webHidden/>
              </w:rPr>
              <w:tab/>
            </w:r>
            <w:r w:rsidR="00D935F2">
              <w:rPr>
                <w:noProof/>
                <w:webHidden/>
              </w:rPr>
              <w:fldChar w:fldCharType="begin"/>
            </w:r>
            <w:r w:rsidR="00D935F2">
              <w:rPr>
                <w:noProof/>
                <w:webHidden/>
              </w:rPr>
              <w:instrText xml:space="preserve"> PAGEREF _Toc416727104 \h </w:instrText>
            </w:r>
            <w:r w:rsidR="00D935F2">
              <w:rPr>
                <w:noProof/>
                <w:webHidden/>
              </w:rPr>
            </w:r>
            <w:r w:rsidR="00D935F2">
              <w:rPr>
                <w:noProof/>
                <w:webHidden/>
              </w:rPr>
              <w:fldChar w:fldCharType="separate"/>
            </w:r>
            <w:r w:rsidR="00D935F2">
              <w:rPr>
                <w:noProof/>
                <w:webHidden/>
              </w:rPr>
              <w:t>14</w:t>
            </w:r>
            <w:r w:rsidR="00D935F2">
              <w:rPr>
                <w:noProof/>
                <w:webHidden/>
              </w:rPr>
              <w:fldChar w:fldCharType="end"/>
            </w:r>
          </w:hyperlink>
        </w:p>
        <w:p w14:paraId="44EBA8AB" w14:textId="77777777" w:rsidR="00D935F2" w:rsidRDefault="00A43D77">
          <w:pPr>
            <w:pStyle w:val="TOC2"/>
            <w:tabs>
              <w:tab w:val="right" w:leader="dot" w:pos="9017"/>
            </w:tabs>
            <w:rPr>
              <w:rFonts w:asciiTheme="minorHAnsi" w:eastAsiaTheme="minorEastAsia" w:hAnsiTheme="minorHAnsi"/>
              <w:noProof/>
              <w:sz w:val="22"/>
            </w:rPr>
          </w:pPr>
          <w:hyperlink w:anchor="_Toc416727105" w:history="1">
            <w:r w:rsidR="00D935F2" w:rsidRPr="00466C39">
              <w:rPr>
                <w:rStyle w:val="Hyperlink"/>
                <w:noProof/>
              </w:rPr>
              <w:t>7.2: Support for Data Management Practices and Data Quality</w:t>
            </w:r>
            <w:r w:rsidR="00D935F2">
              <w:rPr>
                <w:noProof/>
                <w:webHidden/>
              </w:rPr>
              <w:tab/>
            </w:r>
            <w:r w:rsidR="00D935F2">
              <w:rPr>
                <w:noProof/>
                <w:webHidden/>
              </w:rPr>
              <w:fldChar w:fldCharType="begin"/>
            </w:r>
            <w:r w:rsidR="00D935F2">
              <w:rPr>
                <w:noProof/>
                <w:webHidden/>
              </w:rPr>
              <w:instrText xml:space="preserve"> PAGEREF _Toc416727105 \h </w:instrText>
            </w:r>
            <w:r w:rsidR="00D935F2">
              <w:rPr>
                <w:noProof/>
                <w:webHidden/>
              </w:rPr>
            </w:r>
            <w:r w:rsidR="00D935F2">
              <w:rPr>
                <w:noProof/>
                <w:webHidden/>
              </w:rPr>
              <w:fldChar w:fldCharType="separate"/>
            </w:r>
            <w:r w:rsidR="00D935F2">
              <w:rPr>
                <w:noProof/>
                <w:webHidden/>
              </w:rPr>
              <w:t>14</w:t>
            </w:r>
            <w:r w:rsidR="00D935F2">
              <w:rPr>
                <w:noProof/>
                <w:webHidden/>
              </w:rPr>
              <w:fldChar w:fldCharType="end"/>
            </w:r>
          </w:hyperlink>
        </w:p>
        <w:p w14:paraId="1FB28EB3" w14:textId="77777777" w:rsidR="00D935F2" w:rsidRDefault="00A43D77">
          <w:pPr>
            <w:pStyle w:val="TOC2"/>
            <w:tabs>
              <w:tab w:val="right" w:leader="dot" w:pos="9017"/>
            </w:tabs>
            <w:rPr>
              <w:rFonts w:asciiTheme="minorHAnsi" w:eastAsiaTheme="minorEastAsia" w:hAnsiTheme="minorHAnsi"/>
              <w:noProof/>
              <w:sz w:val="22"/>
            </w:rPr>
          </w:pPr>
          <w:hyperlink w:anchor="_Toc416727106" w:history="1">
            <w:r w:rsidR="00D935F2" w:rsidRPr="00466C39">
              <w:rPr>
                <w:rStyle w:val="Hyperlink"/>
                <w:noProof/>
              </w:rPr>
              <w:t>7.3: Data Streams</w:t>
            </w:r>
            <w:r w:rsidR="00D935F2">
              <w:rPr>
                <w:noProof/>
                <w:webHidden/>
              </w:rPr>
              <w:tab/>
            </w:r>
            <w:r w:rsidR="00D935F2">
              <w:rPr>
                <w:noProof/>
                <w:webHidden/>
              </w:rPr>
              <w:fldChar w:fldCharType="begin"/>
            </w:r>
            <w:r w:rsidR="00D935F2">
              <w:rPr>
                <w:noProof/>
                <w:webHidden/>
              </w:rPr>
              <w:instrText xml:space="preserve"> PAGEREF _Toc416727106 \h </w:instrText>
            </w:r>
            <w:r w:rsidR="00D935F2">
              <w:rPr>
                <w:noProof/>
                <w:webHidden/>
              </w:rPr>
            </w:r>
            <w:r w:rsidR="00D935F2">
              <w:rPr>
                <w:noProof/>
                <w:webHidden/>
              </w:rPr>
              <w:fldChar w:fldCharType="separate"/>
            </w:r>
            <w:r w:rsidR="00D935F2">
              <w:rPr>
                <w:noProof/>
                <w:webHidden/>
              </w:rPr>
              <w:t>14</w:t>
            </w:r>
            <w:r w:rsidR="00D935F2">
              <w:rPr>
                <w:noProof/>
                <w:webHidden/>
              </w:rPr>
              <w:fldChar w:fldCharType="end"/>
            </w:r>
          </w:hyperlink>
        </w:p>
        <w:p w14:paraId="2019360E" w14:textId="77777777" w:rsidR="00D935F2" w:rsidRDefault="00A43D77">
          <w:pPr>
            <w:pStyle w:val="TOC1"/>
            <w:tabs>
              <w:tab w:val="right" w:leader="dot" w:pos="9017"/>
            </w:tabs>
            <w:rPr>
              <w:rFonts w:asciiTheme="minorHAnsi" w:eastAsiaTheme="minorEastAsia" w:hAnsiTheme="minorHAnsi"/>
              <w:noProof/>
              <w:sz w:val="22"/>
            </w:rPr>
          </w:pPr>
          <w:hyperlink w:anchor="_Toc416727107" w:history="1">
            <w:r w:rsidR="00D935F2" w:rsidRPr="00466C39">
              <w:rPr>
                <w:rStyle w:val="Hyperlink"/>
                <w:noProof/>
              </w:rPr>
              <w:t>Section 8: Financial Administration</w:t>
            </w:r>
            <w:r w:rsidR="00D935F2">
              <w:rPr>
                <w:noProof/>
                <w:webHidden/>
              </w:rPr>
              <w:tab/>
            </w:r>
            <w:r w:rsidR="00D935F2">
              <w:rPr>
                <w:noProof/>
                <w:webHidden/>
              </w:rPr>
              <w:fldChar w:fldCharType="begin"/>
            </w:r>
            <w:r w:rsidR="00D935F2">
              <w:rPr>
                <w:noProof/>
                <w:webHidden/>
              </w:rPr>
              <w:instrText xml:space="preserve"> PAGEREF _Toc416727107 \h </w:instrText>
            </w:r>
            <w:r w:rsidR="00D935F2">
              <w:rPr>
                <w:noProof/>
                <w:webHidden/>
              </w:rPr>
            </w:r>
            <w:r w:rsidR="00D935F2">
              <w:rPr>
                <w:noProof/>
                <w:webHidden/>
              </w:rPr>
              <w:fldChar w:fldCharType="separate"/>
            </w:r>
            <w:r w:rsidR="00D935F2">
              <w:rPr>
                <w:noProof/>
                <w:webHidden/>
              </w:rPr>
              <w:t>14</w:t>
            </w:r>
            <w:r w:rsidR="00D935F2">
              <w:rPr>
                <w:noProof/>
                <w:webHidden/>
              </w:rPr>
              <w:fldChar w:fldCharType="end"/>
            </w:r>
          </w:hyperlink>
        </w:p>
        <w:p w14:paraId="023B8670" w14:textId="77777777" w:rsidR="00D935F2" w:rsidRDefault="00A43D77">
          <w:pPr>
            <w:pStyle w:val="TOC2"/>
            <w:tabs>
              <w:tab w:val="right" w:leader="dot" w:pos="9017"/>
            </w:tabs>
            <w:rPr>
              <w:rFonts w:asciiTheme="minorHAnsi" w:eastAsiaTheme="minorEastAsia" w:hAnsiTheme="minorHAnsi"/>
              <w:noProof/>
              <w:sz w:val="22"/>
            </w:rPr>
          </w:pPr>
          <w:hyperlink w:anchor="_Toc416727108" w:history="1">
            <w:r w:rsidR="00D935F2" w:rsidRPr="00466C39">
              <w:rPr>
                <w:rStyle w:val="Hyperlink"/>
                <w:noProof/>
              </w:rPr>
              <w:t>8.1: Major Expenses</w:t>
            </w:r>
            <w:r w:rsidR="00D935F2">
              <w:rPr>
                <w:noProof/>
                <w:webHidden/>
              </w:rPr>
              <w:tab/>
            </w:r>
            <w:r w:rsidR="00D935F2">
              <w:rPr>
                <w:noProof/>
                <w:webHidden/>
              </w:rPr>
              <w:fldChar w:fldCharType="begin"/>
            </w:r>
            <w:r w:rsidR="00D935F2">
              <w:rPr>
                <w:noProof/>
                <w:webHidden/>
              </w:rPr>
              <w:instrText xml:space="preserve"> PAGEREF _Toc416727108 \h </w:instrText>
            </w:r>
            <w:r w:rsidR="00D935F2">
              <w:rPr>
                <w:noProof/>
                <w:webHidden/>
              </w:rPr>
            </w:r>
            <w:r w:rsidR="00D935F2">
              <w:rPr>
                <w:noProof/>
                <w:webHidden/>
              </w:rPr>
              <w:fldChar w:fldCharType="separate"/>
            </w:r>
            <w:r w:rsidR="00D935F2">
              <w:rPr>
                <w:noProof/>
                <w:webHidden/>
              </w:rPr>
              <w:t>14</w:t>
            </w:r>
            <w:r w:rsidR="00D935F2">
              <w:rPr>
                <w:noProof/>
                <w:webHidden/>
              </w:rPr>
              <w:fldChar w:fldCharType="end"/>
            </w:r>
          </w:hyperlink>
        </w:p>
        <w:p w14:paraId="40A137E0" w14:textId="77777777" w:rsidR="00D935F2" w:rsidRDefault="00A43D77">
          <w:pPr>
            <w:pStyle w:val="TOC1"/>
            <w:tabs>
              <w:tab w:val="right" w:leader="dot" w:pos="9017"/>
            </w:tabs>
            <w:rPr>
              <w:rFonts w:asciiTheme="minorHAnsi" w:eastAsiaTheme="minorEastAsia" w:hAnsiTheme="minorHAnsi"/>
              <w:noProof/>
              <w:sz w:val="22"/>
            </w:rPr>
          </w:pPr>
          <w:hyperlink w:anchor="_Toc416727109" w:history="1">
            <w:r w:rsidR="00D935F2" w:rsidRPr="00466C39">
              <w:rPr>
                <w:rStyle w:val="Hyperlink"/>
                <w:noProof/>
              </w:rPr>
              <w:t>Section 9: Assessment, Impact, Review</w:t>
            </w:r>
            <w:r w:rsidR="00D935F2">
              <w:rPr>
                <w:noProof/>
                <w:webHidden/>
              </w:rPr>
              <w:tab/>
            </w:r>
            <w:r w:rsidR="00D935F2">
              <w:rPr>
                <w:noProof/>
                <w:webHidden/>
              </w:rPr>
              <w:fldChar w:fldCharType="begin"/>
            </w:r>
            <w:r w:rsidR="00D935F2">
              <w:rPr>
                <w:noProof/>
                <w:webHidden/>
              </w:rPr>
              <w:instrText xml:space="preserve"> PAGEREF _Toc416727109 \h </w:instrText>
            </w:r>
            <w:r w:rsidR="00D935F2">
              <w:rPr>
                <w:noProof/>
                <w:webHidden/>
              </w:rPr>
            </w:r>
            <w:r w:rsidR="00D935F2">
              <w:rPr>
                <w:noProof/>
                <w:webHidden/>
              </w:rPr>
              <w:fldChar w:fldCharType="separate"/>
            </w:r>
            <w:r w:rsidR="00D935F2">
              <w:rPr>
                <w:noProof/>
                <w:webHidden/>
              </w:rPr>
              <w:t>15</w:t>
            </w:r>
            <w:r w:rsidR="00D935F2">
              <w:rPr>
                <w:noProof/>
                <w:webHidden/>
              </w:rPr>
              <w:fldChar w:fldCharType="end"/>
            </w:r>
          </w:hyperlink>
        </w:p>
        <w:p w14:paraId="03E96745" w14:textId="77777777" w:rsidR="00D935F2" w:rsidRDefault="00A43D77">
          <w:pPr>
            <w:pStyle w:val="TOC2"/>
            <w:tabs>
              <w:tab w:val="right" w:leader="dot" w:pos="9017"/>
            </w:tabs>
            <w:rPr>
              <w:rFonts w:asciiTheme="minorHAnsi" w:eastAsiaTheme="minorEastAsia" w:hAnsiTheme="minorHAnsi"/>
              <w:noProof/>
              <w:sz w:val="22"/>
            </w:rPr>
          </w:pPr>
          <w:hyperlink w:anchor="_Toc416727110" w:history="1">
            <w:r w:rsidR="00D935F2" w:rsidRPr="00466C39">
              <w:rPr>
                <w:rStyle w:val="Hyperlink"/>
                <w:noProof/>
              </w:rPr>
              <w:t>9.1: &lt;Center/CRP&gt; Repository-Level Metrics</w:t>
            </w:r>
            <w:r w:rsidR="00D935F2">
              <w:rPr>
                <w:noProof/>
                <w:webHidden/>
              </w:rPr>
              <w:tab/>
            </w:r>
            <w:r w:rsidR="00D935F2">
              <w:rPr>
                <w:noProof/>
                <w:webHidden/>
              </w:rPr>
              <w:fldChar w:fldCharType="begin"/>
            </w:r>
            <w:r w:rsidR="00D935F2">
              <w:rPr>
                <w:noProof/>
                <w:webHidden/>
              </w:rPr>
              <w:instrText xml:space="preserve"> PAGEREF _Toc416727110 \h </w:instrText>
            </w:r>
            <w:r w:rsidR="00D935F2">
              <w:rPr>
                <w:noProof/>
                <w:webHidden/>
              </w:rPr>
            </w:r>
            <w:r w:rsidR="00D935F2">
              <w:rPr>
                <w:noProof/>
                <w:webHidden/>
              </w:rPr>
              <w:fldChar w:fldCharType="separate"/>
            </w:r>
            <w:r w:rsidR="00D935F2">
              <w:rPr>
                <w:noProof/>
                <w:webHidden/>
              </w:rPr>
              <w:t>15</w:t>
            </w:r>
            <w:r w:rsidR="00D935F2">
              <w:rPr>
                <w:noProof/>
                <w:webHidden/>
              </w:rPr>
              <w:fldChar w:fldCharType="end"/>
            </w:r>
          </w:hyperlink>
        </w:p>
        <w:p w14:paraId="2C2B72D9" w14:textId="77777777" w:rsidR="00D935F2" w:rsidRDefault="00A43D77">
          <w:pPr>
            <w:pStyle w:val="TOC2"/>
            <w:tabs>
              <w:tab w:val="right" w:leader="dot" w:pos="9017"/>
            </w:tabs>
            <w:rPr>
              <w:rFonts w:asciiTheme="minorHAnsi" w:eastAsiaTheme="minorEastAsia" w:hAnsiTheme="minorHAnsi"/>
              <w:noProof/>
              <w:sz w:val="22"/>
            </w:rPr>
          </w:pPr>
          <w:hyperlink w:anchor="_Toc416727111" w:history="1">
            <w:r w:rsidR="00D935F2" w:rsidRPr="00466C39">
              <w:rPr>
                <w:rStyle w:val="Hyperlink"/>
                <w:noProof/>
              </w:rPr>
              <w:t>9.2: Measuring Item-Level Usage/Uptake</w:t>
            </w:r>
            <w:r w:rsidR="00D935F2">
              <w:rPr>
                <w:noProof/>
                <w:webHidden/>
              </w:rPr>
              <w:tab/>
            </w:r>
            <w:r w:rsidR="00D935F2">
              <w:rPr>
                <w:noProof/>
                <w:webHidden/>
              </w:rPr>
              <w:fldChar w:fldCharType="begin"/>
            </w:r>
            <w:r w:rsidR="00D935F2">
              <w:rPr>
                <w:noProof/>
                <w:webHidden/>
              </w:rPr>
              <w:instrText xml:space="preserve"> PAGEREF _Toc416727111 \h </w:instrText>
            </w:r>
            <w:r w:rsidR="00D935F2">
              <w:rPr>
                <w:noProof/>
                <w:webHidden/>
              </w:rPr>
            </w:r>
            <w:r w:rsidR="00D935F2">
              <w:rPr>
                <w:noProof/>
                <w:webHidden/>
              </w:rPr>
              <w:fldChar w:fldCharType="separate"/>
            </w:r>
            <w:r w:rsidR="00D935F2">
              <w:rPr>
                <w:noProof/>
                <w:webHidden/>
              </w:rPr>
              <w:t>16</w:t>
            </w:r>
            <w:r w:rsidR="00D935F2">
              <w:rPr>
                <w:noProof/>
                <w:webHidden/>
              </w:rPr>
              <w:fldChar w:fldCharType="end"/>
            </w:r>
          </w:hyperlink>
        </w:p>
        <w:p w14:paraId="19E1ABD4" w14:textId="77777777" w:rsidR="00D935F2" w:rsidRDefault="00A43D77">
          <w:pPr>
            <w:pStyle w:val="TOC2"/>
            <w:tabs>
              <w:tab w:val="right" w:leader="dot" w:pos="9017"/>
            </w:tabs>
            <w:rPr>
              <w:rFonts w:asciiTheme="minorHAnsi" w:eastAsiaTheme="minorEastAsia" w:hAnsiTheme="minorHAnsi"/>
              <w:noProof/>
              <w:sz w:val="22"/>
            </w:rPr>
          </w:pPr>
          <w:hyperlink w:anchor="_Toc416727112" w:history="1">
            <w:r w:rsidR="00D935F2" w:rsidRPr="00466C39">
              <w:rPr>
                <w:rStyle w:val="Hyperlink"/>
                <w:noProof/>
              </w:rPr>
              <w:t>9.3: Measuring Individuals’ Compliance</w:t>
            </w:r>
            <w:r w:rsidR="00D935F2">
              <w:rPr>
                <w:noProof/>
                <w:webHidden/>
              </w:rPr>
              <w:tab/>
            </w:r>
            <w:r w:rsidR="00D935F2">
              <w:rPr>
                <w:noProof/>
                <w:webHidden/>
              </w:rPr>
              <w:fldChar w:fldCharType="begin"/>
            </w:r>
            <w:r w:rsidR="00D935F2">
              <w:rPr>
                <w:noProof/>
                <w:webHidden/>
              </w:rPr>
              <w:instrText xml:space="preserve"> PAGEREF _Toc416727112 \h </w:instrText>
            </w:r>
            <w:r w:rsidR="00D935F2">
              <w:rPr>
                <w:noProof/>
                <w:webHidden/>
              </w:rPr>
            </w:r>
            <w:r w:rsidR="00D935F2">
              <w:rPr>
                <w:noProof/>
                <w:webHidden/>
              </w:rPr>
              <w:fldChar w:fldCharType="separate"/>
            </w:r>
            <w:r w:rsidR="00D935F2">
              <w:rPr>
                <w:noProof/>
                <w:webHidden/>
              </w:rPr>
              <w:t>16</w:t>
            </w:r>
            <w:r w:rsidR="00D935F2">
              <w:rPr>
                <w:noProof/>
                <w:webHidden/>
              </w:rPr>
              <w:fldChar w:fldCharType="end"/>
            </w:r>
          </w:hyperlink>
        </w:p>
        <w:p w14:paraId="018991F3" w14:textId="77777777" w:rsidR="00D935F2" w:rsidRDefault="00A43D77">
          <w:pPr>
            <w:pStyle w:val="TOC2"/>
            <w:tabs>
              <w:tab w:val="right" w:leader="dot" w:pos="9017"/>
            </w:tabs>
            <w:rPr>
              <w:rFonts w:asciiTheme="minorHAnsi" w:eastAsiaTheme="minorEastAsia" w:hAnsiTheme="minorHAnsi"/>
              <w:noProof/>
              <w:sz w:val="22"/>
            </w:rPr>
          </w:pPr>
          <w:hyperlink w:anchor="_Toc416727113" w:history="1">
            <w:r w:rsidR="00D935F2" w:rsidRPr="00466C39">
              <w:rPr>
                <w:rStyle w:val="Hyperlink"/>
                <w:noProof/>
              </w:rPr>
              <w:t>9.4 Assessing and Reviewing &lt;Center/CRP&gt;-Level Progress and Impact</w:t>
            </w:r>
            <w:r w:rsidR="00D935F2">
              <w:rPr>
                <w:noProof/>
                <w:webHidden/>
              </w:rPr>
              <w:tab/>
            </w:r>
            <w:r w:rsidR="00D935F2">
              <w:rPr>
                <w:noProof/>
                <w:webHidden/>
              </w:rPr>
              <w:fldChar w:fldCharType="begin"/>
            </w:r>
            <w:r w:rsidR="00D935F2">
              <w:rPr>
                <w:noProof/>
                <w:webHidden/>
              </w:rPr>
              <w:instrText xml:space="preserve"> PAGEREF _Toc416727113 \h </w:instrText>
            </w:r>
            <w:r w:rsidR="00D935F2">
              <w:rPr>
                <w:noProof/>
                <w:webHidden/>
              </w:rPr>
            </w:r>
            <w:r w:rsidR="00D935F2">
              <w:rPr>
                <w:noProof/>
                <w:webHidden/>
              </w:rPr>
              <w:fldChar w:fldCharType="separate"/>
            </w:r>
            <w:r w:rsidR="00D935F2">
              <w:rPr>
                <w:noProof/>
                <w:webHidden/>
              </w:rPr>
              <w:t>16</w:t>
            </w:r>
            <w:r w:rsidR="00D935F2">
              <w:rPr>
                <w:noProof/>
                <w:webHidden/>
              </w:rPr>
              <w:fldChar w:fldCharType="end"/>
            </w:r>
          </w:hyperlink>
        </w:p>
        <w:p w14:paraId="15B0D805" w14:textId="77777777" w:rsidR="00D935F2" w:rsidRDefault="00A43D77">
          <w:pPr>
            <w:pStyle w:val="TOC2"/>
            <w:tabs>
              <w:tab w:val="right" w:leader="dot" w:pos="9017"/>
            </w:tabs>
            <w:rPr>
              <w:rFonts w:asciiTheme="minorHAnsi" w:eastAsiaTheme="minorEastAsia" w:hAnsiTheme="minorHAnsi"/>
              <w:noProof/>
              <w:sz w:val="22"/>
            </w:rPr>
          </w:pPr>
          <w:hyperlink w:anchor="_Toc416727114" w:history="1">
            <w:r w:rsidR="00D935F2" w:rsidRPr="00466C39">
              <w:rPr>
                <w:rStyle w:val="Hyperlink"/>
                <w:noProof/>
              </w:rPr>
              <w:t>9.5: Increasing Visibility – Additional Steps</w:t>
            </w:r>
            <w:r w:rsidR="00D935F2">
              <w:rPr>
                <w:noProof/>
                <w:webHidden/>
              </w:rPr>
              <w:tab/>
            </w:r>
            <w:r w:rsidR="00D935F2">
              <w:rPr>
                <w:noProof/>
                <w:webHidden/>
              </w:rPr>
              <w:fldChar w:fldCharType="begin"/>
            </w:r>
            <w:r w:rsidR="00D935F2">
              <w:rPr>
                <w:noProof/>
                <w:webHidden/>
              </w:rPr>
              <w:instrText xml:space="preserve"> PAGEREF _Toc416727114 \h </w:instrText>
            </w:r>
            <w:r w:rsidR="00D935F2">
              <w:rPr>
                <w:noProof/>
                <w:webHidden/>
              </w:rPr>
            </w:r>
            <w:r w:rsidR="00D935F2">
              <w:rPr>
                <w:noProof/>
                <w:webHidden/>
              </w:rPr>
              <w:fldChar w:fldCharType="separate"/>
            </w:r>
            <w:r w:rsidR="00D935F2">
              <w:rPr>
                <w:noProof/>
                <w:webHidden/>
              </w:rPr>
              <w:t>16</w:t>
            </w:r>
            <w:r w:rsidR="00D935F2">
              <w:rPr>
                <w:noProof/>
                <w:webHidden/>
              </w:rPr>
              <w:fldChar w:fldCharType="end"/>
            </w:r>
          </w:hyperlink>
        </w:p>
        <w:p w14:paraId="79916A4C" w14:textId="77777777" w:rsidR="007F0178" w:rsidRDefault="007F0178">
          <w:r w:rsidRPr="00F74DBD">
            <w:rPr>
              <w:b/>
              <w:bCs/>
              <w:noProof/>
              <w:sz w:val="22"/>
            </w:rPr>
            <w:fldChar w:fldCharType="end"/>
          </w:r>
        </w:p>
      </w:sdtContent>
    </w:sdt>
    <w:p w14:paraId="5AA7CD4F" w14:textId="77777777" w:rsidR="007F0178" w:rsidRDefault="007F0178">
      <w:r>
        <w:br w:type="page"/>
      </w:r>
    </w:p>
    <w:p w14:paraId="727C3885" w14:textId="77777777" w:rsidR="00C616A0" w:rsidRPr="00A34113" w:rsidRDefault="00C616A0" w:rsidP="00AC6A9B">
      <w:pPr>
        <w:pStyle w:val="Heading1"/>
      </w:pPr>
      <w:bookmarkStart w:id="0" w:name="_Toc416727069"/>
      <w:r w:rsidRPr="00A34113">
        <w:t>Section 1: Introduction</w:t>
      </w:r>
      <w:bookmarkEnd w:id="0"/>
    </w:p>
    <w:p w14:paraId="22914AF1" w14:textId="77777777" w:rsidR="00E84519" w:rsidRDefault="00E84519" w:rsidP="000A7DB4"/>
    <w:p w14:paraId="3AF4C682" w14:textId="77777777" w:rsidR="00941665" w:rsidRPr="00941665" w:rsidRDefault="00E84519" w:rsidP="00B23069">
      <w:pPr>
        <w:pStyle w:val="Heading2"/>
      </w:pPr>
      <w:bookmarkStart w:id="1" w:name="_Toc416727070"/>
      <w:r>
        <w:t>1.1</w:t>
      </w:r>
      <w:r w:rsidR="00B23069">
        <w:t>: Purpose</w:t>
      </w:r>
      <w:r>
        <w:t xml:space="preserve"> of the OA/OD Implementation Plan</w:t>
      </w:r>
      <w:bookmarkEnd w:id="1"/>
    </w:p>
    <w:p w14:paraId="5B704397" w14:textId="77777777" w:rsidR="00B23069" w:rsidRPr="00A23CEC" w:rsidRDefault="00E276B6" w:rsidP="00C616A0">
      <w:pPr>
        <w:rPr>
          <w:i/>
          <w:color w:val="0000FF"/>
          <w:szCs w:val="20"/>
        </w:rPr>
      </w:pPr>
      <w:r w:rsidRPr="00A23CEC">
        <w:rPr>
          <w:i/>
          <w:color w:val="0000FF"/>
          <w:szCs w:val="20"/>
        </w:rPr>
        <w:t>[This subsection presents a very brief introduction to &lt;Center/CRP’s&gt; implementation of Open Access and Open Data</w:t>
      </w:r>
      <w:r w:rsidR="00E84519" w:rsidRPr="00A23CEC">
        <w:rPr>
          <w:i/>
          <w:color w:val="0000FF"/>
          <w:szCs w:val="20"/>
        </w:rPr>
        <w:t>.]</w:t>
      </w:r>
    </w:p>
    <w:p w14:paraId="7CDDD3F0" w14:textId="77777777" w:rsidR="00E276B6" w:rsidRDefault="00E276B6" w:rsidP="00C616A0">
      <w:pPr>
        <w:rPr>
          <w:szCs w:val="20"/>
        </w:rPr>
      </w:pPr>
    </w:p>
    <w:p w14:paraId="6518A774" w14:textId="77777777" w:rsidR="00117232" w:rsidRDefault="00117232" w:rsidP="00C616A0">
      <w:pPr>
        <w:rPr>
          <w:szCs w:val="20"/>
        </w:rPr>
      </w:pPr>
      <w:r>
        <w:rPr>
          <w:szCs w:val="20"/>
        </w:rPr>
        <w:t xml:space="preserve">Open Access is vitally important to increasing the visibility, accessibility and impact of the research of CGIAR and other agricultural research for development stakeholders. </w:t>
      </w:r>
      <w:proofErr w:type="gramStart"/>
      <w:r>
        <w:rPr>
          <w:szCs w:val="20"/>
        </w:rPr>
        <w:t>A number of</w:t>
      </w:r>
      <w:proofErr w:type="gramEnd"/>
      <w:r>
        <w:rPr>
          <w:szCs w:val="20"/>
        </w:rPr>
        <w:t xml:space="preserve"> reports and studies have established that Open Access not only increases the visibility of research but also increases the citation rate of research and the utility of underlying data. Furthermore, a rigorous and consistent approach to data management will ensure that data is collected, stored, analyzed and shared in a manner that will have the greatest impact, whilst also protecting the rights of third parties and stakeholders where appropriate. </w:t>
      </w:r>
    </w:p>
    <w:p w14:paraId="7DDD0459" w14:textId="77777777" w:rsidR="00E84519" w:rsidRDefault="00E84519" w:rsidP="00C616A0">
      <w:pPr>
        <w:rPr>
          <w:szCs w:val="20"/>
        </w:rPr>
      </w:pPr>
    </w:p>
    <w:p w14:paraId="22FCCA29" w14:textId="77777777" w:rsidR="00A23CEC" w:rsidRPr="00A23CEC" w:rsidRDefault="00A23CEC" w:rsidP="00C616A0">
      <w:pPr>
        <w:rPr>
          <w:i/>
          <w:color w:val="0000FF"/>
          <w:szCs w:val="20"/>
        </w:rPr>
      </w:pPr>
      <w:r w:rsidRPr="00A23CEC">
        <w:rPr>
          <w:i/>
          <w:color w:val="0000FF"/>
          <w:szCs w:val="20"/>
        </w:rPr>
        <w:t>[</w:t>
      </w:r>
      <w:r>
        <w:rPr>
          <w:i/>
          <w:color w:val="0000FF"/>
          <w:szCs w:val="20"/>
        </w:rPr>
        <w:t xml:space="preserve">Note: </w:t>
      </w:r>
      <w:r w:rsidRPr="00A23CEC">
        <w:rPr>
          <w:i/>
          <w:color w:val="0000FF"/>
          <w:szCs w:val="20"/>
        </w:rPr>
        <w:t>If the Plan has been written by a team that includes external authors, please include a short footnote identifying these authors and offering a brief statement about their expertise in this arena.]</w:t>
      </w:r>
    </w:p>
    <w:p w14:paraId="56E45C3D" w14:textId="77777777" w:rsidR="00A23CEC" w:rsidRDefault="00A23CEC" w:rsidP="00C616A0">
      <w:pPr>
        <w:rPr>
          <w:szCs w:val="20"/>
        </w:rPr>
      </w:pPr>
    </w:p>
    <w:p w14:paraId="11B365BB" w14:textId="26298E54" w:rsidR="000A7DB4" w:rsidRDefault="00E84519" w:rsidP="000A7DB4">
      <w:pPr>
        <w:pStyle w:val="Heading2"/>
      </w:pPr>
      <w:bookmarkStart w:id="2" w:name="_Toc416727071"/>
      <w:r>
        <w:t>1.2</w:t>
      </w:r>
      <w:r w:rsidR="000A7DB4">
        <w:t xml:space="preserve">: </w:t>
      </w:r>
      <w:r w:rsidR="007B28A6">
        <w:t xml:space="preserve">Scope </w:t>
      </w:r>
      <w:r w:rsidR="00E66860">
        <w:t xml:space="preserve">of Open Access </w:t>
      </w:r>
      <w:r w:rsidR="007B28A6">
        <w:t xml:space="preserve">and </w:t>
      </w:r>
      <w:r w:rsidR="000A7DB4">
        <w:t>Definition of Openness</w:t>
      </w:r>
      <w:bookmarkEnd w:id="2"/>
      <w:r w:rsidR="007B28A6">
        <w:t xml:space="preserve"> </w:t>
      </w:r>
    </w:p>
    <w:p w14:paraId="72631F27" w14:textId="77777777" w:rsidR="007B28A6" w:rsidRDefault="007B28A6" w:rsidP="00C616A0">
      <w:pPr>
        <w:rPr>
          <w:i/>
          <w:color w:val="0000FF"/>
          <w:szCs w:val="20"/>
        </w:rPr>
      </w:pPr>
    </w:p>
    <w:p w14:paraId="1D4BBF5E" w14:textId="04B01168" w:rsidR="007B28A6" w:rsidRDefault="007B28A6" w:rsidP="007B28A6">
      <w:pPr>
        <w:rPr>
          <w:color w:val="0000FF"/>
          <w:szCs w:val="20"/>
        </w:rPr>
      </w:pPr>
      <w:r w:rsidRPr="000A7DB4">
        <w:rPr>
          <w:i/>
          <w:color w:val="0000FF"/>
          <w:szCs w:val="20"/>
        </w:rPr>
        <w:t>[</w:t>
      </w:r>
      <w:r w:rsidRPr="00BB439E">
        <w:rPr>
          <w:i/>
          <w:color w:val="0000FF"/>
          <w:szCs w:val="20"/>
        </w:rPr>
        <w:t xml:space="preserve">This subsection includes a </w:t>
      </w:r>
      <w:r w:rsidR="00E66860" w:rsidRPr="00BB439E">
        <w:rPr>
          <w:i/>
          <w:color w:val="0000FF"/>
          <w:szCs w:val="20"/>
        </w:rPr>
        <w:t xml:space="preserve">description of the scope of </w:t>
      </w:r>
      <w:r w:rsidR="004A4758" w:rsidRPr="00BB439E">
        <w:rPr>
          <w:i/>
          <w:color w:val="0000FF"/>
          <w:szCs w:val="20"/>
        </w:rPr>
        <w:t>Open Access applicable pursuant to the CGIAR Open Access and Data Management Policy</w:t>
      </w:r>
      <w:r w:rsidR="00BB439E">
        <w:rPr>
          <w:i/>
          <w:color w:val="0000FF"/>
          <w:szCs w:val="20"/>
        </w:rPr>
        <w:t>.</w:t>
      </w:r>
      <w:r>
        <w:rPr>
          <w:i/>
          <w:color w:val="0000FF"/>
          <w:szCs w:val="20"/>
        </w:rPr>
        <w:t>]</w:t>
      </w:r>
    </w:p>
    <w:p w14:paraId="7DF94306" w14:textId="77777777" w:rsidR="007B28A6" w:rsidRDefault="007B28A6" w:rsidP="007B28A6">
      <w:pPr>
        <w:rPr>
          <w:color w:val="0000FF"/>
          <w:szCs w:val="20"/>
        </w:rPr>
      </w:pPr>
    </w:p>
    <w:p w14:paraId="5E8D4120" w14:textId="214045D1" w:rsidR="007B28A6" w:rsidRDefault="007B28A6" w:rsidP="007B28A6">
      <w:pPr>
        <w:rPr>
          <w:szCs w:val="20"/>
        </w:rPr>
      </w:pPr>
      <w:r>
        <w:rPr>
          <w:szCs w:val="20"/>
        </w:rPr>
        <w:t xml:space="preserve">This </w:t>
      </w:r>
      <w:r w:rsidRPr="007B28A6">
        <w:rPr>
          <w:szCs w:val="20"/>
        </w:rPr>
        <w:t>OA/OD Implementation Plan</w:t>
      </w:r>
      <w:r>
        <w:rPr>
          <w:szCs w:val="20"/>
        </w:rPr>
        <w:t xml:space="preserve"> has been developed </w:t>
      </w:r>
      <w:r w:rsidR="00C62CF9">
        <w:rPr>
          <w:szCs w:val="20"/>
        </w:rPr>
        <w:t>pursuant to</w:t>
      </w:r>
      <w:r>
        <w:rPr>
          <w:szCs w:val="20"/>
        </w:rPr>
        <w:t xml:space="preserve"> the CGIAR Open Access and Data Management Policy (</w:t>
      </w:r>
      <w:r w:rsidR="00E66860">
        <w:rPr>
          <w:szCs w:val="20"/>
        </w:rPr>
        <w:t xml:space="preserve">adopted </w:t>
      </w:r>
      <w:r>
        <w:rPr>
          <w:szCs w:val="20"/>
        </w:rPr>
        <w:t>201</w:t>
      </w:r>
      <w:r w:rsidR="00312EDA">
        <w:rPr>
          <w:szCs w:val="20"/>
        </w:rPr>
        <w:t>3</w:t>
      </w:r>
      <w:r>
        <w:rPr>
          <w:szCs w:val="20"/>
        </w:rPr>
        <w:t>) and the CGIAR Open Access and Data Management Implementation Guidelines</w:t>
      </w:r>
      <w:r w:rsidR="00E66860">
        <w:rPr>
          <w:szCs w:val="20"/>
        </w:rPr>
        <w:t xml:space="preserve"> (adopted 2014)</w:t>
      </w:r>
      <w:r w:rsidRPr="005E3362">
        <w:rPr>
          <w:szCs w:val="20"/>
        </w:rPr>
        <w:t>.</w:t>
      </w:r>
      <w:r w:rsidR="00E66860">
        <w:rPr>
          <w:szCs w:val="20"/>
        </w:rPr>
        <w:t xml:space="preserve"> </w:t>
      </w:r>
      <w:r w:rsidR="00312EDA">
        <w:rPr>
          <w:szCs w:val="20"/>
        </w:rPr>
        <w:t>This</w:t>
      </w:r>
      <w:r w:rsidR="00E66860">
        <w:rPr>
          <w:szCs w:val="20"/>
        </w:rPr>
        <w:t xml:space="preserve"> policy framework</w:t>
      </w:r>
      <w:r w:rsidR="00E87003">
        <w:rPr>
          <w:szCs w:val="20"/>
        </w:rPr>
        <w:t xml:space="preserve"> </w:t>
      </w:r>
      <w:r w:rsidR="00312EDA">
        <w:rPr>
          <w:szCs w:val="20"/>
        </w:rPr>
        <w:t xml:space="preserve">stipulates that </w:t>
      </w:r>
      <w:r w:rsidR="00E87003">
        <w:rPr>
          <w:szCs w:val="20"/>
        </w:rPr>
        <w:t xml:space="preserve">Open Access is required </w:t>
      </w:r>
      <w:r w:rsidR="00312EDA">
        <w:rPr>
          <w:szCs w:val="20"/>
        </w:rPr>
        <w:t>to</w:t>
      </w:r>
      <w:r w:rsidR="00E87003">
        <w:rPr>
          <w:szCs w:val="20"/>
        </w:rPr>
        <w:t xml:space="preserve"> all CGIAR information products</w:t>
      </w:r>
      <w:r w:rsidR="00312EDA">
        <w:rPr>
          <w:szCs w:val="20"/>
        </w:rPr>
        <w:t xml:space="preserve">, </w:t>
      </w:r>
      <w:proofErr w:type="gramStart"/>
      <w:r w:rsidR="00312EDA">
        <w:rPr>
          <w:szCs w:val="20"/>
        </w:rPr>
        <w:t>with the exception of</w:t>
      </w:r>
      <w:proofErr w:type="gramEnd"/>
      <w:r w:rsidR="00312EDA">
        <w:rPr>
          <w:szCs w:val="20"/>
        </w:rPr>
        <w:t xml:space="preserve"> those</w:t>
      </w:r>
      <w:r w:rsidR="00E87003">
        <w:rPr>
          <w:szCs w:val="20"/>
        </w:rPr>
        <w:t xml:space="preserve"> </w:t>
      </w:r>
      <w:r w:rsidR="00963391">
        <w:rPr>
          <w:szCs w:val="20"/>
        </w:rPr>
        <w:t xml:space="preserve">subject to narrow limitations </w:t>
      </w:r>
      <w:r w:rsidR="00312EDA">
        <w:rPr>
          <w:szCs w:val="20"/>
        </w:rPr>
        <w:t>such as</w:t>
      </w:r>
      <w:r w:rsidR="00E66860">
        <w:rPr>
          <w:szCs w:val="20"/>
        </w:rPr>
        <w:t>:</w:t>
      </w:r>
    </w:p>
    <w:p w14:paraId="08DB16F9" w14:textId="01BB4B1E" w:rsidR="00C62CF9" w:rsidRDefault="00BB439E" w:rsidP="003A326F">
      <w:pPr>
        <w:pStyle w:val="ListParagraph"/>
        <w:numPr>
          <w:ilvl w:val="0"/>
          <w:numId w:val="16"/>
        </w:numPr>
        <w:rPr>
          <w:szCs w:val="20"/>
        </w:rPr>
      </w:pPr>
      <w:r>
        <w:rPr>
          <w:szCs w:val="20"/>
        </w:rPr>
        <w:t>F</w:t>
      </w:r>
      <w:r w:rsidR="00C62CF9" w:rsidRPr="00C62CF9">
        <w:rPr>
          <w:szCs w:val="20"/>
        </w:rPr>
        <w:t xml:space="preserve">inal information products produced </w:t>
      </w:r>
      <w:r w:rsidR="00E87003">
        <w:rPr>
          <w:szCs w:val="20"/>
        </w:rPr>
        <w:t xml:space="preserve">prior to </w:t>
      </w:r>
      <w:r w:rsidR="00E87003" w:rsidRPr="00C62CF9">
        <w:rPr>
          <w:szCs w:val="20"/>
        </w:rPr>
        <w:t>2 October 2013</w:t>
      </w:r>
      <w:r w:rsidR="00E87003">
        <w:rPr>
          <w:szCs w:val="20"/>
        </w:rPr>
        <w:t xml:space="preserve"> (i.e. </w:t>
      </w:r>
      <w:r w:rsidR="00E87003" w:rsidRPr="00C62CF9">
        <w:rPr>
          <w:szCs w:val="20"/>
        </w:rPr>
        <w:t>the effective date</w:t>
      </w:r>
      <w:r w:rsidR="00E87003">
        <w:rPr>
          <w:szCs w:val="20"/>
        </w:rPr>
        <w:t xml:space="preserve"> of the</w:t>
      </w:r>
      <w:r w:rsidR="00C62CF9" w:rsidRPr="00C62CF9">
        <w:rPr>
          <w:szCs w:val="20"/>
        </w:rPr>
        <w:t xml:space="preserve"> </w:t>
      </w:r>
      <w:r w:rsidR="00E87003">
        <w:rPr>
          <w:szCs w:val="20"/>
        </w:rPr>
        <w:t>CGIAR Open Access and Data Management Policy);</w:t>
      </w:r>
    </w:p>
    <w:p w14:paraId="59949340" w14:textId="149DC847" w:rsidR="00E87003" w:rsidRDefault="00BB439E" w:rsidP="00E87003">
      <w:pPr>
        <w:pStyle w:val="ListParagraph"/>
        <w:numPr>
          <w:ilvl w:val="0"/>
          <w:numId w:val="16"/>
        </w:numPr>
        <w:rPr>
          <w:szCs w:val="20"/>
        </w:rPr>
      </w:pPr>
      <w:r>
        <w:rPr>
          <w:szCs w:val="20"/>
        </w:rPr>
        <w:t>I</w:t>
      </w:r>
      <w:r w:rsidR="00E87003" w:rsidRPr="00E66860">
        <w:rPr>
          <w:szCs w:val="20"/>
        </w:rPr>
        <w:t xml:space="preserve">nformation products that are </w:t>
      </w:r>
      <w:r w:rsidR="00E87003">
        <w:rPr>
          <w:szCs w:val="20"/>
        </w:rPr>
        <w:t>un</w:t>
      </w:r>
      <w:r w:rsidR="00E87003" w:rsidRPr="00E66860">
        <w:rPr>
          <w:szCs w:val="20"/>
        </w:rPr>
        <w:t>stable</w:t>
      </w:r>
      <w:r w:rsidR="00E87003">
        <w:rPr>
          <w:szCs w:val="20"/>
        </w:rPr>
        <w:t xml:space="preserve">, </w:t>
      </w:r>
      <w:r w:rsidR="00E87003" w:rsidRPr="00E66860">
        <w:rPr>
          <w:szCs w:val="20"/>
        </w:rPr>
        <w:t xml:space="preserve">unlikely to undergo further change </w:t>
      </w:r>
      <w:r w:rsidR="00E87003">
        <w:rPr>
          <w:szCs w:val="20"/>
        </w:rPr>
        <w:t>or contain characteristics which are assessed to be of limited value to others (e.g. due to low quality);</w:t>
      </w:r>
    </w:p>
    <w:p w14:paraId="511B5D90" w14:textId="4F054441" w:rsidR="00E87003" w:rsidRDefault="00BB439E" w:rsidP="003A326F">
      <w:pPr>
        <w:pStyle w:val="ListParagraph"/>
        <w:numPr>
          <w:ilvl w:val="0"/>
          <w:numId w:val="16"/>
        </w:numPr>
        <w:rPr>
          <w:szCs w:val="20"/>
        </w:rPr>
      </w:pPr>
      <w:r>
        <w:rPr>
          <w:szCs w:val="20"/>
        </w:rPr>
        <w:t>I</w:t>
      </w:r>
      <w:r w:rsidR="00963391" w:rsidRPr="00E66860">
        <w:rPr>
          <w:szCs w:val="20"/>
        </w:rPr>
        <w:t>nformation</w:t>
      </w:r>
      <w:r w:rsidR="00E87003" w:rsidRPr="00E66860">
        <w:rPr>
          <w:szCs w:val="20"/>
        </w:rPr>
        <w:t xml:space="preserve"> </w:t>
      </w:r>
      <w:r w:rsidR="00E87003">
        <w:rPr>
          <w:szCs w:val="20"/>
        </w:rPr>
        <w:t xml:space="preserve">that is </w:t>
      </w:r>
      <w:r w:rsidR="004A4758">
        <w:rPr>
          <w:szCs w:val="20"/>
        </w:rPr>
        <w:t>determined to be of</w:t>
      </w:r>
      <w:r w:rsidR="00963391">
        <w:rPr>
          <w:szCs w:val="20"/>
        </w:rPr>
        <w:t xml:space="preserve"> a sensitive nature </w:t>
      </w:r>
      <w:r w:rsidR="00312EDA">
        <w:rPr>
          <w:szCs w:val="20"/>
        </w:rPr>
        <w:t>due</w:t>
      </w:r>
      <w:r w:rsidR="00963391">
        <w:rPr>
          <w:szCs w:val="20"/>
        </w:rPr>
        <w:t xml:space="preserve"> to considerations including privacy, </w:t>
      </w:r>
      <w:r w:rsidR="00E87003" w:rsidRPr="00E87003">
        <w:rPr>
          <w:szCs w:val="20"/>
        </w:rPr>
        <w:t>price</w:t>
      </w:r>
      <w:r w:rsidR="004A4758">
        <w:rPr>
          <w:szCs w:val="20"/>
        </w:rPr>
        <w:t xml:space="preserve"> and </w:t>
      </w:r>
      <w:r w:rsidR="00963391">
        <w:rPr>
          <w:szCs w:val="20"/>
        </w:rPr>
        <w:t xml:space="preserve">political </w:t>
      </w:r>
      <w:r w:rsidR="00E87003" w:rsidRPr="00E87003">
        <w:rPr>
          <w:szCs w:val="20"/>
        </w:rPr>
        <w:t>sensitiv</w:t>
      </w:r>
      <w:r w:rsidR="00963391">
        <w:rPr>
          <w:szCs w:val="20"/>
        </w:rPr>
        <w:t>ity</w:t>
      </w:r>
      <w:r w:rsidR="004A4758">
        <w:rPr>
          <w:szCs w:val="20"/>
        </w:rPr>
        <w:t>, adverse effects on farmers rights, etc.</w:t>
      </w:r>
    </w:p>
    <w:p w14:paraId="7C2D7511" w14:textId="76DE453D" w:rsidR="00963391" w:rsidRDefault="00BB439E" w:rsidP="003A326F">
      <w:pPr>
        <w:pStyle w:val="ListParagraph"/>
        <w:numPr>
          <w:ilvl w:val="0"/>
          <w:numId w:val="16"/>
        </w:numPr>
        <w:rPr>
          <w:szCs w:val="20"/>
        </w:rPr>
      </w:pPr>
      <w:r>
        <w:rPr>
          <w:szCs w:val="20"/>
        </w:rPr>
        <w:t>C</w:t>
      </w:r>
      <w:r w:rsidR="00963391">
        <w:rPr>
          <w:szCs w:val="20"/>
        </w:rPr>
        <w:t xml:space="preserve">onfidential information associated with permitted restrictions or subject to limited delays to seek IP rights pursuant to the CGIAR </w:t>
      </w:r>
      <w:r w:rsidR="00C528C0">
        <w:rPr>
          <w:szCs w:val="20"/>
        </w:rPr>
        <w:t>IA Principles;</w:t>
      </w:r>
    </w:p>
    <w:p w14:paraId="4B48DB22" w14:textId="772D512C" w:rsidR="00C528C0" w:rsidRPr="00C528C0" w:rsidRDefault="00BB439E" w:rsidP="003A326F">
      <w:pPr>
        <w:pStyle w:val="ListParagraph"/>
        <w:numPr>
          <w:ilvl w:val="0"/>
          <w:numId w:val="16"/>
        </w:numPr>
        <w:rPr>
          <w:szCs w:val="20"/>
        </w:rPr>
      </w:pPr>
      <w:r>
        <w:rPr>
          <w:szCs w:val="20"/>
        </w:rPr>
        <w:t>C</w:t>
      </w:r>
      <w:r w:rsidR="00C528C0">
        <w:rPr>
          <w:szCs w:val="20"/>
        </w:rPr>
        <w:t xml:space="preserve">onfidential information of Centers beyond the scope of the CGIAR Open Access and Data Management Policy or the IA </w:t>
      </w:r>
      <w:r w:rsidR="00C12B0F">
        <w:rPr>
          <w:szCs w:val="20"/>
        </w:rPr>
        <w:t>Principles (</w:t>
      </w:r>
      <w:r w:rsidR="00C528C0">
        <w:rPr>
          <w:szCs w:val="20"/>
        </w:rPr>
        <w:t>f</w:t>
      </w:r>
      <w:r w:rsidR="00C528C0" w:rsidRPr="00C528C0">
        <w:rPr>
          <w:szCs w:val="20"/>
        </w:rPr>
        <w:t>or instance, HR hiring documents, personnel records, certain types of financial records, certain types of contracts or vendor agreements, private Board of Trustee minutes all include sensitive and/or confidential information and will not be included in OA repositories</w:t>
      </w:r>
      <w:r w:rsidR="00C528C0">
        <w:rPr>
          <w:szCs w:val="20"/>
        </w:rPr>
        <w:t>).</w:t>
      </w:r>
    </w:p>
    <w:p w14:paraId="0E6D5891" w14:textId="77777777" w:rsidR="00E66860" w:rsidRPr="005E3362" w:rsidRDefault="00E66860" w:rsidP="007B28A6">
      <w:pPr>
        <w:rPr>
          <w:color w:val="0000FF"/>
          <w:szCs w:val="20"/>
        </w:rPr>
      </w:pPr>
    </w:p>
    <w:p w14:paraId="2A527B0C" w14:textId="77777777" w:rsidR="000A7DB4" w:rsidRDefault="000A7DB4" w:rsidP="00C616A0">
      <w:pPr>
        <w:rPr>
          <w:color w:val="0000FF"/>
          <w:szCs w:val="20"/>
        </w:rPr>
      </w:pPr>
      <w:r w:rsidRPr="000A7DB4">
        <w:rPr>
          <w:i/>
          <w:color w:val="0000FF"/>
          <w:szCs w:val="20"/>
        </w:rPr>
        <w:t>[This subsection includes a definition of openness – either the definition included in the CGIAR Open Access and Data Management Policy or the Center’s definition if it differs.</w:t>
      </w:r>
      <w:r w:rsidR="00507073">
        <w:rPr>
          <w:i/>
          <w:color w:val="0000FF"/>
          <w:szCs w:val="20"/>
        </w:rPr>
        <w:t>]</w:t>
      </w:r>
    </w:p>
    <w:p w14:paraId="3947331B" w14:textId="77777777" w:rsidR="000A7DB4" w:rsidRDefault="000A7DB4" w:rsidP="00C616A0">
      <w:pPr>
        <w:rPr>
          <w:color w:val="0000FF"/>
          <w:szCs w:val="20"/>
        </w:rPr>
      </w:pPr>
    </w:p>
    <w:p w14:paraId="7B80720A" w14:textId="396B7374" w:rsidR="00507073" w:rsidRPr="005E3362" w:rsidRDefault="000A7DB4" w:rsidP="00C616A0">
      <w:pPr>
        <w:rPr>
          <w:color w:val="0000FF"/>
          <w:szCs w:val="20"/>
        </w:rPr>
      </w:pPr>
      <w:r w:rsidRPr="005E3362">
        <w:rPr>
          <w:szCs w:val="20"/>
        </w:rPr>
        <w:t xml:space="preserve">For the purposes of the CGIAR Open Access and Data Management Policy, </w:t>
      </w:r>
      <w:r w:rsidR="00C12B0F" w:rsidRPr="005E3362">
        <w:rPr>
          <w:szCs w:val="20"/>
        </w:rPr>
        <w:t xml:space="preserve">Open </w:t>
      </w:r>
      <w:r w:rsidR="00A43D77" w:rsidRPr="005E3362">
        <w:rPr>
          <w:szCs w:val="20"/>
        </w:rPr>
        <w:t xml:space="preserve">Access </w:t>
      </w:r>
      <w:proofErr w:type="gramStart"/>
      <w:r w:rsidR="00A43D77" w:rsidRPr="005E3362">
        <w:rPr>
          <w:szCs w:val="20"/>
        </w:rPr>
        <w:t>means</w:t>
      </w:r>
      <w:bookmarkStart w:id="3" w:name="_GoBack"/>
      <w:bookmarkEnd w:id="3"/>
      <w:r w:rsidRPr="005E3362">
        <w:rPr>
          <w:szCs w:val="20"/>
        </w:rPr>
        <w:t xml:space="preserve">  the</w:t>
      </w:r>
      <w:proofErr w:type="gramEnd"/>
      <w:r w:rsidRPr="005E3362">
        <w:rPr>
          <w:szCs w:val="20"/>
        </w:rPr>
        <w:t xml:space="preserve">  immediate,  irrevocable,  unrestricted  and  free  online  access  by  any  user worldwide to information products, and unrestricted re-use of content (which could be restricted to non-commercial  use  and/or  granted  subject  to  appropriate  licenses  in  line  with  the  CGIAR  IA Principles), subject to proper attribution.</w:t>
      </w:r>
    </w:p>
    <w:p w14:paraId="09A3E4AB" w14:textId="77777777" w:rsidR="00507073" w:rsidRDefault="00507073" w:rsidP="00C616A0">
      <w:pPr>
        <w:rPr>
          <w:szCs w:val="20"/>
        </w:rPr>
      </w:pPr>
    </w:p>
    <w:p w14:paraId="6F88317C" w14:textId="6FECBBAD" w:rsidR="000D769A" w:rsidRPr="000D769A" w:rsidRDefault="000D769A" w:rsidP="00C616A0">
      <w:pPr>
        <w:rPr>
          <w:i/>
          <w:szCs w:val="20"/>
        </w:rPr>
      </w:pPr>
      <w:r w:rsidRPr="000D769A">
        <w:rPr>
          <w:i/>
          <w:color w:val="0000FF"/>
          <w:szCs w:val="20"/>
        </w:rPr>
        <w:t>[</w:t>
      </w:r>
      <w:r w:rsidR="007B28A6">
        <w:rPr>
          <w:i/>
          <w:color w:val="0000FF"/>
          <w:szCs w:val="20"/>
        </w:rPr>
        <w:t xml:space="preserve">Please note that while the CGIAR definition of open access permits restrictions as to commercial use, </w:t>
      </w:r>
      <w:r w:rsidR="00BA0726">
        <w:rPr>
          <w:i/>
          <w:color w:val="0000FF"/>
          <w:szCs w:val="20"/>
        </w:rPr>
        <w:t>i</w:t>
      </w:r>
      <w:r w:rsidRPr="000D769A">
        <w:rPr>
          <w:i/>
          <w:color w:val="0000FF"/>
          <w:szCs w:val="20"/>
        </w:rPr>
        <w:t xml:space="preserve">ncreasingly, research funding agencies such as the Bill &amp; Melinda Gates Foundation </w:t>
      </w:r>
      <w:r w:rsidR="00BA0726" w:rsidRPr="000D769A">
        <w:rPr>
          <w:i/>
          <w:color w:val="0000FF"/>
          <w:szCs w:val="20"/>
        </w:rPr>
        <w:t>requir</w:t>
      </w:r>
      <w:r w:rsidR="00BA0726">
        <w:rPr>
          <w:i/>
          <w:color w:val="0000FF"/>
          <w:szCs w:val="20"/>
        </w:rPr>
        <w:t>e</w:t>
      </w:r>
      <w:r w:rsidR="00BA0726" w:rsidRPr="000D769A">
        <w:rPr>
          <w:i/>
          <w:color w:val="0000FF"/>
          <w:szCs w:val="20"/>
        </w:rPr>
        <w:t xml:space="preserve"> </w:t>
      </w:r>
      <w:r w:rsidR="00BA0726">
        <w:rPr>
          <w:i/>
          <w:color w:val="0000FF"/>
          <w:szCs w:val="20"/>
        </w:rPr>
        <w:t>unrestricted reuse of content</w:t>
      </w:r>
      <w:r w:rsidR="007B28A6">
        <w:rPr>
          <w:i/>
          <w:color w:val="0000FF"/>
          <w:szCs w:val="20"/>
        </w:rPr>
        <w:t>,</w:t>
      </w:r>
      <w:r w:rsidR="00BA0726">
        <w:rPr>
          <w:i/>
          <w:color w:val="0000FF"/>
          <w:szCs w:val="20"/>
        </w:rPr>
        <w:t xml:space="preserve"> including for commercial purposes</w:t>
      </w:r>
      <w:r w:rsidR="007B28A6">
        <w:rPr>
          <w:i/>
          <w:color w:val="0000FF"/>
          <w:szCs w:val="20"/>
        </w:rPr>
        <w:t>,</w:t>
      </w:r>
      <w:r w:rsidR="00BA0726">
        <w:rPr>
          <w:i/>
          <w:color w:val="0000FF"/>
          <w:szCs w:val="20"/>
        </w:rPr>
        <w:t xml:space="preserve"> by mandating </w:t>
      </w:r>
      <w:r w:rsidRPr="000D769A">
        <w:rPr>
          <w:i/>
          <w:color w:val="0000FF"/>
          <w:szCs w:val="20"/>
        </w:rPr>
        <w:t xml:space="preserve">use of a CC-BY 4.0 International License or equivalent) to be considered “open.”]  </w:t>
      </w:r>
    </w:p>
    <w:p w14:paraId="56DF592F" w14:textId="77777777" w:rsidR="00507073" w:rsidRDefault="00507073" w:rsidP="00C616A0">
      <w:pPr>
        <w:rPr>
          <w:szCs w:val="20"/>
        </w:rPr>
      </w:pPr>
    </w:p>
    <w:p w14:paraId="516D32B8" w14:textId="77777777" w:rsidR="00E84519" w:rsidRDefault="00E84519" w:rsidP="00E84519">
      <w:pPr>
        <w:pStyle w:val="Heading2"/>
      </w:pPr>
      <w:bookmarkStart w:id="4" w:name="_Toc416727072"/>
      <w:r>
        <w:t>1.3: Overview of the &lt;Center/CRP&gt;</w:t>
      </w:r>
      <w:bookmarkEnd w:id="4"/>
    </w:p>
    <w:p w14:paraId="653FA418" w14:textId="77777777" w:rsidR="00E84519" w:rsidRPr="00E84519" w:rsidRDefault="00E84519" w:rsidP="00E84519">
      <w:pPr>
        <w:rPr>
          <w:i/>
          <w:color w:val="0000FF"/>
        </w:rPr>
      </w:pPr>
      <w:r w:rsidRPr="00E84519">
        <w:rPr>
          <w:i/>
          <w:color w:val="0000FF"/>
        </w:rPr>
        <w:t>[</w:t>
      </w:r>
      <w:r>
        <w:rPr>
          <w:i/>
          <w:color w:val="0000FF"/>
        </w:rPr>
        <w:t>A b</w:t>
      </w:r>
      <w:r w:rsidRPr="00E84519">
        <w:rPr>
          <w:i/>
          <w:color w:val="0000FF"/>
        </w:rPr>
        <w:t xml:space="preserve">rief – </w:t>
      </w:r>
      <w:r>
        <w:rPr>
          <w:i/>
          <w:color w:val="0000FF"/>
        </w:rPr>
        <w:t xml:space="preserve">approximately </w:t>
      </w:r>
      <w:r w:rsidRPr="00E84519">
        <w:rPr>
          <w:i/>
          <w:color w:val="0000FF"/>
        </w:rPr>
        <w:t xml:space="preserve">1 paragraph – introduction to the Center/CRP </w:t>
      </w:r>
      <w:proofErr w:type="gramStart"/>
      <w:r w:rsidRPr="00E84519">
        <w:rPr>
          <w:i/>
          <w:color w:val="0000FF"/>
        </w:rPr>
        <w:t>with regard to</w:t>
      </w:r>
      <w:proofErr w:type="gramEnd"/>
      <w:r w:rsidRPr="00E84519">
        <w:rPr>
          <w:i/>
          <w:color w:val="0000FF"/>
        </w:rPr>
        <w:t xml:space="preserve"> the size, scale, and scope of Open Access and Open Data operations to offer context for readers.]</w:t>
      </w:r>
    </w:p>
    <w:p w14:paraId="55871219" w14:textId="77777777" w:rsidR="00E84519" w:rsidRPr="00E84519" w:rsidRDefault="00E84519" w:rsidP="00E84519">
      <w:pPr>
        <w:rPr>
          <w:i/>
          <w:color w:val="0000FF"/>
        </w:rPr>
      </w:pPr>
    </w:p>
    <w:p w14:paraId="39CE19B5" w14:textId="77777777" w:rsidR="00E84519" w:rsidRPr="00E84519" w:rsidRDefault="00E84519" w:rsidP="00C616A0">
      <w:pPr>
        <w:rPr>
          <w:i/>
          <w:color w:val="0000FF"/>
        </w:rPr>
      </w:pPr>
      <w:r w:rsidRPr="00E84519">
        <w:rPr>
          <w:i/>
          <w:color w:val="0000FF"/>
        </w:rPr>
        <w:t>[</w:t>
      </w:r>
      <w:r>
        <w:rPr>
          <w:i/>
          <w:color w:val="0000FF"/>
        </w:rPr>
        <w:t>Examples of items to note</w:t>
      </w:r>
      <w:r w:rsidRPr="00E84519">
        <w:rPr>
          <w:i/>
          <w:color w:val="0000FF"/>
        </w:rPr>
        <w:t>: approximate number of FTE researchers, annual research budget, key funding agencies with OA/OD policies that will likely affect this Center/CRP’s researchers, approximate number of peer-reviewed articles published each year, and journals where researchers from this Center/CRP publish on a regular basis.]</w:t>
      </w:r>
    </w:p>
    <w:p w14:paraId="32BCF950" w14:textId="77777777" w:rsidR="00E84519" w:rsidRDefault="00E84519" w:rsidP="00C616A0">
      <w:pPr>
        <w:rPr>
          <w:szCs w:val="20"/>
        </w:rPr>
      </w:pPr>
    </w:p>
    <w:p w14:paraId="16B5539F" w14:textId="77777777" w:rsidR="00B23069" w:rsidRDefault="00E84519" w:rsidP="00B23069">
      <w:pPr>
        <w:pStyle w:val="Heading2"/>
      </w:pPr>
      <w:bookmarkStart w:id="5" w:name="_Toc416727073"/>
      <w:r>
        <w:t>1.4</w:t>
      </w:r>
      <w:r w:rsidR="00B23069">
        <w:t>: Overview</w:t>
      </w:r>
      <w:r w:rsidR="000A7DB4">
        <w:t xml:space="preserve"> of Current OA/OD Environment</w:t>
      </w:r>
      <w:r>
        <w:t xml:space="preserve"> at &lt;Center/CRP&gt;</w:t>
      </w:r>
      <w:bookmarkEnd w:id="5"/>
    </w:p>
    <w:p w14:paraId="4555C145" w14:textId="77777777" w:rsidR="000A7DB4" w:rsidRDefault="00B23069" w:rsidP="00C616A0">
      <w:pPr>
        <w:rPr>
          <w:i/>
          <w:color w:val="0000FF"/>
          <w:szCs w:val="20"/>
        </w:rPr>
      </w:pPr>
      <w:r w:rsidRPr="00B23069">
        <w:rPr>
          <w:i/>
          <w:color w:val="0000FF"/>
          <w:szCs w:val="20"/>
        </w:rPr>
        <w:t>[This subsection briefly describes the current Open Access/Open Data environment at the Center</w:t>
      </w:r>
      <w:r w:rsidR="000A7DB4">
        <w:rPr>
          <w:i/>
          <w:color w:val="0000FF"/>
          <w:szCs w:val="20"/>
        </w:rPr>
        <w:t xml:space="preserve"> and which open repositories are in use</w:t>
      </w:r>
      <w:r w:rsidRPr="00B23069">
        <w:rPr>
          <w:i/>
          <w:color w:val="0000FF"/>
          <w:szCs w:val="20"/>
        </w:rPr>
        <w:t>.]</w:t>
      </w:r>
    </w:p>
    <w:p w14:paraId="05E44AFD" w14:textId="77777777" w:rsidR="00480C6F" w:rsidRDefault="00480C6F" w:rsidP="00C616A0">
      <w:pPr>
        <w:rPr>
          <w:i/>
          <w:color w:val="0000FF"/>
          <w:szCs w:val="20"/>
        </w:rPr>
      </w:pPr>
    </w:p>
    <w:p w14:paraId="221D7400" w14:textId="77777777" w:rsidR="00480C6F" w:rsidRPr="000A7DB4" w:rsidRDefault="00480C6F" w:rsidP="00C616A0">
      <w:pPr>
        <w:rPr>
          <w:i/>
          <w:szCs w:val="20"/>
        </w:rPr>
      </w:pPr>
      <w:r>
        <w:rPr>
          <w:i/>
          <w:color w:val="0000FF"/>
          <w:szCs w:val="20"/>
        </w:rPr>
        <w:t>[If a Center/CRP has its own OA/OD Policy, it should be noted here. Furthermore, please indicate how the policy differs from the CGIAR Open Access and Data Management Policy.]</w:t>
      </w:r>
    </w:p>
    <w:p w14:paraId="5EF7DE4B" w14:textId="77777777" w:rsidR="000A7DB4" w:rsidRDefault="000A7DB4" w:rsidP="00C616A0">
      <w:pPr>
        <w:rPr>
          <w:szCs w:val="20"/>
        </w:rPr>
      </w:pPr>
    </w:p>
    <w:p w14:paraId="6617C939" w14:textId="77777777" w:rsidR="00B23069" w:rsidRDefault="00E84519" w:rsidP="00B23069">
      <w:pPr>
        <w:pStyle w:val="Heading2"/>
      </w:pPr>
      <w:bookmarkStart w:id="6" w:name="_Toc416727074"/>
      <w:r>
        <w:t>1.5</w:t>
      </w:r>
      <w:r w:rsidR="00B23069">
        <w:t>: Information Products</w:t>
      </w:r>
      <w:r w:rsidR="00480C6F">
        <w:t xml:space="preserve"> and Priorities</w:t>
      </w:r>
      <w:bookmarkEnd w:id="6"/>
    </w:p>
    <w:p w14:paraId="398F71B7" w14:textId="634B7463" w:rsidR="00D522CE" w:rsidRDefault="00B23069" w:rsidP="00C616A0">
      <w:pPr>
        <w:rPr>
          <w:i/>
          <w:color w:val="0000FF"/>
          <w:szCs w:val="20"/>
        </w:rPr>
      </w:pPr>
      <w:r w:rsidRPr="00B23069">
        <w:rPr>
          <w:i/>
          <w:color w:val="0000FF"/>
          <w:szCs w:val="20"/>
        </w:rPr>
        <w:t>[This subsection indicates which types of information products are the foc</w:t>
      </w:r>
      <w:r w:rsidR="000A7DB4">
        <w:rPr>
          <w:i/>
          <w:color w:val="0000FF"/>
          <w:szCs w:val="20"/>
        </w:rPr>
        <w:t xml:space="preserve">us of the implementation plan. </w:t>
      </w:r>
      <w:r w:rsidR="00D522CE">
        <w:rPr>
          <w:i/>
          <w:color w:val="0000FF"/>
          <w:szCs w:val="20"/>
        </w:rPr>
        <w:t xml:space="preserve">It is expected that some Centers might wish to prioritize certain types of information products </w:t>
      </w:r>
      <w:r w:rsidR="006432A5">
        <w:rPr>
          <w:i/>
          <w:color w:val="0000FF"/>
          <w:szCs w:val="20"/>
        </w:rPr>
        <w:t xml:space="preserve">or content within product types </w:t>
      </w:r>
      <w:r w:rsidR="00D522CE">
        <w:rPr>
          <w:i/>
          <w:color w:val="0000FF"/>
          <w:szCs w:val="20"/>
        </w:rPr>
        <w:t>during the initial phase of implementation. If so, this</w:t>
      </w:r>
      <w:r w:rsidR="006432A5">
        <w:rPr>
          <w:i/>
          <w:color w:val="0000FF"/>
          <w:szCs w:val="20"/>
        </w:rPr>
        <w:t xml:space="preserve"> should be noted, along with the framework used for prioritization (e.g. of </w:t>
      </w:r>
      <w:proofErr w:type="gramStart"/>
      <w:r w:rsidR="006432A5">
        <w:rPr>
          <w:i/>
          <w:color w:val="0000FF"/>
          <w:szCs w:val="20"/>
        </w:rPr>
        <w:t>particular datasets</w:t>
      </w:r>
      <w:proofErr w:type="gramEnd"/>
      <w:r w:rsidR="006432A5">
        <w:rPr>
          <w:i/>
          <w:color w:val="0000FF"/>
          <w:szCs w:val="20"/>
        </w:rPr>
        <w:t>)</w:t>
      </w:r>
      <w:r w:rsidR="00D522CE">
        <w:rPr>
          <w:i/>
          <w:color w:val="0000FF"/>
          <w:szCs w:val="20"/>
        </w:rPr>
        <w:t xml:space="preserve">. It is recommended that peer-reviewed, scholarly articles published after </w:t>
      </w:r>
      <w:r w:rsidR="005E3362">
        <w:rPr>
          <w:i/>
          <w:color w:val="0000FF"/>
          <w:szCs w:val="20"/>
        </w:rPr>
        <w:t>02 October</w:t>
      </w:r>
      <w:r w:rsidR="00D522CE">
        <w:rPr>
          <w:i/>
          <w:color w:val="0000FF"/>
          <w:szCs w:val="20"/>
        </w:rPr>
        <w:t xml:space="preserve"> 2013 and datasets for projects which were completed after </w:t>
      </w:r>
      <w:r w:rsidR="005E3362">
        <w:rPr>
          <w:i/>
          <w:color w:val="0000FF"/>
          <w:szCs w:val="20"/>
        </w:rPr>
        <w:t>02 November 2013</w:t>
      </w:r>
      <w:r w:rsidR="00D522CE">
        <w:rPr>
          <w:i/>
          <w:color w:val="0000FF"/>
          <w:szCs w:val="20"/>
        </w:rPr>
        <w:t xml:space="preserve"> should be the top priority during this initial phase of implementation.]</w:t>
      </w:r>
    </w:p>
    <w:p w14:paraId="7BF2AA81" w14:textId="59AF604E" w:rsidR="005E3362" w:rsidRDefault="005E3362" w:rsidP="00C616A0">
      <w:pPr>
        <w:rPr>
          <w:szCs w:val="20"/>
        </w:rPr>
      </w:pPr>
    </w:p>
    <w:p w14:paraId="27841D70" w14:textId="77777777" w:rsidR="00480C6F" w:rsidRPr="00480C6F" w:rsidRDefault="00480C6F" w:rsidP="00C616A0">
      <w:pPr>
        <w:rPr>
          <w:i/>
          <w:szCs w:val="20"/>
        </w:rPr>
      </w:pPr>
      <w:r w:rsidRPr="00480C6F">
        <w:rPr>
          <w:i/>
          <w:color w:val="0000FF"/>
          <w:szCs w:val="20"/>
        </w:rPr>
        <w:t>[Specify which types of information products are prioritized for Open Access treatment.]</w:t>
      </w:r>
    </w:p>
    <w:p w14:paraId="126A0DDC" w14:textId="77777777" w:rsidR="00480C6F" w:rsidRDefault="00480C6F" w:rsidP="00C616A0">
      <w:pPr>
        <w:rPr>
          <w:szCs w:val="20"/>
        </w:rPr>
      </w:pPr>
    </w:p>
    <w:p w14:paraId="09A25EEE" w14:textId="77777777" w:rsidR="00B23069" w:rsidRDefault="00480C6F" w:rsidP="0088790E">
      <w:pPr>
        <w:pStyle w:val="Heading2"/>
      </w:pPr>
      <w:bookmarkStart w:id="7" w:name="_Toc416727075"/>
      <w:r>
        <w:t>1.6</w:t>
      </w:r>
      <w:r w:rsidR="0088790E">
        <w:t xml:space="preserve">: </w:t>
      </w:r>
      <w:r w:rsidR="00B23069">
        <w:t>Deposit Schedules</w:t>
      </w:r>
      <w:r w:rsidR="0088790E">
        <w:t xml:space="preserve"> for Information Products</w:t>
      </w:r>
      <w:bookmarkEnd w:id="7"/>
    </w:p>
    <w:p w14:paraId="3520982B" w14:textId="77777777" w:rsidR="00D522CE" w:rsidRPr="0002128D" w:rsidRDefault="00D522CE" w:rsidP="00C616A0">
      <w:pPr>
        <w:rPr>
          <w:i/>
          <w:color w:val="0000FF"/>
          <w:szCs w:val="20"/>
        </w:rPr>
      </w:pPr>
      <w:r w:rsidRPr="0002128D">
        <w:rPr>
          <w:i/>
          <w:color w:val="0000FF"/>
          <w:szCs w:val="20"/>
        </w:rPr>
        <w:t>[The Open Access &amp; Data Management Implementation Guidelines indicate that “content should be deposited in full as soon as possible after an item is complete or is in its final form. Plans should address timelines for depositing information products into repositories. Plans’ deposit schedules should be consistent with these guidelines or indicate shorter timelines than those presented here. See Table 1 for details from the Open Access &amp; Data Management Implementation Guidelines.]</w:t>
      </w:r>
    </w:p>
    <w:p w14:paraId="3E7A7CF1" w14:textId="77777777" w:rsidR="00B23069" w:rsidRDefault="00B23069" w:rsidP="00C616A0">
      <w:pPr>
        <w:rPr>
          <w:color w:val="0000FF"/>
          <w:szCs w:val="20"/>
        </w:rPr>
      </w:pPr>
    </w:p>
    <w:p w14:paraId="7C1802C9" w14:textId="0F296EA4" w:rsidR="00CC3DA6" w:rsidRDefault="00CC3DA6" w:rsidP="00CC3DA6">
      <w:pPr>
        <w:rPr>
          <w:i/>
          <w:color w:val="0000FF"/>
        </w:rPr>
      </w:pPr>
      <w:r w:rsidRPr="005E3362">
        <w:rPr>
          <w:i/>
          <w:color w:val="0000FF"/>
        </w:rPr>
        <w:t>[If the implementation plan allows for a longer gap between the completion of an information product and its deposit into a repository</w:t>
      </w:r>
      <w:r w:rsidR="00536F6A">
        <w:rPr>
          <w:i/>
          <w:color w:val="0000FF"/>
        </w:rPr>
        <w:t xml:space="preserve"> during the transition phase</w:t>
      </w:r>
      <w:r w:rsidRPr="005E3362">
        <w:rPr>
          <w:i/>
          <w:color w:val="0000FF"/>
        </w:rPr>
        <w:t>, include an explanatory note.]</w:t>
      </w:r>
    </w:p>
    <w:p w14:paraId="402FE609" w14:textId="77777777" w:rsidR="00CC3DA6" w:rsidRDefault="00CC3DA6" w:rsidP="00CC3DA6"/>
    <w:p w14:paraId="0898BB6B" w14:textId="11AA49F7" w:rsidR="00CC3DA6" w:rsidRPr="00CC3DA6" w:rsidRDefault="004A4758" w:rsidP="00CC3DA6">
      <w:r>
        <w:t>T</w:t>
      </w:r>
      <w:r w:rsidR="00CC3DA6" w:rsidRPr="00CC3DA6">
        <w:t>he timeframes stated in the Implementation Guidelines</w:t>
      </w:r>
      <w:r w:rsidR="00CC3DA6">
        <w:t xml:space="preserve"> (Table 1)</w:t>
      </w:r>
      <w:r w:rsidR="00CC3DA6" w:rsidRPr="00CC3DA6">
        <w:t xml:space="preserve"> </w:t>
      </w:r>
      <w:r w:rsidR="002F55DB">
        <w:t xml:space="preserve">reflect </w:t>
      </w:r>
      <w:r w:rsidR="00536F6A">
        <w:t xml:space="preserve">the </w:t>
      </w:r>
      <w:r w:rsidR="00CC3DA6" w:rsidRPr="00CC3DA6">
        <w:t xml:space="preserve">minimum </w:t>
      </w:r>
      <w:r w:rsidR="00E15C12">
        <w:t xml:space="preserve">deposit </w:t>
      </w:r>
      <w:r w:rsidR="002F55DB">
        <w:t>commitments made by CGIAR Centers during the transition period until 2 October 2018</w:t>
      </w:r>
      <w:r w:rsidR="00E15C12">
        <w:t>, after which th</w:t>
      </w:r>
      <w:r w:rsidR="002F55DB">
        <w:t>e deposit schedule contained in the Policy becomes binding</w:t>
      </w:r>
      <w:r w:rsidR="00CC3DA6" w:rsidRPr="00CC3DA6">
        <w:t>.</w:t>
      </w:r>
    </w:p>
    <w:p w14:paraId="665AAAAC" w14:textId="77777777" w:rsidR="00CC3DA6" w:rsidRDefault="00CC3DA6">
      <w:pPr>
        <w:rPr>
          <w:szCs w:val="20"/>
        </w:rPr>
      </w:pPr>
    </w:p>
    <w:p w14:paraId="3F52682B" w14:textId="620F0C0B" w:rsidR="00C616A0" w:rsidRDefault="005E3362" w:rsidP="00CC3DA6">
      <w:pPr>
        <w:pStyle w:val="Caption"/>
        <w:spacing w:after="0"/>
        <w:jc w:val="center"/>
        <w:rPr>
          <w:rFonts w:asciiTheme="minorHAnsi" w:hAnsiTheme="minorHAnsi" w:cs="Times New Roman"/>
          <w:b/>
          <w:i w:val="0"/>
          <w:color w:val="auto"/>
          <w:sz w:val="20"/>
          <w:szCs w:val="20"/>
        </w:rPr>
      </w:pPr>
      <w:r>
        <w:rPr>
          <w:rFonts w:asciiTheme="minorHAnsi" w:hAnsiTheme="minorHAnsi" w:cs="Times New Roman"/>
          <w:b/>
          <w:i w:val="0"/>
          <w:color w:val="auto"/>
          <w:sz w:val="20"/>
          <w:szCs w:val="20"/>
        </w:rPr>
        <w:t xml:space="preserve">Table 1: </w:t>
      </w:r>
      <w:r w:rsidR="00C616A0" w:rsidRPr="00551723">
        <w:rPr>
          <w:rFonts w:asciiTheme="minorHAnsi" w:hAnsiTheme="minorHAnsi" w:cs="Times New Roman"/>
          <w:b/>
          <w:i w:val="0"/>
          <w:color w:val="auto"/>
          <w:sz w:val="20"/>
          <w:szCs w:val="20"/>
        </w:rPr>
        <w:t>Deposit Schedules</w:t>
      </w:r>
      <w:r>
        <w:rPr>
          <w:rFonts w:asciiTheme="minorHAnsi" w:hAnsiTheme="minorHAnsi" w:cs="Times New Roman"/>
          <w:b/>
          <w:i w:val="0"/>
          <w:color w:val="auto"/>
          <w:sz w:val="20"/>
          <w:szCs w:val="20"/>
        </w:rPr>
        <w:t xml:space="preserve"> from the CGIAR Open Access &amp; Data Management </w:t>
      </w:r>
      <w:r w:rsidR="00BB439E">
        <w:rPr>
          <w:rFonts w:asciiTheme="minorHAnsi" w:hAnsiTheme="minorHAnsi" w:cs="Times New Roman"/>
          <w:b/>
          <w:i w:val="0"/>
          <w:color w:val="auto"/>
          <w:sz w:val="20"/>
          <w:szCs w:val="20"/>
        </w:rPr>
        <w:br/>
      </w:r>
      <w:r w:rsidR="00536F6A">
        <w:rPr>
          <w:rFonts w:asciiTheme="minorHAnsi" w:hAnsiTheme="minorHAnsi" w:cs="Times New Roman"/>
          <w:b/>
          <w:i w:val="0"/>
          <w:color w:val="auto"/>
          <w:sz w:val="20"/>
          <w:szCs w:val="20"/>
        </w:rPr>
        <w:t xml:space="preserve">Policy and </w:t>
      </w:r>
      <w:r>
        <w:rPr>
          <w:rFonts w:asciiTheme="minorHAnsi" w:hAnsiTheme="minorHAnsi" w:cs="Times New Roman"/>
          <w:b/>
          <w:i w:val="0"/>
          <w:color w:val="auto"/>
          <w:sz w:val="20"/>
          <w:szCs w:val="20"/>
        </w:rPr>
        <w:t>Implementation Guidelines</w:t>
      </w:r>
    </w:p>
    <w:p w14:paraId="7ABA2F28" w14:textId="77777777" w:rsidR="006432A5" w:rsidRPr="006432A5" w:rsidRDefault="006432A5" w:rsidP="006432A5"/>
    <w:tbl>
      <w:tblPr>
        <w:tblStyle w:val="TableGrid"/>
        <w:tblW w:w="9445" w:type="dxa"/>
        <w:jc w:val="center"/>
        <w:tblLook w:val="04A0" w:firstRow="1" w:lastRow="0" w:firstColumn="1" w:lastColumn="0" w:noHBand="0" w:noVBand="1"/>
      </w:tblPr>
      <w:tblGrid>
        <w:gridCol w:w="2605"/>
        <w:gridCol w:w="3060"/>
        <w:gridCol w:w="3780"/>
      </w:tblGrid>
      <w:tr w:rsidR="004A4758" w:rsidRPr="00246A7A" w14:paraId="5F436F09" w14:textId="780DD8D8" w:rsidTr="00246A7A">
        <w:trPr>
          <w:jc w:val="center"/>
        </w:trPr>
        <w:tc>
          <w:tcPr>
            <w:tcW w:w="2605" w:type="dxa"/>
            <w:shd w:val="clear" w:color="auto" w:fill="D0CECE" w:themeFill="background2" w:themeFillShade="E6"/>
          </w:tcPr>
          <w:p w14:paraId="577311BC" w14:textId="77777777" w:rsidR="004A4758" w:rsidRPr="00246A7A" w:rsidRDefault="004A4758" w:rsidP="002B1220">
            <w:pPr>
              <w:rPr>
                <w:rFonts w:asciiTheme="minorHAnsi" w:hAnsiTheme="minorHAnsi" w:cs="Times New Roman"/>
                <w:b/>
                <w:sz w:val="18"/>
                <w:szCs w:val="18"/>
              </w:rPr>
            </w:pPr>
            <w:r w:rsidRPr="00246A7A">
              <w:rPr>
                <w:rFonts w:asciiTheme="minorHAnsi" w:hAnsiTheme="minorHAnsi" w:cs="Times New Roman"/>
                <w:b/>
                <w:sz w:val="18"/>
                <w:szCs w:val="18"/>
              </w:rPr>
              <w:t>Types of Information Products</w:t>
            </w:r>
          </w:p>
        </w:tc>
        <w:tc>
          <w:tcPr>
            <w:tcW w:w="3060" w:type="dxa"/>
            <w:shd w:val="clear" w:color="auto" w:fill="D0CECE" w:themeFill="background2" w:themeFillShade="E6"/>
          </w:tcPr>
          <w:p w14:paraId="747C4A83" w14:textId="4CE45216" w:rsidR="004A4758" w:rsidRPr="00246A7A" w:rsidRDefault="002F55DB" w:rsidP="002F55DB">
            <w:pPr>
              <w:rPr>
                <w:rFonts w:asciiTheme="minorHAnsi" w:hAnsiTheme="minorHAnsi" w:cs="Times New Roman"/>
                <w:b/>
                <w:sz w:val="18"/>
                <w:szCs w:val="18"/>
              </w:rPr>
            </w:pPr>
            <w:r w:rsidRPr="00246A7A">
              <w:rPr>
                <w:rFonts w:asciiTheme="minorHAnsi" w:hAnsiTheme="minorHAnsi" w:cs="Times New Roman"/>
                <w:b/>
                <w:sz w:val="18"/>
                <w:szCs w:val="18"/>
              </w:rPr>
              <w:t xml:space="preserve">Transition </w:t>
            </w:r>
            <w:r w:rsidR="004A4758" w:rsidRPr="00246A7A">
              <w:rPr>
                <w:rFonts w:asciiTheme="minorHAnsi" w:hAnsiTheme="minorHAnsi" w:cs="Times New Roman"/>
                <w:b/>
                <w:sz w:val="18"/>
                <w:szCs w:val="18"/>
              </w:rPr>
              <w:t>Deposit Schedule</w:t>
            </w:r>
            <w:r w:rsidRPr="00246A7A">
              <w:rPr>
                <w:rFonts w:asciiTheme="minorHAnsi" w:hAnsiTheme="minorHAnsi" w:cs="Times New Roman"/>
                <w:sz w:val="18"/>
                <w:szCs w:val="18"/>
              </w:rPr>
              <w:t xml:space="preserve"> (until October </w:t>
            </w:r>
            <w:r w:rsidR="00312EDA" w:rsidRPr="00246A7A">
              <w:rPr>
                <w:rFonts w:asciiTheme="minorHAnsi" w:hAnsiTheme="minorHAnsi" w:cs="Times New Roman"/>
                <w:sz w:val="18"/>
                <w:szCs w:val="18"/>
              </w:rPr>
              <w:t xml:space="preserve">1, </w:t>
            </w:r>
            <w:r w:rsidRPr="00246A7A">
              <w:rPr>
                <w:rFonts w:asciiTheme="minorHAnsi" w:hAnsiTheme="minorHAnsi" w:cs="Times New Roman"/>
                <w:sz w:val="18"/>
                <w:szCs w:val="18"/>
              </w:rPr>
              <w:t>2018)</w:t>
            </w:r>
          </w:p>
        </w:tc>
        <w:tc>
          <w:tcPr>
            <w:tcW w:w="3780" w:type="dxa"/>
            <w:shd w:val="clear" w:color="auto" w:fill="D0CECE" w:themeFill="background2" w:themeFillShade="E6"/>
          </w:tcPr>
          <w:p w14:paraId="4644DB51" w14:textId="7256BB8F" w:rsidR="004A4758" w:rsidRPr="00246A7A" w:rsidRDefault="002F55DB" w:rsidP="00312EDA">
            <w:pPr>
              <w:rPr>
                <w:rFonts w:asciiTheme="minorHAnsi" w:hAnsiTheme="minorHAnsi" w:cs="Times New Roman"/>
                <w:b/>
                <w:sz w:val="18"/>
                <w:szCs w:val="18"/>
              </w:rPr>
            </w:pPr>
            <w:r w:rsidRPr="00246A7A">
              <w:rPr>
                <w:rFonts w:asciiTheme="minorHAnsi" w:hAnsiTheme="minorHAnsi" w:cs="Times New Roman"/>
                <w:b/>
                <w:sz w:val="18"/>
                <w:szCs w:val="18"/>
              </w:rPr>
              <w:t xml:space="preserve">Policy Deposit Schedule </w:t>
            </w:r>
            <w:r w:rsidRPr="00246A7A">
              <w:rPr>
                <w:rFonts w:asciiTheme="minorHAnsi" w:hAnsiTheme="minorHAnsi" w:cs="Times New Roman"/>
                <w:sz w:val="18"/>
                <w:szCs w:val="18"/>
              </w:rPr>
              <w:t xml:space="preserve">(from October </w:t>
            </w:r>
            <w:r w:rsidR="00312EDA" w:rsidRPr="00246A7A">
              <w:rPr>
                <w:rFonts w:asciiTheme="minorHAnsi" w:hAnsiTheme="minorHAnsi" w:cs="Times New Roman"/>
                <w:sz w:val="18"/>
                <w:szCs w:val="18"/>
              </w:rPr>
              <w:t xml:space="preserve">2, </w:t>
            </w:r>
            <w:r w:rsidRPr="00246A7A">
              <w:rPr>
                <w:rFonts w:asciiTheme="minorHAnsi" w:hAnsiTheme="minorHAnsi" w:cs="Times New Roman"/>
                <w:sz w:val="18"/>
                <w:szCs w:val="18"/>
              </w:rPr>
              <w:t>2018)</w:t>
            </w:r>
          </w:p>
        </w:tc>
      </w:tr>
      <w:tr w:rsidR="004A4758" w:rsidRPr="00246A7A" w14:paraId="51E92BB2" w14:textId="5A9E8E36" w:rsidTr="00246A7A">
        <w:trPr>
          <w:jc w:val="center"/>
        </w:trPr>
        <w:tc>
          <w:tcPr>
            <w:tcW w:w="2605" w:type="dxa"/>
          </w:tcPr>
          <w:p w14:paraId="39079864"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Peer-reviewed versions of journal articles</w:t>
            </w:r>
          </w:p>
        </w:tc>
        <w:tc>
          <w:tcPr>
            <w:tcW w:w="3060" w:type="dxa"/>
          </w:tcPr>
          <w:p w14:paraId="60C0722E" w14:textId="1CDE9E5E" w:rsidR="004A4758" w:rsidRPr="00246A7A" w:rsidRDefault="002F55DB" w:rsidP="00246A7A">
            <w:pPr>
              <w:rPr>
                <w:rFonts w:asciiTheme="minorHAnsi" w:hAnsiTheme="minorHAnsi" w:cs="Times New Roman"/>
                <w:sz w:val="18"/>
                <w:szCs w:val="18"/>
              </w:rPr>
            </w:pPr>
            <w:r w:rsidRPr="00246A7A">
              <w:rPr>
                <w:rFonts w:asciiTheme="minorHAnsi" w:hAnsiTheme="minorHAnsi" w:cs="Times New Roman"/>
                <w:sz w:val="18"/>
                <w:szCs w:val="18"/>
              </w:rPr>
              <w:t>As per the Policy</w:t>
            </w:r>
            <w:r w:rsidR="00E15C12" w:rsidRPr="00246A7A">
              <w:rPr>
                <w:rFonts w:asciiTheme="minorHAnsi" w:hAnsiTheme="minorHAnsi" w:cs="Times New Roman"/>
                <w:sz w:val="18"/>
                <w:szCs w:val="18"/>
              </w:rPr>
              <w:t xml:space="preserve"> D</w:t>
            </w:r>
            <w:r w:rsidRPr="00246A7A">
              <w:rPr>
                <w:rFonts w:asciiTheme="minorHAnsi" w:hAnsiTheme="minorHAnsi" w:cs="Times New Roman"/>
                <w:sz w:val="18"/>
                <w:szCs w:val="18"/>
              </w:rPr>
              <w:t xml:space="preserve">eposit </w:t>
            </w:r>
            <w:r w:rsidR="00E15C12" w:rsidRPr="00246A7A">
              <w:rPr>
                <w:rFonts w:asciiTheme="minorHAnsi" w:hAnsiTheme="minorHAnsi" w:cs="Times New Roman"/>
                <w:sz w:val="18"/>
                <w:szCs w:val="18"/>
              </w:rPr>
              <w:t>S</w:t>
            </w:r>
            <w:r w:rsidRPr="00246A7A">
              <w:rPr>
                <w:rFonts w:asciiTheme="minorHAnsi" w:hAnsiTheme="minorHAnsi" w:cs="Times New Roman"/>
                <w:sz w:val="18"/>
                <w:szCs w:val="18"/>
              </w:rPr>
              <w:t>chedule</w:t>
            </w:r>
            <w:r w:rsidR="005938EF" w:rsidRPr="00246A7A">
              <w:rPr>
                <w:rFonts w:asciiTheme="minorHAnsi" w:hAnsiTheme="minorHAnsi" w:cs="Times New Roman"/>
                <w:sz w:val="18"/>
                <w:szCs w:val="18"/>
              </w:rPr>
              <w:t xml:space="preserve"> </w:t>
            </w:r>
            <w:r w:rsidR="00E15C12" w:rsidRPr="00246A7A">
              <w:rPr>
                <w:rFonts w:asciiTheme="minorHAnsi" w:hAnsiTheme="minorHAnsi" w:cs="Times New Roman"/>
                <w:sz w:val="18"/>
                <w:szCs w:val="18"/>
              </w:rPr>
              <w:t>unless OA is prohibited or subject to a longer embargo period by publisher</w:t>
            </w:r>
            <w:r w:rsidR="00E15C12" w:rsidRPr="00246A7A">
              <w:rPr>
                <w:rFonts w:asciiTheme="minorHAnsi" w:hAnsiTheme="minorHAnsi"/>
                <w:sz w:val="18"/>
                <w:szCs w:val="18"/>
              </w:rPr>
              <w:t xml:space="preserve"> </w:t>
            </w:r>
          </w:p>
        </w:tc>
        <w:tc>
          <w:tcPr>
            <w:tcW w:w="3780" w:type="dxa"/>
          </w:tcPr>
          <w:p w14:paraId="057416BA" w14:textId="77777777" w:rsidR="002F55DB" w:rsidRPr="00246A7A" w:rsidRDefault="002F55DB" w:rsidP="002F55DB">
            <w:pPr>
              <w:rPr>
                <w:rFonts w:asciiTheme="minorHAnsi" w:hAnsiTheme="minorHAnsi" w:cs="Times New Roman"/>
                <w:sz w:val="18"/>
                <w:szCs w:val="18"/>
              </w:rPr>
            </w:pPr>
            <w:r w:rsidRPr="00246A7A">
              <w:rPr>
                <w:rFonts w:asciiTheme="minorHAnsi" w:hAnsiTheme="minorHAnsi" w:cs="Times New Roman"/>
                <w:sz w:val="18"/>
                <w:szCs w:val="18"/>
              </w:rPr>
              <w:t>Ideally, at the time of publication</w:t>
            </w:r>
          </w:p>
          <w:p w14:paraId="0FC29B04" w14:textId="4092E495" w:rsidR="004A4758" w:rsidRPr="00246A7A" w:rsidRDefault="002F55DB" w:rsidP="002F55DB">
            <w:pPr>
              <w:rPr>
                <w:rFonts w:asciiTheme="minorHAnsi" w:hAnsiTheme="minorHAnsi" w:cs="Times New Roman"/>
                <w:sz w:val="18"/>
                <w:szCs w:val="18"/>
              </w:rPr>
            </w:pPr>
            <w:r w:rsidRPr="00246A7A">
              <w:rPr>
                <w:rFonts w:asciiTheme="minorHAnsi" w:hAnsiTheme="minorHAnsi" w:cs="Times New Roman"/>
                <w:sz w:val="18"/>
                <w:szCs w:val="18"/>
              </w:rPr>
              <w:t xml:space="preserve">Latest: 6 months from publication </w:t>
            </w:r>
          </w:p>
        </w:tc>
      </w:tr>
      <w:tr w:rsidR="004A4758" w:rsidRPr="00246A7A" w14:paraId="2A2556F2" w14:textId="37C1A36C" w:rsidTr="00246A7A">
        <w:trPr>
          <w:jc w:val="center"/>
        </w:trPr>
        <w:tc>
          <w:tcPr>
            <w:tcW w:w="2605" w:type="dxa"/>
          </w:tcPr>
          <w:p w14:paraId="793E3576"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Self-published journals, books, reports etc.</w:t>
            </w:r>
          </w:p>
        </w:tc>
        <w:tc>
          <w:tcPr>
            <w:tcW w:w="3060" w:type="dxa"/>
          </w:tcPr>
          <w:p w14:paraId="6295DBFD"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Immediately</w:t>
            </w:r>
          </w:p>
        </w:tc>
        <w:tc>
          <w:tcPr>
            <w:tcW w:w="3780" w:type="dxa"/>
          </w:tcPr>
          <w:p w14:paraId="1AA73E34" w14:textId="3AD2C0EA" w:rsidR="004A4758" w:rsidRPr="00246A7A" w:rsidRDefault="002F55DB" w:rsidP="002F55DB">
            <w:pPr>
              <w:rPr>
                <w:rFonts w:asciiTheme="minorHAnsi" w:hAnsiTheme="minorHAnsi" w:cs="Times New Roman"/>
                <w:sz w:val="18"/>
                <w:szCs w:val="18"/>
              </w:rPr>
            </w:pPr>
            <w:r w:rsidRPr="00246A7A">
              <w:rPr>
                <w:rFonts w:asciiTheme="minorHAnsi" w:hAnsiTheme="minorHAnsi" w:cs="Times New Roman"/>
                <w:sz w:val="18"/>
                <w:szCs w:val="18"/>
              </w:rPr>
              <w:t xml:space="preserve">Self-published materials not currently addressed in </w:t>
            </w:r>
            <w:r w:rsidR="00C12B0F" w:rsidRPr="00246A7A">
              <w:rPr>
                <w:rFonts w:asciiTheme="minorHAnsi" w:hAnsiTheme="minorHAnsi" w:cs="Times New Roman"/>
                <w:sz w:val="18"/>
                <w:szCs w:val="18"/>
              </w:rPr>
              <w:t>the Policy</w:t>
            </w:r>
          </w:p>
        </w:tc>
      </w:tr>
      <w:tr w:rsidR="004A4758" w:rsidRPr="00246A7A" w14:paraId="384A19FC" w14:textId="1D0A0DCF" w:rsidTr="00246A7A">
        <w:trPr>
          <w:jc w:val="center"/>
        </w:trPr>
        <w:tc>
          <w:tcPr>
            <w:tcW w:w="2605" w:type="dxa"/>
          </w:tcPr>
          <w:p w14:paraId="75855A2D"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Reports and other papers</w:t>
            </w:r>
          </w:p>
        </w:tc>
        <w:tc>
          <w:tcPr>
            <w:tcW w:w="3060" w:type="dxa"/>
          </w:tcPr>
          <w:p w14:paraId="17E16F81"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3E7F64C8"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Latest: within 6 months of completion</w:t>
            </w:r>
          </w:p>
        </w:tc>
        <w:tc>
          <w:tcPr>
            <w:tcW w:w="3780" w:type="dxa"/>
          </w:tcPr>
          <w:p w14:paraId="75C3C06D" w14:textId="77777777" w:rsidR="002F55DB" w:rsidRPr="00246A7A" w:rsidRDefault="002F55DB" w:rsidP="002F55DB">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25C08B87" w14:textId="71BA059D" w:rsidR="004A4758" w:rsidRPr="00246A7A" w:rsidRDefault="002F55DB" w:rsidP="002F55DB">
            <w:pPr>
              <w:rPr>
                <w:rFonts w:asciiTheme="minorHAnsi" w:hAnsiTheme="minorHAnsi" w:cs="Times New Roman"/>
                <w:sz w:val="18"/>
                <w:szCs w:val="18"/>
              </w:rPr>
            </w:pPr>
            <w:r w:rsidRPr="00246A7A">
              <w:rPr>
                <w:rFonts w:asciiTheme="minorHAnsi" w:hAnsiTheme="minorHAnsi" w:cs="Times New Roman"/>
                <w:sz w:val="18"/>
                <w:szCs w:val="18"/>
              </w:rPr>
              <w:t>Latest: within 3 months of completion</w:t>
            </w:r>
          </w:p>
        </w:tc>
      </w:tr>
      <w:tr w:rsidR="004A4758" w:rsidRPr="00246A7A" w14:paraId="0ECE56C3" w14:textId="66B57EE6" w:rsidTr="00246A7A">
        <w:trPr>
          <w:jc w:val="center"/>
        </w:trPr>
        <w:tc>
          <w:tcPr>
            <w:tcW w:w="2605" w:type="dxa"/>
          </w:tcPr>
          <w:p w14:paraId="0DD39D69"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Externally or commercially published books and book chapters</w:t>
            </w:r>
          </w:p>
        </w:tc>
        <w:tc>
          <w:tcPr>
            <w:tcW w:w="3060" w:type="dxa"/>
          </w:tcPr>
          <w:p w14:paraId="6597E237" w14:textId="7DFC5E7A" w:rsidR="004A4758" w:rsidRPr="00246A7A" w:rsidRDefault="002F55DB" w:rsidP="002B1220">
            <w:pPr>
              <w:rPr>
                <w:rFonts w:asciiTheme="minorHAnsi" w:hAnsiTheme="minorHAnsi" w:cs="Times New Roman"/>
                <w:sz w:val="18"/>
                <w:szCs w:val="18"/>
              </w:rPr>
            </w:pPr>
            <w:r w:rsidRPr="00246A7A">
              <w:rPr>
                <w:rFonts w:asciiTheme="minorHAnsi" w:hAnsiTheme="minorHAnsi" w:cs="Times New Roman"/>
                <w:sz w:val="18"/>
                <w:szCs w:val="18"/>
              </w:rPr>
              <w:t>As per the Policy</w:t>
            </w:r>
            <w:r w:rsidR="00E15C12" w:rsidRPr="00246A7A">
              <w:rPr>
                <w:rFonts w:asciiTheme="minorHAnsi" w:hAnsiTheme="minorHAnsi" w:cs="Times New Roman"/>
                <w:sz w:val="18"/>
                <w:szCs w:val="18"/>
              </w:rPr>
              <w:t xml:space="preserve"> D</w:t>
            </w:r>
            <w:r w:rsidRPr="00246A7A">
              <w:rPr>
                <w:rFonts w:asciiTheme="minorHAnsi" w:hAnsiTheme="minorHAnsi" w:cs="Times New Roman"/>
                <w:sz w:val="18"/>
                <w:szCs w:val="18"/>
              </w:rPr>
              <w:t xml:space="preserve">eposit </w:t>
            </w:r>
            <w:r w:rsidR="00E15C12" w:rsidRPr="00246A7A">
              <w:rPr>
                <w:rFonts w:asciiTheme="minorHAnsi" w:hAnsiTheme="minorHAnsi" w:cs="Times New Roman"/>
                <w:sz w:val="18"/>
                <w:szCs w:val="18"/>
              </w:rPr>
              <w:t>S</w:t>
            </w:r>
            <w:r w:rsidRPr="00246A7A">
              <w:rPr>
                <w:rFonts w:asciiTheme="minorHAnsi" w:hAnsiTheme="minorHAnsi" w:cs="Times New Roman"/>
                <w:sz w:val="18"/>
                <w:szCs w:val="18"/>
              </w:rPr>
              <w:t>chedule</w:t>
            </w:r>
            <w:r w:rsidR="005938EF" w:rsidRPr="00246A7A">
              <w:rPr>
                <w:rFonts w:asciiTheme="minorHAnsi" w:hAnsiTheme="minorHAnsi" w:cs="Times New Roman"/>
                <w:sz w:val="18"/>
                <w:szCs w:val="18"/>
              </w:rPr>
              <w:t xml:space="preserve"> </w:t>
            </w:r>
          </w:p>
        </w:tc>
        <w:tc>
          <w:tcPr>
            <w:tcW w:w="3780" w:type="dxa"/>
          </w:tcPr>
          <w:p w14:paraId="0A029875" w14:textId="77777777" w:rsidR="002F55DB" w:rsidRPr="00246A7A" w:rsidRDefault="002F55DB" w:rsidP="002F55DB">
            <w:pPr>
              <w:rPr>
                <w:rFonts w:asciiTheme="minorHAnsi" w:hAnsiTheme="minorHAnsi" w:cs="Times New Roman"/>
                <w:sz w:val="18"/>
                <w:szCs w:val="18"/>
              </w:rPr>
            </w:pPr>
            <w:r w:rsidRPr="00246A7A">
              <w:rPr>
                <w:rFonts w:asciiTheme="minorHAnsi" w:hAnsiTheme="minorHAnsi" w:cs="Times New Roman"/>
                <w:sz w:val="18"/>
                <w:szCs w:val="18"/>
              </w:rPr>
              <w:t xml:space="preserve">As soon as possible </w:t>
            </w:r>
          </w:p>
          <w:p w14:paraId="5BD23AFC" w14:textId="209F6393" w:rsidR="004A4758" w:rsidRPr="00246A7A" w:rsidRDefault="002F55DB" w:rsidP="002F55DB">
            <w:pPr>
              <w:rPr>
                <w:rFonts w:asciiTheme="minorHAnsi" w:hAnsiTheme="minorHAnsi" w:cs="Times New Roman"/>
                <w:sz w:val="18"/>
                <w:szCs w:val="18"/>
              </w:rPr>
            </w:pPr>
            <w:r w:rsidRPr="00246A7A">
              <w:rPr>
                <w:rFonts w:asciiTheme="minorHAnsi" w:hAnsiTheme="minorHAnsi" w:cs="Times New Roman"/>
                <w:sz w:val="18"/>
                <w:szCs w:val="18"/>
              </w:rPr>
              <w:t>Latest: within 6 months of completion</w:t>
            </w:r>
          </w:p>
        </w:tc>
      </w:tr>
      <w:tr w:rsidR="004A4758" w:rsidRPr="00246A7A" w14:paraId="43B53A0F" w14:textId="2B2DB1EF" w:rsidTr="00246A7A">
        <w:trPr>
          <w:jc w:val="center"/>
        </w:trPr>
        <w:tc>
          <w:tcPr>
            <w:tcW w:w="2605" w:type="dxa"/>
          </w:tcPr>
          <w:p w14:paraId="1CE33735"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Data and data sets</w:t>
            </w:r>
          </w:p>
        </w:tc>
        <w:tc>
          <w:tcPr>
            <w:tcW w:w="3060" w:type="dxa"/>
          </w:tcPr>
          <w:p w14:paraId="792CB8AA" w14:textId="698C5274" w:rsidR="004A4758" w:rsidRPr="00246A7A" w:rsidRDefault="005938EF" w:rsidP="002B1220">
            <w:pPr>
              <w:rPr>
                <w:rFonts w:asciiTheme="minorHAnsi" w:hAnsiTheme="minorHAnsi" w:cs="Times New Roman"/>
                <w:sz w:val="18"/>
                <w:szCs w:val="18"/>
              </w:rPr>
            </w:pPr>
            <w:r w:rsidRPr="00246A7A">
              <w:rPr>
                <w:rFonts w:asciiTheme="minorHAnsi" w:hAnsiTheme="minorHAnsi" w:cs="Times New Roman"/>
                <w:sz w:val="18"/>
                <w:szCs w:val="18"/>
              </w:rPr>
              <w:t xml:space="preserve">As per the Policy </w:t>
            </w:r>
            <w:r w:rsidR="00E15C12" w:rsidRPr="00246A7A">
              <w:rPr>
                <w:rFonts w:asciiTheme="minorHAnsi" w:hAnsiTheme="minorHAnsi" w:cs="Times New Roman"/>
                <w:sz w:val="18"/>
                <w:szCs w:val="18"/>
              </w:rPr>
              <w:t>D</w:t>
            </w:r>
            <w:r w:rsidRPr="00246A7A">
              <w:rPr>
                <w:rFonts w:asciiTheme="minorHAnsi" w:hAnsiTheme="minorHAnsi" w:cs="Times New Roman"/>
                <w:sz w:val="18"/>
                <w:szCs w:val="18"/>
              </w:rPr>
              <w:t xml:space="preserve">eposit </w:t>
            </w:r>
            <w:r w:rsidR="00E15C12" w:rsidRPr="00246A7A">
              <w:rPr>
                <w:rFonts w:asciiTheme="minorHAnsi" w:hAnsiTheme="minorHAnsi" w:cs="Times New Roman"/>
                <w:sz w:val="18"/>
                <w:szCs w:val="18"/>
              </w:rPr>
              <w:t>S</w:t>
            </w:r>
            <w:r w:rsidRPr="00246A7A">
              <w:rPr>
                <w:rFonts w:asciiTheme="minorHAnsi" w:hAnsiTheme="minorHAnsi" w:cs="Times New Roman"/>
                <w:sz w:val="18"/>
                <w:szCs w:val="18"/>
              </w:rPr>
              <w:t>chedule</w:t>
            </w:r>
          </w:p>
        </w:tc>
        <w:tc>
          <w:tcPr>
            <w:tcW w:w="3780" w:type="dxa"/>
          </w:tcPr>
          <w:p w14:paraId="1E73816D" w14:textId="77777777" w:rsidR="005938EF" w:rsidRPr="00246A7A" w:rsidRDefault="005938EF" w:rsidP="005938EF">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130FF63E" w14:textId="49C2088F" w:rsidR="004A4758" w:rsidRPr="00246A7A" w:rsidRDefault="005938EF" w:rsidP="005938EF">
            <w:pPr>
              <w:rPr>
                <w:rFonts w:asciiTheme="minorHAnsi" w:hAnsiTheme="minorHAnsi" w:cs="Times New Roman"/>
                <w:sz w:val="18"/>
                <w:szCs w:val="18"/>
              </w:rPr>
            </w:pPr>
            <w:r w:rsidRPr="00246A7A">
              <w:rPr>
                <w:rFonts w:asciiTheme="minorHAnsi" w:hAnsiTheme="minorHAnsi" w:cs="Times New Roman"/>
                <w:sz w:val="18"/>
                <w:szCs w:val="18"/>
              </w:rPr>
              <w:t>Latest: within 12 months of completion of data collection or appropriate project milestone, or within 6 months of publication of the information products underpinned by that data</w:t>
            </w:r>
          </w:p>
        </w:tc>
      </w:tr>
      <w:tr w:rsidR="004A4758" w:rsidRPr="00246A7A" w14:paraId="62A9D3D3" w14:textId="666668E3" w:rsidTr="00246A7A">
        <w:trPr>
          <w:jc w:val="center"/>
        </w:trPr>
        <w:tc>
          <w:tcPr>
            <w:tcW w:w="2605" w:type="dxa"/>
          </w:tcPr>
          <w:p w14:paraId="1A81254C"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Video, audio, scientific images</w:t>
            </w:r>
          </w:p>
        </w:tc>
        <w:tc>
          <w:tcPr>
            <w:tcW w:w="3060" w:type="dxa"/>
          </w:tcPr>
          <w:p w14:paraId="678091E6"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 xml:space="preserve">As soon as possible </w:t>
            </w:r>
          </w:p>
          <w:p w14:paraId="4A6A14B9"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Latest: within 6 months of completion</w:t>
            </w:r>
          </w:p>
        </w:tc>
        <w:tc>
          <w:tcPr>
            <w:tcW w:w="3780" w:type="dxa"/>
          </w:tcPr>
          <w:p w14:paraId="538B5C33" w14:textId="77777777" w:rsidR="00E15C12" w:rsidRPr="00246A7A" w:rsidRDefault="00E15C12" w:rsidP="00E15C12">
            <w:pPr>
              <w:rPr>
                <w:rFonts w:asciiTheme="minorHAnsi" w:hAnsiTheme="minorHAnsi" w:cs="Times New Roman"/>
                <w:sz w:val="18"/>
                <w:szCs w:val="18"/>
              </w:rPr>
            </w:pPr>
            <w:r w:rsidRPr="00246A7A">
              <w:rPr>
                <w:rFonts w:asciiTheme="minorHAnsi" w:hAnsiTheme="minorHAnsi" w:cs="Times New Roman"/>
                <w:sz w:val="18"/>
                <w:szCs w:val="18"/>
              </w:rPr>
              <w:t xml:space="preserve">As soon as possible </w:t>
            </w:r>
          </w:p>
          <w:p w14:paraId="01D2A76F" w14:textId="245CE2BA" w:rsidR="004A4758" w:rsidRPr="00246A7A" w:rsidRDefault="00E15C12" w:rsidP="00E15C12">
            <w:pPr>
              <w:rPr>
                <w:rFonts w:asciiTheme="minorHAnsi" w:hAnsiTheme="minorHAnsi" w:cs="Times New Roman"/>
                <w:sz w:val="18"/>
                <w:szCs w:val="18"/>
              </w:rPr>
            </w:pPr>
            <w:r w:rsidRPr="00246A7A">
              <w:rPr>
                <w:rFonts w:asciiTheme="minorHAnsi" w:hAnsiTheme="minorHAnsi" w:cs="Times New Roman"/>
                <w:sz w:val="18"/>
                <w:szCs w:val="18"/>
              </w:rPr>
              <w:t>Latest: within 3 months of completion</w:t>
            </w:r>
          </w:p>
        </w:tc>
      </w:tr>
      <w:tr w:rsidR="004A4758" w:rsidRPr="00246A7A" w14:paraId="6CFE86A0" w14:textId="096DEE12" w:rsidTr="00246A7A">
        <w:trPr>
          <w:jc w:val="center"/>
        </w:trPr>
        <w:tc>
          <w:tcPr>
            <w:tcW w:w="2605" w:type="dxa"/>
          </w:tcPr>
          <w:p w14:paraId="28301E98"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Photographs</w:t>
            </w:r>
          </w:p>
        </w:tc>
        <w:tc>
          <w:tcPr>
            <w:tcW w:w="3060" w:type="dxa"/>
          </w:tcPr>
          <w:p w14:paraId="591277FF"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3492561E"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Latest: within 6 months of completion or publication</w:t>
            </w:r>
          </w:p>
        </w:tc>
        <w:tc>
          <w:tcPr>
            <w:tcW w:w="3780" w:type="dxa"/>
          </w:tcPr>
          <w:p w14:paraId="5925A7CD" w14:textId="77777777" w:rsidR="00E15C12" w:rsidRPr="00246A7A" w:rsidRDefault="00E15C12" w:rsidP="00E15C12">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5952EA7A" w14:textId="14A34D93" w:rsidR="004A4758" w:rsidRPr="00246A7A" w:rsidRDefault="00E15C12" w:rsidP="00E15C12">
            <w:pPr>
              <w:rPr>
                <w:rFonts w:asciiTheme="minorHAnsi" w:hAnsiTheme="minorHAnsi" w:cs="Times New Roman"/>
                <w:sz w:val="18"/>
                <w:szCs w:val="18"/>
              </w:rPr>
            </w:pPr>
            <w:r w:rsidRPr="00246A7A">
              <w:rPr>
                <w:rFonts w:asciiTheme="minorHAnsi" w:hAnsiTheme="minorHAnsi" w:cs="Times New Roman"/>
                <w:sz w:val="18"/>
                <w:szCs w:val="18"/>
              </w:rPr>
              <w:t>Latest: within 3 months of completion or publication</w:t>
            </w:r>
          </w:p>
        </w:tc>
      </w:tr>
      <w:tr w:rsidR="004A4758" w:rsidRPr="00246A7A" w14:paraId="5627D36D" w14:textId="5CFA3528" w:rsidTr="00246A7A">
        <w:trPr>
          <w:jc w:val="center"/>
        </w:trPr>
        <w:tc>
          <w:tcPr>
            <w:tcW w:w="2605" w:type="dxa"/>
          </w:tcPr>
          <w:p w14:paraId="7B7F9E22"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Computer software/applications/code</w:t>
            </w:r>
          </w:p>
        </w:tc>
        <w:tc>
          <w:tcPr>
            <w:tcW w:w="3060" w:type="dxa"/>
          </w:tcPr>
          <w:p w14:paraId="69E281D9"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319C59A5"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Latest: within 6 months of completion</w:t>
            </w:r>
          </w:p>
        </w:tc>
        <w:tc>
          <w:tcPr>
            <w:tcW w:w="3780" w:type="dxa"/>
          </w:tcPr>
          <w:p w14:paraId="05D63134" w14:textId="4BFE9DDD" w:rsidR="004A4758" w:rsidRPr="00246A7A" w:rsidRDefault="00E15C12" w:rsidP="002B1220">
            <w:pPr>
              <w:rPr>
                <w:rFonts w:asciiTheme="minorHAnsi" w:hAnsiTheme="minorHAnsi" w:cs="Times New Roman"/>
                <w:sz w:val="18"/>
                <w:szCs w:val="18"/>
              </w:rPr>
            </w:pPr>
            <w:r w:rsidRPr="00246A7A">
              <w:rPr>
                <w:rFonts w:asciiTheme="minorHAnsi" w:hAnsiTheme="minorHAnsi" w:cs="Times New Roman"/>
                <w:sz w:val="18"/>
                <w:szCs w:val="18"/>
              </w:rPr>
              <w:t>Upon completion of software development</w:t>
            </w:r>
          </w:p>
        </w:tc>
      </w:tr>
      <w:tr w:rsidR="004A4758" w:rsidRPr="00246A7A" w14:paraId="61820DD0" w14:textId="052A3A10" w:rsidTr="00246A7A">
        <w:trPr>
          <w:jc w:val="center"/>
        </w:trPr>
        <w:tc>
          <w:tcPr>
            <w:tcW w:w="2605" w:type="dxa"/>
          </w:tcPr>
          <w:p w14:paraId="50E6D72F"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Metadata</w:t>
            </w:r>
          </w:p>
        </w:tc>
        <w:tc>
          <w:tcPr>
            <w:tcW w:w="3060" w:type="dxa"/>
          </w:tcPr>
          <w:p w14:paraId="42DA1711"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43B3BDB8"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Latest: before or on publication of the information product</w:t>
            </w:r>
          </w:p>
        </w:tc>
        <w:tc>
          <w:tcPr>
            <w:tcW w:w="3780" w:type="dxa"/>
          </w:tcPr>
          <w:p w14:paraId="179B1C16" w14:textId="77777777" w:rsidR="00E15C12" w:rsidRPr="00246A7A" w:rsidRDefault="00E15C12" w:rsidP="00E15C12">
            <w:pPr>
              <w:rPr>
                <w:rFonts w:asciiTheme="minorHAnsi" w:hAnsiTheme="minorHAnsi" w:cs="Times New Roman"/>
                <w:sz w:val="18"/>
                <w:szCs w:val="18"/>
              </w:rPr>
            </w:pPr>
            <w:r w:rsidRPr="00246A7A">
              <w:rPr>
                <w:rFonts w:asciiTheme="minorHAnsi" w:hAnsiTheme="minorHAnsi" w:cs="Times New Roman"/>
                <w:sz w:val="18"/>
                <w:szCs w:val="18"/>
              </w:rPr>
              <w:t>As soon as possible</w:t>
            </w:r>
          </w:p>
          <w:p w14:paraId="400224B2" w14:textId="34912EC4" w:rsidR="004A4758" w:rsidRPr="00246A7A" w:rsidRDefault="00E15C12" w:rsidP="00E15C12">
            <w:pPr>
              <w:rPr>
                <w:rFonts w:asciiTheme="minorHAnsi" w:hAnsiTheme="minorHAnsi" w:cs="Times New Roman"/>
                <w:sz w:val="18"/>
                <w:szCs w:val="18"/>
              </w:rPr>
            </w:pPr>
            <w:r w:rsidRPr="00246A7A">
              <w:rPr>
                <w:rFonts w:asciiTheme="minorHAnsi" w:hAnsiTheme="minorHAnsi" w:cs="Times New Roman"/>
                <w:sz w:val="18"/>
                <w:szCs w:val="18"/>
              </w:rPr>
              <w:t>Latest: before or on publication of the information product</w:t>
            </w:r>
          </w:p>
        </w:tc>
      </w:tr>
      <w:tr w:rsidR="004A4758" w:rsidRPr="00246A7A" w14:paraId="24B71AD8" w14:textId="2D4692F0" w:rsidTr="00246A7A">
        <w:trPr>
          <w:jc w:val="center"/>
        </w:trPr>
        <w:tc>
          <w:tcPr>
            <w:tcW w:w="2605" w:type="dxa"/>
          </w:tcPr>
          <w:p w14:paraId="5558D9D3"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 xml:space="preserve">Core/corporate governance documents appropriate for public consumption </w:t>
            </w:r>
          </w:p>
        </w:tc>
        <w:tc>
          <w:tcPr>
            <w:tcW w:w="3060" w:type="dxa"/>
          </w:tcPr>
          <w:p w14:paraId="17987ABB" w14:textId="236E4CEC"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e.g., financial reports, board agendas and minutes, annual reports, as appropriate</w:t>
            </w:r>
          </w:p>
          <w:p w14:paraId="4FA915D3" w14:textId="77777777" w:rsidR="004A4758" w:rsidRPr="00246A7A" w:rsidRDefault="004A4758" w:rsidP="002B1220">
            <w:pPr>
              <w:rPr>
                <w:rFonts w:asciiTheme="minorHAnsi" w:hAnsiTheme="minorHAnsi" w:cs="Times New Roman"/>
                <w:sz w:val="18"/>
                <w:szCs w:val="18"/>
              </w:rPr>
            </w:pPr>
            <w:r w:rsidRPr="00246A7A">
              <w:rPr>
                <w:rFonts w:asciiTheme="minorHAnsi" w:hAnsiTheme="minorHAnsi" w:cs="Times New Roman"/>
                <w:sz w:val="18"/>
                <w:szCs w:val="18"/>
              </w:rPr>
              <w:t>As soon as possible</w:t>
            </w:r>
          </w:p>
        </w:tc>
        <w:tc>
          <w:tcPr>
            <w:tcW w:w="3780" w:type="dxa"/>
          </w:tcPr>
          <w:p w14:paraId="077FC59A" w14:textId="3454ADA5" w:rsidR="004A4758" w:rsidRPr="00246A7A" w:rsidRDefault="00E15C12" w:rsidP="002B1220">
            <w:pPr>
              <w:rPr>
                <w:rFonts w:asciiTheme="minorHAnsi" w:hAnsiTheme="minorHAnsi" w:cs="Times New Roman"/>
                <w:sz w:val="18"/>
                <w:szCs w:val="18"/>
              </w:rPr>
            </w:pPr>
            <w:r w:rsidRPr="00246A7A">
              <w:rPr>
                <w:rFonts w:asciiTheme="minorHAnsi" w:hAnsiTheme="minorHAnsi" w:cs="Times New Roman"/>
                <w:sz w:val="18"/>
                <w:szCs w:val="18"/>
              </w:rPr>
              <w:t xml:space="preserve">As per ‘reports’ category of Information </w:t>
            </w:r>
            <w:r w:rsidR="00C12B0F" w:rsidRPr="00246A7A">
              <w:rPr>
                <w:rFonts w:asciiTheme="minorHAnsi" w:hAnsiTheme="minorHAnsi" w:cs="Times New Roman"/>
                <w:sz w:val="18"/>
                <w:szCs w:val="18"/>
              </w:rPr>
              <w:t>Product (</w:t>
            </w:r>
            <w:r w:rsidRPr="00246A7A">
              <w:rPr>
                <w:rFonts w:asciiTheme="minorHAnsi" w:hAnsiTheme="minorHAnsi" w:cs="Times New Roman"/>
                <w:sz w:val="18"/>
                <w:szCs w:val="18"/>
              </w:rPr>
              <w:t xml:space="preserve">Core/corporate governance </w:t>
            </w:r>
            <w:proofErr w:type="gramStart"/>
            <w:r w:rsidRPr="00246A7A">
              <w:rPr>
                <w:rFonts w:asciiTheme="minorHAnsi" w:hAnsiTheme="minorHAnsi" w:cs="Times New Roman"/>
                <w:sz w:val="18"/>
                <w:szCs w:val="18"/>
              </w:rPr>
              <w:t>documents  not</w:t>
            </w:r>
            <w:proofErr w:type="gramEnd"/>
            <w:r w:rsidRPr="00246A7A">
              <w:rPr>
                <w:rFonts w:asciiTheme="minorHAnsi" w:hAnsiTheme="minorHAnsi" w:cs="Times New Roman"/>
                <w:sz w:val="18"/>
                <w:szCs w:val="18"/>
              </w:rPr>
              <w:t xml:space="preserve"> currently addressed separately in the Policy)</w:t>
            </w:r>
          </w:p>
        </w:tc>
      </w:tr>
      <w:tr w:rsidR="004A4758" w:rsidRPr="00246A7A" w14:paraId="3FE2CEB6" w14:textId="4BCC5234" w:rsidTr="00246A7A">
        <w:trPr>
          <w:jc w:val="center"/>
        </w:trPr>
        <w:tc>
          <w:tcPr>
            <w:tcW w:w="2605" w:type="dxa"/>
          </w:tcPr>
          <w:p w14:paraId="1F8D861F" w14:textId="47441650" w:rsidR="004A4758" w:rsidRPr="00246A7A" w:rsidRDefault="004A4758" w:rsidP="00536F6A">
            <w:pPr>
              <w:rPr>
                <w:rFonts w:asciiTheme="minorHAnsi" w:hAnsiTheme="minorHAnsi" w:cs="Times New Roman"/>
                <w:sz w:val="18"/>
                <w:szCs w:val="18"/>
              </w:rPr>
            </w:pPr>
            <w:r w:rsidRPr="00246A7A">
              <w:rPr>
                <w:rFonts w:asciiTheme="minorHAnsi" w:hAnsiTheme="minorHAnsi" w:cs="Times New Roman"/>
                <w:sz w:val="18"/>
                <w:szCs w:val="18"/>
              </w:rPr>
              <w:t xml:space="preserve">Automated </w:t>
            </w:r>
            <w:r w:rsidR="00536F6A" w:rsidRPr="00246A7A">
              <w:rPr>
                <w:rFonts w:asciiTheme="minorHAnsi" w:hAnsiTheme="minorHAnsi" w:cs="Times New Roman"/>
                <w:sz w:val="18"/>
                <w:szCs w:val="18"/>
              </w:rPr>
              <w:t xml:space="preserve">deposit </w:t>
            </w:r>
            <w:r w:rsidRPr="00246A7A">
              <w:rPr>
                <w:rFonts w:asciiTheme="minorHAnsi" w:hAnsiTheme="minorHAnsi" w:cs="Times New Roman"/>
                <w:sz w:val="18"/>
                <w:szCs w:val="18"/>
              </w:rPr>
              <w:t>extensions</w:t>
            </w:r>
          </w:p>
        </w:tc>
        <w:tc>
          <w:tcPr>
            <w:tcW w:w="3060" w:type="dxa"/>
          </w:tcPr>
          <w:p w14:paraId="135F08D7" w14:textId="47E2BA1D" w:rsidR="004A4758" w:rsidRPr="00246A7A" w:rsidRDefault="004A4758" w:rsidP="00E15C12">
            <w:pPr>
              <w:rPr>
                <w:rFonts w:asciiTheme="minorHAnsi" w:hAnsiTheme="minorHAnsi" w:cs="Times New Roman"/>
                <w:sz w:val="18"/>
                <w:szCs w:val="18"/>
              </w:rPr>
            </w:pPr>
            <w:r w:rsidRPr="00246A7A">
              <w:rPr>
                <w:rFonts w:asciiTheme="minorHAnsi" w:hAnsiTheme="minorHAnsi" w:cs="Times New Roman"/>
                <w:sz w:val="18"/>
                <w:szCs w:val="18"/>
              </w:rPr>
              <w:t>Certain types of information products (</w:t>
            </w:r>
            <w:proofErr w:type="gramStart"/>
            <w:r w:rsidRPr="00246A7A">
              <w:rPr>
                <w:rFonts w:asciiTheme="minorHAnsi" w:hAnsiTheme="minorHAnsi" w:cs="Times New Roman"/>
                <w:sz w:val="18"/>
                <w:szCs w:val="18"/>
              </w:rPr>
              <w:t>in particular data</w:t>
            </w:r>
            <w:proofErr w:type="gramEnd"/>
            <w:r w:rsidRPr="00246A7A">
              <w:rPr>
                <w:rFonts w:asciiTheme="minorHAnsi" w:hAnsiTheme="minorHAnsi" w:cs="Times New Roman"/>
                <w:sz w:val="18"/>
                <w:szCs w:val="18"/>
              </w:rPr>
              <w:t xml:space="preserve"> collected pursuant to hypothesis-driven research) may take longer than 12 months to clean, analyze and publish. Thus, 12 months should </w:t>
            </w:r>
            <w:proofErr w:type="gramStart"/>
            <w:r w:rsidRPr="00246A7A">
              <w:rPr>
                <w:rFonts w:asciiTheme="minorHAnsi" w:hAnsiTheme="minorHAnsi" w:cs="Times New Roman"/>
                <w:sz w:val="18"/>
                <w:szCs w:val="18"/>
              </w:rPr>
              <w:t>be seen as</w:t>
            </w:r>
            <w:proofErr w:type="gramEnd"/>
            <w:r w:rsidRPr="00246A7A">
              <w:rPr>
                <w:rFonts w:asciiTheme="minorHAnsi" w:hAnsiTheme="minorHAnsi" w:cs="Times New Roman"/>
                <w:sz w:val="18"/>
                <w:szCs w:val="18"/>
              </w:rPr>
              <w:t xml:space="preserve"> the aim, with 24 months as the long-stop date for making such data Open Access. </w:t>
            </w:r>
          </w:p>
        </w:tc>
        <w:tc>
          <w:tcPr>
            <w:tcW w:w="3780" w:type="dxa"/>
          </w:tcPr>
          <w:p w14:paraId="787A63A3" w14:textId="36C89F33" w:rsidR="004A4758" w:rsidRPr="00246A7A" w:rsidRDefault="00E15C12" w:rsidP="00E15C12">
            <w:pPr>
              <w:rPr>
                <w:rFonts w:asciiTheme="minorHAnsi" w:hAnsiTheme="minorHAnsi" w:cs="Times New Roman"/>
                <w:sz w:val="18"/>
                <w:szCs w:val="18"/>
              </w:rPr>
            </w:pPr>
            <w:r w:rsidRPr="00246A7A">
              <w:rPr>
                <w:rFonts w:asciiTheme="minorHAnsi" w:hAnsiTheme="minorHAnsi" w:cs="Times New Roman"/>
                <w:sz w:val="18"/>
                <w:szCs w:val="18"/>
              </w:rPr>
              <w:t>A long-stop date of 24 months is not currently included in the Policy</w:t>
            </w:r>
          </w:p>
        </w:tc>
      </w:tr>
    </w:tbl>
    <w:p w14:paraId="1D06F7C2" w14:textId="77777777" w:rsidR="00C616A0" w:rsidRPr="00551723" w:rsidRDefault="00C616A0" w:rsidP="00C616A0">
      <w:pPr>
        <w:jc w:val="both"/>
        <w:rPr>
          <w:rFonts w:asciiTheme="minorHAnsi" w:hAnsiTheme="minorHAnsi" w:cs="Times New Roman"/>
          <w:szCs w:val="20"/>
        </w:rPr>
      </w:pPr>
    </w:p>
    <w:p w14:paraId="2F5B9BA1" w14:textId="77777777" w:rsidR="00CC3DA6" w:rsidRDefault="00CC3DA6" w:rsidP="00CC3DA6">
      <w:r w:rsidRPr="00CC3DA6">
        <w:t xml:space="preserve">While the Policy is designed to make final information products available via Open Access as quickly as possible, this transition process will take time; as such, implementation may occur through a phased approach. The Implementation Guidelines </w:t>
      </w:r>
      <w:r w:rsidRPr="00CC3DA6">
        <w:rPr>
          <w:rFonts w:cs="Times New Roman"/>
          <w:szCs w:val="20"/>
        </w:rPr>
        <w:t>are intentionally broad in nature and designed to offer Centers/CRPs as much flexibility as possible while they plan for and prepare their own implementation plans and approaches to supporting Open Access and Data Management.</w:t>
      </w:r>
      <w:r w:rsidRPr="00CC3DA6">
        <w:rPr>
          <w:rFonts w:ascii="Times New Roman" w:hAnsi="Times New Roman" w:cs="Times New Roman"/>
          <w:szCs w:val="20"/>
        </w:rPr>
        <w:t xml:space="preserve"> </w:t>
      </w:r>
      <w:r w:rsidRPr="00CC3DA6">
        <w:rPr>
          <w:rFonts w:cs="Times New Roman"/>
          <w:szCs w:val="20"/>
        </w:rPr>
        <w:t>There is, therefore,</w:t>
      </w:r>
      <w:r w:rsidRPr="00CC3DA6">
        <w:rPr>
          <w:rFonts w:ascii="Times New Roman" w:hAnsi="Times New Roman" w:cs="Times New Roman"/>
          <w:szCs w:val="20"/>
        </w:rPr>
        <w:t xml:space="preserve"> </w:t>
      </w:r>
      <w:r w:rsidRPr="00CC3DA6">
        <w:t xml:space="preserve">allowance for a slightly longer gap between completion of research and deadlines by which information products will be expected to be deposited into repositories. </w:t>
      </w:r>
    </w:p>
    <w:p w14:paraId="686E3445" w14:textId="77777777" w:rsidR="00524C73" w:rsidRDefault="00524C73" w:rsidP="00CC3DA6"/>
    <w:p w14:paraId="66D83187" w14:textId="5E4A38A8" w:rsidR="00480C6F" w:rsidRPr="00480C6F" w:rsidRDefault="00480C6F" w:rsidP="00CC3DA6">
      <w:pPr>
        <w:rPr>
          <w:i/>
        </w:rPr>
      </w:pPr>
      <w:r w:rsidRPr="00480C6F">
        <w:rPr>
          <w:i/>
          <w:color w:val="0000FF"/>
        </w:rPr>
        <w:t>[If the Center/CRP is adopting different timelines from the above table</w:t>
      </w:r>
      <w:r w:rsidR="00536F6A">
        <w:rPr>
          <w:i/>
          <w:color w:val="0000FF"/>
        </w:rPr>
        <w:t xml:space="preserve"> </w:t>
      </w:r>
      <w:r w:rsidR="00C12B0F">
        <w:rPr>
          <w:i/>
          <w:color w:val="0000FF"/>
        </w:rPr>
        <w:t>in regard to</w:t>
      </w:r>
      <w:r w:rsidR="00536F6A">
        <w:rPr>
          <w:i/>
          <w:color w:val="0000FF"/>
        </w:rPr>
        <w:t xml:space="preserve"> the transition period</w:t>
      </w:r>
      <w:r w:rsidRPr="00480C6F">
        <w:rPr>
          <w:i/>
          <w:color w:val="0000FF"/>
        </w:rPr>
        <w:t xml:space="preserve">, it should be noted </w:t>
      </w:r>
      <w:proofErr w:type="gramStart"/>
      <w:r w:rsidRPr="00480C6F">
        <w:rPr>
          <w:i/>
          <w:color w:val="0000FF"/>
        </w:rPr>
        <w:t>here</w:t>
      </w:r>
      <w:proofErr w:type="gramEnd"/>
      <w:r w:rsidRPr="00480C6F">
        <w:rPr>
          <w:i/>
          <w:color w:val="0000FF"/>
        </w:rPr>
        <w:t xml:space="preserve"> and</w:t>
      </w:r>
      <w:r>
        <w:rPr>
          <w:i/>
          <w:color w:val="0000FF"/>
        </w:rPr>
        <w:t xml:space="preserve"> the rationale</w:t>
      </w:r>
      <w:r w:rsidRPr="00480C6F">
        <w:rPr>
          <w:i/>
          <w:color w:val="0000FF"/>
        </w:rPr>
        <w:t xml:space="preserve"> explained.]</w:t>
      </w:r>
    </w:p>
    <w:p w14:paraId="0EF0E88E" w14:textId="77777777" w:rsidR="00480C6F" w:rsidRDefault="00480C6F" w:rsidP="00CC3DA6"/>
    <w:p w14:paraId="593D6623" w14:textId="5764DB93" w:rsidR="00E15C12" w:rsidRDefault="00E15C12" w:rsidP="00E15C12">
      <w:pPr>
        <w:pStyle w:val="Heading2"/>
      </w:pPr>
      <w:bookmarkStart w:id="8" w:name="_Toc416727076"/>
      <w:r>
        <w:t xml:space="preserve">1.7: Exceptions </w:t>
      </w:r>
      <w:r w:rsidR="00AB6548">
        <w:t xml:space="preserve">and Extensions </w:t>
      </w:r>
      <w:r>
        <w:t>to the Deposit Schedules</w:t>
      </w:r>
      <w:bookmarkEnd w:id="8"/>
      <w:r>
        <w:t xml:space="preserve"> </w:t>
      </w:r>
    </w:p>
    <w:p w14:paraId="34D0BD40" w14:textId="77777777" w:rsidR="00E15C12" w:rsidRDefault="00E15C12" w:rsidP="00CC3DA6"/>
    <w:p w14:paraId="6C00CEC3" w14:textId="764DFF33" w:rsidR="00536F6A" w:rsidRPr="00AB6548" w:rsidRDefault="00536F6A" w:rsidP="00AB6548">
      <w:pPr>
        <w:rPr>
          <w:szCs w:val="20"/>
        </w:rPr>
      </w:pPr>
      <w:r w:rsidRPr="00480C6F">
        <w:rPr>
          <w:i/>
          <w:color w:val="0000FF"/>
        </w:rPr>
        <w:t>[Center</w:t>
      </w:r>
      <w:r>
        <w:rPr>
          <w:i/>
          <w:color w:val="0000FF"/>
        </w:rPr>
        <w:t>s</w:t>
      </w:r>
      <w:r w:rsidRPr="00480C6F">
        <w:rPr>
          <w:i/>
          <w:color w:val="0000FF"/>
        </w:rPr>
        <w:t xml:space="preserve">/CRP </w:t>
      </w:r>
      <w:r>
        <w:rPr>
          <w:i/>
          <w:color w:val="0000FF"/>
        </w:rPr>
        <w:t xml:space="preserve">need to explain the </w:t>
      </w:r>
      <w:r w:rsidR="00AB6548">
        <w:rPr>
          <w:i/>
          <w:color w:val="0000FF"/>
        </w:rPr>
        <w:t xml:space="preserve">internal notification and approval </w:t>
      </w:r>
      <w:r>
        <w:rPr>
          <w:i/>
          <w:color w:val="0000FF"/>
        </w:rPr>
        <w:t>mechanisms through which exceptions</w:t>
      </w:r>
      <w:r w:rsidR="00AB6548">
        <w:rPr>
          <w:i/>
          <w:color w:val="0000FF"/>
        </w:rPr>
        <w:t xml:space="preserve"> and non-automated exemptions </w:t>
      </w:r>
      <w:r>
        <w:rPr>
          <w:i/>
          <w:color w:val="0000FF"/>
        </w:rPr>
        <w:t xml:space="preserve">to the deposit schedule </w:t>
      </w:r>
      <w:r w:rsidR="00AB6548">
        <w:rPr>
          <w:i/>
          <w:color w:val="0000FF"/>
        </w:rPr>
        <w:t xml:space="preserve">will be managed </w:t>
      </w:r>
      <w:r w:rsidR="00312EDA">
        <w:rPr>
          <w:i/>
          <w:color w:val="0000FF"/>
        </w:rPr>
        <w:t>with</w:t>
      </w:r>
      <w:r w:rsidR="00AB6548">
        <w:rPr>
          <w:i/>
          <w:color w:val="0000FF"/>
        </w:rPr>
        <w:t xml:space="preserve"> regard to (a) i</w:t>
      </w:r>
      <w:r w:rsidR="00AB6548" w:rsidRPr="00AB6548">
        <w:rPr>
          <w:i/>
          <w:color w:val="0000FF"/>
        </w:rPr>
        <w:t xml:space="preserve">nformation that is determined to be of a highly sensitive nature </w:t>
      </w:r>
      <w:r w:rsidR="00312EDA">
        <w:rPr>
          <w:i/>
          <w:color w:val="0000FF"/>
        </w:rPr>
        <w:t>due</w:t>
      </w:r>
      <w:r w:rsidR="00AB6548" w:rsidRPr="00AB6548">
        <w:rPr>
          <w:i/>
          <w:color w:val="0000FF"/>
        </w:rPr>
        <w:t xml:space="preserve"> to considerations including privacy, price and political sensitivity, adverse effects on farmers rights, etc.</w:t>
      </w:r>
      <w:r w:rsidR="00AB6548">
        <w:rPr>
          <w:i/>
          <w:color w:val="0000FF"/>
        </w:rPr>
        <w:t>; and (b) c</w:t>
      </w:r>
      <w:r w:rsidR="00AB6548" w:rsidRPr="00AB6548">
        <w:rPr>
          <w:i/>
          <w:color w:val="0000FF"/>
        </w:rPr>
        <w:t xml:space="preserve">onfidential information as may be associated with permitted restrictions or subject to limited delays to seek IP rights </w:t>
      </w:r>
      <w:r w:rsidR="00312EDA">
        <w:rPr>
          <w:i/>
          <w:color w:val="0000FF"/>
        </w:rPr>
        <w:t>as per</w:t>
      </w:r>
      <w:r w:rsidR="00AB6548" w:rsidRPr="00AB6548">
        <w:rPr>
          <w:i/>
          <w:color w:val="0000FF"/>
        </w:rPr>
        <w:t xml:space="preserve"> the CGIAR IA Principles</w:t>
      </w:r>
      <w:r w:rsidR="00AB6548">
        <w:rPr>
          <w:i/>
          <w:color w:val="0000FF"/>
        </w:rPr>
        <w:t xml:space="preserve">. In both scenarios </w:t>
      </w:r>
      <w:r w:rsidR="00A00FD7">
        <w:rPr>
          <w:i/>
          <w:color w:val="0000FF"/>
        </w:rPr>
        <w:t>the</w:t>
      </w:r>
      <w:r w:rsidR="00AB6548">
        <w:rPr>
          <w:i/>
          <w:color w:val="0000FF"/>
        </w:rPr>
        <w:t xml:space="preserve"> involvement of the Data Manager and/or Knowledge Manager as well as the IP Focal Poin</w:t>
      </w:r>
      <w:r w:rsidR="00A00FD7">
        <w:rPr>
          <w:i/>
          <w:color w:val="0000FF"/>
        </w:rPr>
        <w:t>t</w:t>
      </w:r>
      <w:r w:rsidR="00A00FD7">
        <w:rPr>
          <w:rStyle w:val="FootnoteReference"/>
          <w:i/>
          <w:color w:val="0000FF"/>
        </w:rPr>
        <w:footnoteReference w:id="1"/>
      </w:r>
      <w:r w:rsidR="00A00FD7">
        <w:rPr>
          <w:i/>
          <w:color w:val="0000FF"/>
        </w:rPr>
        <w:t xml:space="preserve"> </w:t>
      </w:r>
      <w:r w:rsidR="00AB6548">
        <w:rPr>
          <w:i/>
          <w:color w:val="0000FF"/>
        </w:rPr>
        <w:t xml:space="preserve">is </w:t>
      </w:r>
      <w:r w:rsidR="00A00FD7">
        <w:rPr>
          <w:i/>
          <w:color w:val="0000FF"/>
        </w:rPr>
        <w:t>strongly recommended</w:t>
      </w:r>
      <w:r w:rsidR="00AB6548">
        <w:rPr>
          <w:i/>
          <w:color w:val="0000FF"/>
        </w:rPr>
        <w:t>.</w:t>
      </w:r>
      <w:r w:rsidR="00BB439E">
        <w:rPr>
          <w:i/>
          <w:color w:val="0000FF"/>
        </w:rPr>
        <w:t>]</w:t>
      </w:r>
    </w:p>
    <w:p w14:paraId="46F8FE37" w14:textId="77777777" w:rsidR="00E15C12" w:rsidRDefault="00E15C12" w:rsidP="00CC3DA6"/>
    <w:p w14:paraId="00457FD2" w14:textId="77777777" w:rsidR="00536F6A" w:rsidRDefault="00536F6A" w:rsidP="00CC3DA6"/>
    <w:p w14:paraId="05454182" w14:textId="77777777" w:rsidR="00536F6A" w:rsidRDefault="00536F6A" w:rsidP="00CC3DA6"/>
    <w:p w14:paraId="4B164143" w14:textId="77777777" w:rsidR="00524C73" w:rsidRDefault="00524C73" w:rsidP="00CC3DA6">
      <w:r>
        <w:rPr>
          <w:noProof/>
          <w:szCs w:val="20"/>
        </w:rPr>
        <mc:AlternateContent>
          <mc:Choice Requires="wps">
            <w:drawing>
              <wp:anchor distT="0" distB="0" distL="114300" distR="114300" simplePos="0" relativeHeight="251671552" behindDoc="0" locked="0" layoutInCell="1" allowOverlap="1" wp14:anchorId="3C8CBD5F" wp14:editId="7E49C617">
                <wp:simplePos x="0" y="0"/>
                <wp:positionH relativeFrom="column">
                  <wp:posOffset>0</wp:posOffset>
                </wp:positionH>
                <wp:positionV relativeFrom="paragraph">
                  <wp:posOffset>18415</wp:posOffset>
                </wp:positionV>
                <wp:extent cx="5705856" cy="7315"/>
                <wp:effectExtent l="19050" t="19050" r="28575" b="31115"/>
                <wp:wrapNone/>
                <wp:docPr id="8" name="Straight Connector 8"/>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C11EC"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1.45pt" to="449.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" strokecolor="black [3213]" strokeweight="3pt">
                <v:stroke joinstyle="miter"/>
              </v:line>
            </w:pict>
          </mc:Fallback>
        </mc:AlternateContent>
      </w:r>
    </w:p>
    <w:p w14:paraId="2FD29197" w14:textId="77777777" w:rsidR="00C616A0" w:rsidRPr="00A34113" w:rsidRDefault="0006104A" w:rsidP="00AC6A9B">
      <w:pPr>
        <w:pStyle w:val="Heading1"/>
      </w:pPr>
      <w:bookmarkStart w:id="9" w:name="_Toc416727077"/>
      <w:r>
        <w:t xml:space="preserve">Section 2: </w:t>
      </w:r>
      <w:r w:rsidR="00C616A0" w:rsidRPr="00A34113">
        <w:t>Strategy and Implementation</w:t>
      </w:r>
      <w:r>
        <w:t xml:space="preserve"> Overview</w:t>
      </w:r>
      <w:bookmarkEnd w:id="9"/>
    </w:p>
    <w:p w14:paraId="3C281710" w14:textId="77777777" w:rsidR="0006104A" w:rsidRDefault="0006104A" w:rsidP="00C616A0">
      <w:pPr>
        <w:rPr>
          <w:szCs w:val="20"/>
        </w:rPr>
      </w:pPr>
    </w:p>
    <w:p w14:paraId="6909860B" w14:textId="77777777" w:rsidR="0006104A" w:rsidRDefault="0006104A" w:rsidP="00EE09F1">
      <w:pPr>
        <w:pStyle w:val="Heading2"/>
      </w:pPr>
      <w:bookmarkStart w:id="10" w:name="_Toc416727078"/>
      <w:r>
        <w:t>2.1: Overview of Strategy and Approach to Implementation</w:t>
      </w:r>
      <w:bookmarkEnd w:id="10"/>
    </w:p>
    <w:p w14:paraId="2D684DE8" w14:textId="77777777" w:rsidR="0006104A" w:rsidRDefault="0006104A" w:rsidP="00C616A0">
      <w:pPr>
        <w:rPr>
          <w:szCs w:val="20"/>
        </w:rPr>
      </w:pPr>
    </w:p>
    <w:p w14:paraId="15818511" w14:textId="77777777" w:rsidR="0006104A" w:rsidRDefault="0006104A" w:rsidP="00C616A0">
      <w:pPr>
        <w:rPr>
          <w:szCs w:val="20"/>
        </w:rPr>
      </w:pPr>
      <w:r>
        <w:rPr>
          <w:i/>
          <w:color w:val="0000FF"/>
          <w:szCs w:val="20"/>
        </w:rPr>
        <w:t xml:space="preserve">[Overview of the </w:t>
      </w:r>
      <w:r w:rsidRPr="00B23069">
        <w:rPr>
          <w:i/>
          <w:color w:val="0000FF"/>
          <w:szCs w:val="20"/>
        </w:rPr>
        <w:t>approach the Center/CRP is taking in its implementation of Open Access and Open Data – i.e., if the Center/CRP is approaching implementation for both areas as a single work stream, or if the Center/CRP is handling Open Access to publications via one stream and Open Data separately.]</w:t>
      </w:r>
    </w:p>
    <w:p w14:paraId="24DA911A" w14:textId="77777777" w:rsidR="00480C6F" w:rsidRDefault="00480C6F" w:rsidP="00C616A0">
      <w:pPr>
        <w:rPr>
          <w:szCs w:val="20"/>
        </w:rPr>
      </w:pPr>
    </w:p>
    <w:p w14:paraId="6FFD6790" w14:textId="77777777" w:rsidR="00480C6F" w:rsidRDefault="00480C6F" w:rsidP="00C616A0">
      <w:pPr>
        <w:rPr>
          <w:szCs w:val="20"/>
        </w:rPr>
      </w:pPr>
    </w:p>
    <w:p w14:paraId="677AE656" w14:textId="77777777" w:rsidR="0006104A" w:rsidRDefault="0006104A" w:rsidP="00EE09F1">
      <w:pPr>
        <w:pStyle w:val="Heading2"/>
      </w:pPr>
      <w:bookmarkStart w:id="11" w:name="_Toc416727079"/>
      <w:r>
        <w:t>2.2: Goals and Objectives</w:t>
      </w:r>
      <w:bookmarkEnd w:id="11"/>
    </w:p>
    <w:p w14:paraId="70E36827" w14:textId="77777777" w:rsidR="00EE09F1" w:rsidRDefault="00EE09F1" w:rsidP="00C616A0">
      <w:pPr>
        <w:rPr>
          <w:i/>
          <w:color w:val="0000FF"/>
          <w:szCs w:val="20"/>
        </w:rPr>
      </w:pPr>
      <w:r w:rsidRPr="00EE09F1">
        <w:rPr>
          <w:i/>
          <w:color w:val="0000FF"/>
          <w:szCs w:val="20"/>
        </w:rPr>
        <w:t>[Center/CRP-specific goals and objectives</w:t>
      </w:r>
      <w:r>
        <w:rPr>
          <w:i/>
          <w:color w:val="0000FF"/>
          <w:szCs w:val="20"/>
        </w:rPr>
        <w:t xml:space="preserve"> for Open Access and Open Data.] </w:t>
      </w:r>
    </w:p>
    <w:p w14:paraId="5F1F841F" w14:textId="77777777" w:rsidR="00EE09F1" w:rsidRDefault="00EE09F1" w:rsidP="00C616A0">
      <w:pPr>
        <w:rPr>
          <w:i/>
          <w:color w:val="0000FF"/>
          <w:szCs w:val="20"/>
        </w:rPr>
      </w:pPr>
    </w:p>
    <w:p w14:paraId="571C7F17" w14:textId="0D0B4F26" w:rsidR="00EE09F1" w:rsidRPr="00EE09F1" w:rsidRDefault="00EE09F1" w:rsidP="00EE09F1">
      <w:pPr>
        <w:rPr>
          <w:i/>
          <w:color w:val="0000FF"/>
          <w:szCs w:val="20"/>
        </w:rPr>
      </w:pPr>
      <w:r w:rsidRPr="00EE09F1">
        <w:rPr>
          <w:i/>
          <w:color w:val="0000FF"/>
          <w:szCs w:val="20"/>
        </w:rPr>
        <w:t xml:space="preserve">[From the CGIAR Open Access and </w:t>
      </w:r>
      <w:r>
        <w:rPr>
          <w:i/>
          <w:color w:val="0000FF"/>
          <w:szCs w:val="20"/>
        </w:rPr>
        <w:t>Data Management</w:t>
      </w:r>
      <w:r w:rsidRPr="00EE09F1">
        <w:rPr>
          <w:i/>
          <w:color w:val="0000FF"/>
          <w:szCs w:val="20"/>
        </w:rPr>
        <w:t xml:space="preserve"> Policy: CGIAR regards the results of its research and development activities as international public goods </w:t>
      </w:r>
      <w:r w:rsidR="00C12B0F" w:rsidRPr="00EE09F1">
        <w:rPr>
          <w:i/>
          <w:color w:val="0000FF"/>
          <w:szCs w:val="20"/>
        </w:rPr>
        <w:t>and is committed to their widespread dissemination and use to achieve the maximum impact to</w:t>
      </w:r>
      <w:r w:rsidRPr="00EE09F1">
        <w:rPr>
          <w:i/>
          <w:color w:val="0000FF"/>
          <w:szCs w:val="20"/>
        </w:rPr>
        <w:t xml:space="preserve"> advantage the poor, especially smallholder farmers in </w:t>
      </w:r>
      <w:r w:rsidR="00C12B0F" w:rsidRPr="00EE09F1">
        <w:rPr>
          <w:i/>
          <w:color w:val="0000FF"/>
          <w:szCs w:val="20"/>
        </w:rPr>
        <w:t>developing countries</w:t>
      </w:r>
      <w:r w:rsidRPr="00EE09F1">
        <w:rPr>
          <w:i/>
          <w:color w:val="0000FF"/>
          <w:szCs w:val="20"/>
        </w:rPr>
        <w:t xml:space="preserve">. CGIAR considers Open Access (defined below) to be an important practical application of this commitment as it enhances the visibility, accessibility and impact of its research and development activities.  Open Access improves </w:t>
      </w:r>
      <w:r w:rsidR="00C12B0F" w:rsidRPr="00EE09F1">
        <w:rPr>
          <w:i/>
          <w:color w:val="0000FF"/>
          <w:szCs w:val="20"/>
        </w:rPr>
        <w:t>the speed, efficiency and efficacy of research; it enables</w:t>
      </w:r>
      <w:r w:rsidRPr="00EE09F1">
        <w:rPr>
          <w:i/>
          <w:color w:val="0000FF"/>
          <w:szCs w:val="20"/>
        </w:rPr>
        <w:t xml:space="preserve"> </w:t>
      </w:r>
      <w:r w:rsidR="00C12B0F" w:rsidRPr="00EE09F1">
        <w:rPr>
          <w:i/>
          <w:color w:val="0000FF"/>
          <w:szCs w:val="20"/>
        </w:rPr>
        <w:t>interdisciplinary research; assists novel</w:t>
      </w:r>
      <w:r w:rsidRPr="00EE09F1">
        <w:rPr>
          <w:i/>
          <w:color w:val="0000FF"/>
          <w:szCs w:val="20"/>
        </w:rPr>
        <w:t xml:space="preserve"> computation </w:t>
      </w:r>
      <w:r w:rsidR="00C12B0F" w:rsidRPr="00EE09F1">
        <w:rPr>
          <w:i/>
          <w:color w:val="0000FF"/>
          <w:szCs w:val="20"/>
        </w:rPr>
        <w:t>of the</w:t>
      </w:r>
      <w:r w:rsidRPr="00EE09F1">
        <w:rPr>
          <w:i/>
          <w:color w:val="0000FF"/>
          <w:szCs w:val="20"/>
        </w:rPr>
        <w:t xml:space="preserve"> research </w:t>
      </w:r>
      <w:r w:rsidR="00C12B0F" w:rsidRPr="00EE09F1">
        <w:rPr>
          <w:i/>
          <w:color w:val="0000FF"/>
          <w:szCs w:val="20"/>
        </w:rPr>
        <w:t>literature; and</w:t>
      </w:r>
      <w:r w:rsidRPr="00EE09F1">
        <w:rPr>
          <w:i/>
          <w:color w:val="0000FF"/>
          <w:szCs w:val="20"/>
        </w:rPr>
        <w:t xml:space="preserve"> allows the global public to benefit </w:t>
      </w:r>
      <w:r w:rsidR="00C12B0F" w:rsidRPr="00EE09F1">
        <w:rPr>
          <w:i/>
          <w:color w:val="0000FF"/>
          <w:szCs w:val="20"/>
        </w:rPr>
        <w:t>from CGIAR</w:t>
      </w:r>
      <w:r w:rsidRPr="00EE09F1">
        <w:rPr>
          <w:i/>
          <w:color w:val="0000FF"/>
          <w:szCs w:val="20"/>
        </w:rPr>
        <w:t xml:space="preserve"> research. Furthermore, CGIAR recognizes the benefits that accrue to individual researchers and to the research </w:t>
      </w:r>
      <w:r w:rsidR="00C12B0F" w:rsidRPr="00EE09F1">
        <w:rPr>
          <w:i/>
          <w:color w:val="0000FF"/>
          <w:szCs w:val="20"/>
        </w:rPr>
        <w:t xml:space="preserve">enterprise </w:t>
      </w:r>
      <w:proofErr w:type="gramStart"/>
      <w:r w:rsidR="00C12B0F" w:rsidRPr="00EE09F1">
        <w:rPr>
          <w:i/>
          <w:color w:val="0000FF"/>
          <w:szCs w:val="20"/>
        </w:rPr>
        <w:t>from</w:t>
      </w:r>
      <w:r w:rsidRPr="00EE09F1">
        <w:rPr>
          <w:i/>
          <w:color w:val="0000FF"/>
          <w:szCs w:val="20"/>
        </w:rPr>
        <w:t xml:space="preserve">  wide</w:t>
      </w:r>
      <w:proofErr w:type="gramEnd"/>
      <w:r w:rsidRPr="00EE09F1">
        <w:rPr>
          <w:i/>
          <w:color w:val="0000FF"/>
          <w:szCs w:val="20"/>
        </w:rPr>
        <w:t xml:space="preserve">  dissemination,  including  greater  recognition,  more  thorough  review, consideration  and  critique,  and  a  general  increase  in  scientific,  scholarly  and  critical  knowledge. CGIAR further recognizes that, in implementing this Policy, it can more easily and collectively build the infrastructure necessary to be at the forefront of the open access and open data for agriculture movement.]</w:t>
      </w:r>
    </w:p>
    <w:p w14:paraId="7B44696C" w14:textId="77777777" w:rsidR="00EE09F1" w:rsidRDefault="00EE09F1" w:rsidP="00C616A0">
      <w:pPr>
        <w:rPr>
          <w:szCs w:val="20"/>
        </w:rPr>
      </w:pPr>
    </w:p>
    <w:p w14:paraId="0A8D4CCC" w14:textId="77777777" w:rsidR="00EE09F1" w:rsidRPr="00EE09F1" w:rsidRDefault="00EE09F1" w:rsidP="00C616A0">
      <w:pPr>
        <w:rPr>
          <w:i/>
          <w:szCs w:val="20"/>
        </w:rPr>
      </w:pPr>
      <w:r w:rsidRPr="00EE09F1">
        <w:rPr>
          <w:i/>
          <w:color w:val="0000FF"/>
          <w:szCs w:val="20"/>
        </w:rPr>
        <w:t>[If the goal is to increase uptake and usage of CGIAR research and development activities, objectives for OA/OD should be more concrete. For instance, to have 75% of research produced in 2014 fully openly-accessible via the Center’s repository by 1 July 2015.]</w:t>
      </w:r>
    </w:p>
    <w:p w14:paraId="69C7EBA0" w14:textId="77777777" w:rsidR="00EE09F1" w:rsidRDefault="00EE09F1" w:rsidP="00C616A0">
      <w:pPr>
        <w:rPr>
          <w:szCs w:val="20"/>
        </w:rPr>
      </w:pPr>
    </w:p>
    <w:p w14:paraId="35A737D6" w14:textId="77777777" w:rsidR="00CC3DA6" w:rsidRPr="00EE09F1" w:rsidRDefault="0006104A" w:rsidP="00EE09F1">
      <w:pPr>
        <w:pStyle w:val="Heading2"/>
      </w:pPr>
      <w:bookmarkStart w:id="12" w:name="_Toc416727080"/>
      <w:r>
        <w:t>2.3: Timelines and Key Milestones</w:t>
      </w:r>
      <w:bookmarkEnd w:id="12"/>
    </w:p>
    <w:p w14:paraId="6B15D6FE" w14:textId="77777777" w:rsidR="00EE09F1" w:rsidRDefault="00EE09F1" w:rsidP="00C616A0">
      <w:pPr>
        <w:rPr>
          <w:szCs w:val="20"/>
        </w:rPr>
      </w:pPr>
    </w:p>
    <w:p w14:paraId="3FE5CEB3" w14:textId="77777777" w:rsidR="00117232" w:rsidRPr="00117232" w:rsidRDefault="00EE09F1" w:rsidP="00C616A0">
      <w:pPr>
        <w:rPr>
          <w:i/>
          <w:szCs w:val="20"/>
        </w:rPr>
      </w:pPr>
      <w:r w:rsidRPr="00117232">
        <w:rPr>
          <w:i/>
          <w:color w:val="0000FF"/>
          <w:szCs w:val="20"/>
        </w:rPr>
        <w:t>[This subsection should outline activities and milestones in detail for 2015 and at a high level for 2016-2018.</w:t>
      </w:r>
      <w:r w:rsidR="00117232" w:rsidRPr="00117232">
        <w:rPr>
          <w:i/>
          <w:color w:val="0000FF"/>
          <w:szCs w:val="20"/>
        </w:rPr>
        <w:t xml:space="preserve"> If a Center/CRP is pursuing a phased approach to implementation, it should be noted and explained in this subsection.</w:t>
      </w:r>
      <w:r w:rsidRPr="00117232">
        <w:rPr>
          <w:i/>
          <w:color w:val="0000FF"/>
          <w:szCs w:val="20"/>
        </w:rPr>
        <w:t>]</w:t>
      </w:r>
    </w:p>
    <w:p w14:paraId="6E378FC0" w14:textId="77777777" w:rsidR="00117232" w:rsidRDefault="00117232" w:rsidP="00C616A0">
      <w:pPr>
        <w:rPr>
          <w:i/>
          <w:color w:val="0000FF"/>
          <w:szCs w:val="20"/>
        </w:rPr>
      </w:pPr>
    </w:p>
    <w:p w14:paraId="6492BA13" w14:textId="77777777" w:rsidR="0006104A" w:rsidRDefault="0006104A" w:rsidP="00EE09F1">
      <w:pPr>
        <w:pStyle w:val="Heading2"/>
      </w:pPr>
      <w:bookmarkStart w:id="13" w:name="_Toc416727081"/>
      <w:r>
        <w:t xml:space="preserve">2.4: Anticipated </w:t>
      </w:r>
      <w:r w:rsidR="00ED3661">
        <w:t xml:space="preserve">Needs and </w:t>
      </w:r>
      <w:r>
        <w:t>Challenges</w:t>
      </w:r>
      <w:bookmarkEnd w:id="13"/>
    </w:p>
    <w:p w14:paraId="6BF95885" w14:textId="77777777" w:rsidR="0006104A" w:rsidRDefault="0006104A" w:rsidP="00C616A0">
      <w:pPr>
        <w:rPr>
          <w:szCs w:val="20"/>
        </w:rPr>
      </w:pPr>
    </w:p>
    <w:p w14:paraId="57C5DC8D" w14:textId="77777777" w:rsidR="00C616A0" w:rsidRDefault="00EE09F1" w:rsidP="00EE09F1">
      <w:pPr>
        <w:rPr>
          <w:i/>
          <w:color w:val="0000FF"/>
          <w:szCs w:val="20"/>
        </w:rPr>
      </w:pPr>
      <w:r w:rsidRPr="00152AE3">
        <w:rPr>
          <w:i/>
          <w:color w:val="0000FF"/>
          <w:szCs w:val="20"/>
        </w:rPr>
        <w:t>[</w:t>
      </w:r>
      <w:r w:rsidR="00152AE3" w:rsidRPr="00152AE3">
        <w:rPr>
          <w:i/>
          <w:color w:val="0000FF"/>
          <w:szCs w:val="20"/>
        </w:rPr>
        <w:t>This subsection should identify any significant anticipated challenges for implementi</w:t>
      </w:r>
      <w:r w:rsidR="003B38F2">
        <w:rPr>
          <w:i/>
          <w:color w:val="0000FF"/>
          <w:szCs w:val="20"/>
        </w:rPr>
        <w:t xml:space="preserve">ng OA/OD within the Center/CRP. Some items to consider: </w:t>
      </w:r>
    </w:p>
    <w:p w14:paraId="5CAAFF56" w14:textId="77777777" w:rsidR="003B38F2" w:rsidRDefault="003B38F2" w:rsidP="00EE09F1">
      <w:pPr>
        <w:rPr>
          <w:i/>
          <w:color w:val="0000FF"/>
          <w:szCs w:val="20"/>
        </w:rPr>
      </w:pPr>
    </w:p>
    <w:p w14:paraId="27127896" w14:textId="77777777" w:rsidR="003B38F2" w:rsidRPr="00C10885" w:rsidRDefault="003B38F2" w:rsidP="003B38F2">
      <w:pPr>
        <w:pStyle w:val="ListParagraph"/>
        <w:numPr>
          <w:ilvl w:val="0"/>
          <w:numId w:val="8"/>
        </w:numPr>
        <w:rPr>
          <w:i/>
          <w:color w:val="0000FF"/>
          <w:szCs w:val="20"/>
        </w:rPr>
      </w:pPr>
      <w:r w:rsidRPr="00C10885">
        <w:rPr>
          <w:i/>
          <w:color w:val="0000FF"/>
          <w:szCs w:val="20"/>
        </w:rPr>
        <w:t>Schedule</w:t>
      </w:r>
    </w:p>
    <w:p w14:paraId="0AA8CD04" w14:textId="77777777" w:rsidR="003B38F2" w:rsidRPr="00C10885" w:rsidRDefault="003B38F2" w:rsidP="003B38F2">
      <w:pPr>
        <w:pStyle w:val="ListParagraph"/>
        <w:numPr>
          <w:ilvl w:val="0"/>
          <w:numId w:val="8"/>
        </w:numPr>
        <w:rPr>
          <w:i/>
          <w:color w:val="0000FF"/>
          <w:szCs w:val="20"/>
        </w:rPr>
      </w:pPr>
      <w:r w:rsidRPr="00C10885">
        <w:rPr>
          <w:i/>
          <w:color w:val="0000FF"/>
          <w:szCs w:val="20"/>
        </w:rPr>
        <w:t>Budget</w:t>
      </w:r>
    </w:p>
    <w:p w14:paraId="08CDC09D" w14:textId="77777777" w:rsidR="003B38F2" w:rsidRPr="00C10885" w:rsidRDefault="003B38F2" w:rsidP="003B38F2">
      <w:pPr>
        <w:pStyle w:val="ListParagraph"/>
        <w:numPr>
          <w:ilvl w:val="0"/>
          <w:numId w:val="8"/>
        </w:numPr>
        <w:rPr>
          <w:i/>
          <w:color w:val="0000FF"/>
          <w:szCs w:val="20"/>
        </w:rPr>
      </w:pPr>
      <w:r w:rsidRPr="00C10885">
        <w:rPr>
          <w:i/>
          <w:color w:val="0000FF"/>
          <w:szCs w:val="20"/>
        </w:rPr>
        <w:t>Resource availability and skill sets</w:t>
      </w:r>
    </w:p>
    <w:p w14:paraId="5862F650" w14:textId="77777777" w:rsidR="003B38F2" w:rsidRDefault="00C10885" w:rsidP="003B38F2">
      <w:pPr>
        <w:pStyle w:val="ListParagraph"/>
        <w:numPr>
          <w:ilvl w:val="0"/>
          <w:numId w:val="8"/>
        </w:numPr>
        <w:rPr>
          <w:i/>
          <w:color w:val="0000FF"/>
          <w:szCs w:val="20"/>
        </w:rPr>
      </w:pPr>
      <w:r w:rsidRPr="00C10885">
        <w:rPr>
          <w:i/>
          <w:color w:val="0000FF"/>
          <w:szCs w:val="20"/>
        </w:rPr>
        <w:t xml:space="preserve">Technology to be acquired, updated, maintained, installed, etc. </w:t>
      </w:r>
    </w:p>
    <w:p w14:paraId="67904C80" w14:textId="77777777" w:rsidR="00C10885" w:rsidRDefault="00C10885" w:rsidP="003B38F2">
      <w:pPr>
        <w:pStyle w:val="ListParagraph"/>
        <w:numPr>
          <w:ilvl w:val="0"/>
          <w:numId w:val="8"/>
        </w:numPr>
        <w:rPr>
          <w:i/>
          <w:color w:val="0000FF"/>
          <w:szCs w:val="20"/>
        </w:rPr>
      </w:pPr>
      <w:r>
        <w:rPr>
          <w:i/>
          <w:color w:val="0000FF"/>
          <w:szCs w:val="20"/>
        </w:rPr>
        <w:t>Researchers’ awareness, compliance, challenges</w:t>
      </w:r>
    </w:p>
    <w:p w14:paraId="25D3CADB" w14:textId="77777777" w:rsidR="00C10885" w:rsidRDefault="00C10885" w:rsidP="003B38F2">
      <w:pPr>
        <w:pStyle w:val="ListParagraph"/>
        <w:numPr>
          <w:ilvl w:val="0"/>
          <w:numId w:val="8"/>
        </w:numPr>
        <w:rPr>
          <w:i/>
          <w:color w:val="0000FF"/>
          <w:szCs w:val="20"/>
        </w:rPr>
      </w:pPr>
      <w:r>
        <w:rPr>
          <w:i/>
          <w:color w:val="0000FF"/>
          <w:szCs w:val="20"/>
        </w:rPr>
        <w:t>Administering article processing charges (APCs) at scale</w:t>
      </w:r>
    </w:p>
    <w:p w14:paraId="4919ECCE" w14:textId="77777777" w:rsidR="00C10885" w:rsidRDefault="00C10885" w:rsidP="003B38F2">
      <w:pPr>
        <w:pStyle w:val="ListParagraph"/>
        <w:numPr>
          <w:ilvl w:val="0"/>
          <w:numId w:val="8"/>
        </w:numPr>
        <w:rPr>
          <w:i/>
          <w:color w:val="0000FF"/>
          <w:szCs w:val="20"/>
        </w:rPr>
      </w:pPr>
      <w:r>
        <w:rPr>
          <w:i/>
          <w:color w:val="0000FF"/>
          <w:szCs w:val="20"/>
        </w:rPr>
        <w:t>Supporting researchers’ questions and concerns around OA publishing and deposits</w:t>
      </w:r>
    </w:p>
    <w:p w14:paraId="029E6BFD" w14:textId="77777777" w:rsidR="00C10885" w:rsidRPr="00C10885" w:rsidRDefault="00C10885" w:rsidP="003B38F2">
      <w:pPr>
        <w:pStyle w:val="ListParagraph"/>
        <w:numPr>
          <w:ilvl w:val="0"/>
          <w:numId w:val="8"/>
        </w:numPr>
        <w:rPr>
          <w:i/>
          <w:color w:val="0000FF"/>
          <w:szCs w:val="20"/>
        </w:rPr>
      </w:pPr>
      <w:r>
        <w:rPr>
          <w:i/>
          <w:color w:val="0000FF"/>
          <w:szCs w:val="20"/>
        </w:rPr>
        <w:t>Supporting researchers’ questions and concerns around data management and data quality]</w:t>
      </w:r>
    </w:p>
    <w:p w14:paraId="12A17186" w14:textId="77777777" w:rsidR="003D513E" w:rsidRDefault="003D513E"/>
    <w:p w14:paraId="568CE664" w14:textId="77777777" w:rsidR="003D513E" w:rsidRDefault="003D513E" w:rsidP="003D513E">
      <w:pPr>
        <w:pStyle w:val="Heading2"/>
      </w:pPr>
      <w:bookmarkStart w:id="14" w:name="_Toc416727082"/>
      <w:r>
        <w:t>2.5: Lead Centers, Participating Centers and Partners</w:t>
      </w:r>
      <w:bookmarkEnd w:id="14"/>
    </w:p>
    <w:p w14:paraId="766F6A75" w14:textId="77777777" w:rsidR="003D513E" w:rsidRDefault="003D513E"/>
    <w:p w14:paraId="2B540C6E" w14:textId="0276A4DE" w:rsidR="003D513E" w:rsidRPr="003D513E" w:rsidRDefault="003D513E">
      <w:pPr>
        <w:rPr>
          <w:i/>
        </w:rPr>
      </w:pPr>
      <w:r>
        <w:rPr>
          <w:i/>
          <w:color w:val="0000FF"/>
        </w:rPr>
        <w:t>[</w:t>
      </w:r>
      <w:r w:rsidRPr="003D513E">
        <w:rPr>
          <w:i/>
          <w:color w:val="0000FF"/>
        </w:rPr>
        <w:t xml:space="preserve">Use this subsection to indicate the relationship between the Center and CRPs – for example, which CRPs this Center is serving as the </w:t>
      </w:r>
      <w:r>
        <w:rPr>
          <w:i/>
          <w:color w:val="0000FF"/>
        </w:rPr>
        <w:t>l</w:t>
      </w:r>
      <w:r w:rsidRPr="003D513E">
        <w:rPr>
          <w:i/>
          <w:color w:val="0000FF"/>
        </w:rPr>
        <w:t>ead Center and which CR</w:t>
      </w:r>
      <w:r>
        <w:rPr>
          <w:i/>
          <w:color w:val="0000FF"/>
        </w:rPr>
        <w:t>Ps this Center is serving as a p</w:t>
      </w:r>
      <w:r w:rsidRPr="003D513E">
        <w:rPr>
          <w:i/>
          <w:color w:val="0000FF"/>
        </w:rPr>
        <w:t>articipating Center.</w:t>
      </w:r>
      <w:r w:rsidR="00246A7A">
        <w:rPr>
          <w:i/>
          <w:color w:val="0000FF"/>
        </w:rPr>
        <w:t xml:space="preserve"> The assumption is that a Center’s Implementation Plan will be applicable to the CRPs it leads.</w:t>
      </w:r>
      <w:r>
        <w:rPr>
          <w:i/>
          <w:color w:val="0000FF"/>
        </w:rPr>
        <w:t>]</w:t>
      </w:r>
    </w:p>
    <w:p w14:paraId="526DB09A" w14:textId="77777777" w:rsidR="003D513E" w:rsidRDefault="003D513E"/>
    <w:p w14:paraId="551CD936" w14:textId="0EEE1440" w:rsidR="00C10885" w:rsidRDefault="003D513E">
      <w:r>
        <w:t>Information products produced by lead Centers and participating Centers (including partners) in CRPs are subject to the Open Access and Data Management Policy. Agreements put in place after 2 October 2013 should be carefully negotiated to ensure that any restrictions on sharing data under a research and/or development project are limited in duration, territory and/or field of use, if applicable, and fully justifiable by reference to the CGIAR IA Principles (i.e.</w:t>
      </w:r>
      <w:proofErr w:type="gramStart"/>
      <w:r>
        <w:t xml:space="preserve">, in </w:t>
      </w:r>
      <w:r w:rsidR="00C12B0F">
        <w:t>particula</w:t>
      </w:r>
      <w:r>
        <w:t>r</w:t>
      </w:r>
      <w:r w:rsidR="00C12B0F">
        <w:t>,</w:t>
      </w:r>
      <w:r>
        <w:t xml:space="preserve"> articles</w:t>
      </w:r>
      <w:proofErr w:type="gramEnd"/>
      <w:r>
        <w:t xml:space="preserve"> 6.2, 6.3, and 6.4)</w:t>
      </w:r>
      <w:r>
        <w:rPr>
          <w:rStyle w:val="FootnoteReference"/>
        </w:rPr>
        <w:footnoteReference w:id="2"/>
      </w:r>
      <w:r>
        <w:t xml:space="preserve"> and the CGIAR Open Access and Data Management Guidelines. </w:t>
      </w:r>
    </w:p>
    <w:p w14:paraId="4EC5E194" w14:textId="77777777" w:rsidR="003D513E" w:rsidRPr="003D513E" w:rsidRDefault="003D513E"/>
    <w:p w14:paraId="186BD95D" w14:textId="77777777" w:rsidR="003D513E" w:rsidRDefault="003D513E" w:rsidP="00524C73"/>
    <w:p w14:paraId="7C7E7C27" w14:textId="77777777" w:rsidR="00524C73" w:rsidRDefault="00524C73" w:rsidP="00524C73">
      <w:r>
        <w:rPr>
          <w:noProof/>
          <w:szCs w:val="20"/>
        </w:rPr>
        <mc:AlternateContent>
          <mc:Choice Requires="wps">
            <w:drawing>
              <wp:anchor distT="0" distB="0" distL="114300" distR="114300" simplePos="0" relativeHeight="251669504" behindDoc="0" locked="0" layoutInCell="1" allowOverlap="1" wp14:anchorId="6F4165BA" wp14:editId="3AE876B3">
                <wp:simplePos x="0" y="0"/>
                <wp:positionH relativeFrom="column">
                  <wp:posOffset>0</wp:posOffset>
                </wp:positionH>
                <wp:positionV relativeFrom="paragraph">
                  <wp:posOffset>19050</wp:posOffset>
                </wp:positionV>
                <wp:extent cx="5705856" cy="7315"/>
                <wp:effectExtent l="19050" t="19050" r="28575" b="31115"/>
                <wp:wrapNone/>
                <wp:docPr id="7" name="Straight Connector 7"/>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9D84F"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5pt" to="449.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" strokecolor="black [3213]" strokeweight="3pt">
                <v:stroke joinstyle="miter"/>
              </v:line>
            </w:pict>
          </mc:Fallback>
        </mc:AlternateContent>
      </w:r>
    </w:p>
    <w:p w14:paraId="1B6DED4A" w14:textId="77777777" w:rsidR="00C616A0" w:rsidRPr="00A34113" w:rsidRDefault="00C616A0" w:rsidP="00AC6A9B">
      <w:pPr>
        <w:pStyle w:val="Heading1"/>
      </w:pPr>
      <w:bookmarkStart w:id="15" w:name="_Toc416727083"/>
      <w:r w:rsidRPr="00A34113">
        <w:t>Section 3: Technical Infrastructure</w:t>
      </w:r>
      <w:bookmarkEnd w:id="15"/>
    </w:p>
    <w:p w14:paraId="6334F2F1" w14:textId="77777777" w:rsidR="00451CA2" w:rsidRDefault="00451CA2" w:rsidP="00C616A0">
      <w:pPr>
        <w:rPr>
          <w:i/>
          <w:color w:val="0000FF"/>
          <w:szCs w:val="20"/>
        </w:rPr>
      </w:pPr>
    </w:p>
    <w:p w14:paraId="0158F733" w14:textId="77777777" w:rsidR="004463B6" w:rsidRPr="004463B6" w:rsidRDefault="004463B6" w:rsidP="00C616A0">
      <w:pPr>
        <w:rPr>
          <w:i/>
          <w:szCs w:val="20"/>
        </w:rPr>
      </w:pPr>
      <w:r w:rsidRPr="004463B6">
        <w:rPr>
          <w:i/>
          <w:color w:val="0000FF"/>
          <w:szCs w:val="20"/>
        </w:rPr>
        <w:t xml:space="preserve">[Many Centers/CRPs use separate repositories for data and publications. In these cases, it might be preferable to split this section into two – one </w:t>
      </w:r>
      <w:r w:rsidR="00480C6F">
        <w:rPr>
          <w:i/>
          <w:color w:val="0000FF"/>
          <w:szCs w:val="20"/>
        </w:rPr>
        <w:t xml:space="preserve">section </w:t>
      </w:r>
      <w:r w:rsidRPr="004463B6">
        <w:rPr>
          <w:i/>
          <w:color w:val="0000FF"/>
          <w:szCs w:val="20"/>
        </w:rPr>
        <w:t>for</w:t>
      </w:r>
      <w:r w:rsidR="00480C6F">
        <w:rPr>
          <w:i/>
          <w:color w:val="0000FF"/>
          <w:szCs w:val="20"/>
        </w:rPr>
        <w:t xml:space="preserve"> the</w:t>
      </w:r>
      <w:r w:rsidRPr="004463B6">
        <w:rPr>
          <w:i/>
          <w:color w:val="0000FF"/>
          <w:szCs w:val="20"/>
        </w:rPr>
        <w:t xml:space="preserve"> Technical Infrastructure for Open Access Publication Repositories and a </w:t>
      </w:r>
      <w:r w:rsidR="00480C6F">
        <w:rPr>
          <w:i/>
          <w:color w:val="0000FF"/>
          <w:szCs w:val="20"/>
        </w:rPr>
        <w:t>second section, including the same elements,</w:t>
      </w:r>
      <w:r w:rsidRPr="004463B6">
        <w:rPr>
          <w:i/>
          <w:color w:val="0000FF"/>
          <w:szCs w:val="20"/>
        </w:rPr>
        <w:t xml:space="preserve"> for Technical Infrastructure for Open Data.]</w:t>
      </w:r>
    </w:p>
    <w:p w14:paraId="4D10055E" w14:textId="77777777" w:rsidR="004463B6" w:rsidRDefault="004463B6" w:rsidP="00C616A0">
      <w:pPr>
        <w:rPr>
          <w:szCs w:val="20"/>
        </w:rPr>
      </w:pPr>
    </w:p>
    <w:p w14:paraId="7AAAB692" w14:textId="77777777" w:rsidR="00C616A0" w:rsidRDefault="00152AE3" w:rsidP="00152AE3">
      <w:pPr>
        <w:pStyle w:val="Heading2"/>
      </w:pPr>
      <w:bookmarkStart w:id="16" w:name="_Toc416727084"/>
      <w:r>
        <w:t>3.1: Repository Systems</w:t>
      </w:r>
      <w:bookmarkEnd w:id="16"/>
    </w:p>
    <w:p w14:paraId="022AF907" w14:textId="77777777" w:rsidR="00152AE3" w:rsidRDefault="00152AE3" w:rsidP="00C616A0">
      <w:pPr>
        <w:rPr>
          <w:szCs w:val="20"/>
        </w:rPr>
      </w:pPr>
    </w:p>
    <w:p w14:paraId="45A029EE" w14:textId="77777777" w:rsidR="00687254" w:rsidRDefault="004463B6" w:rsidP="00C616A0">
      <w:pPr>
        <w:rPr>
          <w:i/>
          <w:color w:val="0000FF"/>
          <w:szCs w:val="20"/>
        </w:rPr>
      </w:pPr>
      <w:r w:rsidRPr="004463B6">
        <w:rPr>
          <w:i/>
          <w:color w:val="0000FF"/>
          <w:szCs w:val="20"/>
        </w:rPr>
        <w:t>[Repository systems should meet current industry standards for interoperability and metadata. Plans should address which repositories are in use for each type of information product and associated URL(s).</w:t>
      </w:r>
      <w:r w:rsidR="00687254">
        <w:rPr>
          <w:i/>
          <w:color w:val="0000FF"/>
          <w:szCs w:val="20"/>
        </w:rPr>
        <w:t>]</w:t>
      </w:r>
    </w:p>
    <w:p w14:paraId="2C7565A2" w14:textId="77777777" w:rsidR="00687254" w:rsidRDefault="00687254" w:rsidP="00C616A0">
      <w:pPr>
        <w:rPr>
          <w:i/>
          <w:color w:val="0000FF"/>
          <w:szCs w:val="20"/>
        </w:rPr>
      </w:pPr>
    </w:p>
    <w:p w14:paraId="2EC8BDFC" w14:textId="77777777" w:rsidR="00DF77FA" w:rsidRDefault="00DF77FA" w:rsidP="00C616A0">
      <w:pPr>
        <w:rPr>
          <w:i/>
          <w:color w:val="0000FF"/>
          <w:szCs w:val="20"/>
        </w:rPr>
      </w:pPr>
      <w:r>
        <w:rPr>
          <w:i/>
          <w:color w:val="0000FF"/>
          <w:szCs w:val="20"/>
        </w:rPr>
        <w:t xml:space="preserve">[For Publication and General-Purpose Repositories: </w:t>
      </w:r>
      <w:proofErr w:type="spellStart"/>
      <w:r>
        <w:rPr>
          <w:i/>
          <w:color w:val="0000FF"/>
          <w:szCs w:val="20"/>
        </w:rPr>
        <w:t>DSpace</w:t>
      </w:r>
      <w:proofErr w:type="spellEnd"/>
      <w:r>
        <w:rPr>
          <w:i/>
          <w:color w:val="0000FF"/>
          <w:szCs w:val="20"/>
        </w:rPr>
        <w:t xml:space="preserve">, </w:t>
      </w:r>
      <w:proofErr w:type="spellStart"/>
      <w:r>
        <w:rPr>
          <w:i/>
          <w:color w:val="0000FF"/>
          <w:szCs w:val="20"/>
        </w:rPr>
        <w:t>EPrints</w:t>
      </w:r>
      <w:proofErr w:type="spellEnd"/>
      <w:r>
        <w:rPr>
          <w:i/>
          <w:color w:val="0000FF"/>
          <w:szCs w:val="20"/>
        </w:rPr>
        <w:t xml:space="preserve">, </w:t>
      </w:r>
      <w:proofErr w:type="spellStart"/>
      <w:r>
        <w:rPr>
          <w:i/>
          <w:color w:val="0000FF"/>
          <w:szCs w:val="20"/>
        </w:rPr>
        <w:t>Invenio</w:t>
      </w:r>
      <w:proofErr w:type="spellEnd"/>
      <w:r>
        <w:rPr>
          <w:i/>
          <w:color w:val="0000FF"/>
          <w:szCs w:val="20"/>
        </w:rPr>
        <w:t xml:space="preserve">, and </w:t>
      </w:r>
      <w:proofErr w:type="spellStart"/>
      <w:r>
        <w:rPr>
          <w:i/>
          <w:color w:val="0000FF"/>
          <w:szCs w:val="20"/>
        </w:rPr>
        <w:t>ContentDM</w:t>
      </w:r>
      <w:proofErr w:type="spellEnd"/>
      <w:r>
        <w:rPr>
          <w:i/>
          <w:color w:val="0000FF"/>
          <w:szCs w:val="20"/>
        </w:rPr>
        <w:t xml:space="preserve"> are all acceptable repositories and meet the required standards for interoperability and metadata.]</w:t>
      </w:r>
    </w:p>
    <w:p w14:paraId="662D46FC" w14:textId="77777777" w:rsidR="00DF77FA" w:rsidRDefault="00DF77FA" w:rsidP="00C616A0">
      <w:pPr>
        <w:rPr>
          <w:i/>
          <w:color w:val="0000FF"/>
          <w:szCs w:val="20"/>
        </w:rPr>
      </w:pPr>
    </w:p>
    <w:p w14:paraId="72091499" w14:textId="77777777" w:rsidR="00687254" w:rsidRDefault="00DF77FA" w:rsidP="00C616A0">
      <w:pPr>
        <w:rPr>
          <w:i/>
          <w:color w:val="0000FF"/>
          <w:szCs w:val="20"/>
        </w:rPr>
      </w:pPr>
      <w:r>
        <w:rPr>
          <w:i/>
          <w:color w:val="0000FF"/>
          <w:szCs w:val="20"/>
        </w:rPr>
        <w:t xml:space="preserve">[For Data Repositories: </w:t>
      </w:r>
      <w:r w:rsidR="00451CA2">
        <w:rPr>
          <w:i/>
          <w:color w:val="0000FF"/>
          <w:szCs w:val="20"/>
        </w:rPr>
        <w:t>Dataverse meets the required standards for interoperability and is currently in use by many CGIAR Centers to collect and disseminate datasets. During 2015, the DMTF is expected to issue recommendations for other types of data and GIS repositories.]</w:t>
      </w:r>
    </w:p>
    <w:p w14:paraId="616836BA" w14:textId="77777777" w:rsidR="00687254" w:rsidRDefault="00687254" w:rsidP="00C616A0">
      <w:pPr>
        <w:rPr>
          <w:i/>
          <w:color w:val="0000FF"/>
          <w:szCs w:val="20"/>
        </w:rPr>
      </w:pPr>
    </w:p>
    <w:p w14:paraId="7608753A" w14:textId="77777777" w:rsidR="00687254" w:rsidRPr="00687254" w:rsidRDefault="00687254" w:rsidP="00C616A0">
      <w:pPr>
        <w:rPr>
          <w:i/>
          <w:color w:val="0000FF"/>
          <w:szCs w:val="20"/>
        </w:rPr>
      </w:pPr>
      <w:r>
        <w:rPr>
          <w:i/>
          <w:color w:val="0000FF"/>
          <w:szCs w:val="20"/>
        </w:rPr>
        <w:t>[If a Center/CRP is using a system other than the ones listed above, it must be able to allow for the transfer of metadata via a protocol such as OAI-PMH or OData, and the digital objects must be openly accessible per the guidelines set forth in the CGIAR Open Access and Data Management Policy. Specifically, the digital objects themselves (</w:t>
      </w:r>
      <w:proofErr w:type="spellStart"/>
      <w:r>
        <w:rPr>
          <w:i/>
          <w:color w:val="0000FF"/>
          <w:szCs w:val="20"/>
        </w:rPr>
        <w:t>postprints</w:t>
      </w:r>
      <w:proofErr w:type="spellEnd"/>
      <w:r>
        <w:rPr>
          <w:i/>
          <w:color w:val="0000FF"/>
          <w:szCs w:val="20"/>
        </w:rPr>
        <w:t xml:space="preserve"> or publishers’ versions of articles, complete data sets) must be freely and directly accessible to the public.]</w:t>
      </w:r>
    </w:p>
    <w:p w14:paraId="3D863558" w14:textId="77777777" w:rsidR="00687254" w:rsidRDefault="00687254" w:rsidP="00C616A0">
      <w:pPr>
        <w:rPr>
          <w:szCs w:val="20"/>
        </w:rPr>
      </w:pPr>
    </w:p>
    <w:p w14:paraId="60B953CC" w14:textId="77777777" w:rsidR="00152AE3" w:rsidRDefault="00152AE3" w:rsidP="00152AE3">
      <w:pPr>
        <w:pStyle w:val="Heading2"/>
      </w:pPr>
      <w:bookmarkStart w:id="17" w:name="_Toc416727085"/>
      <w:r>
        <w:t>3.2: Interoperability</w:t>
      </w:r>
      <w:bookmarkEnd w:id="17"/>
    </w:p>
    <w:p w14:paraId="40D0A95A" w14:textId="77777777" w:rsidR="00152AE3" w:rsidRDefault="00152AE3" w:rsidP="00C616A0">
      <w:pPr>
        <w:rPr>
          <w:szCs w:val="20"/>
        </w:rPr>
      </w:pPr>
    </w:p>
    <w:p w14:paraId="64A001F9" w14:textId="1C9F8888" w:rsidR="004463B6" w:rsidRPr="00246A7A" w:rsidRDefault="004463B6" w:rsidP="00C616A0">
      <w:pPr>
        <w:rPr>
          <w:i/>
          <w:color w:val="0000FF"/>
          <w:szCs w:val="20"/>
        </w:rPr>
      </w:pPr>
      <w:r w:rsidRPr="004463B6">
        <w:rPr>
          <w:i/>
          <w:color w:val="0000FF"/>
          <w:szCs w:val="20"/>
        </w:rPr>
        <w:t>[This subsection should identify which interoperability protocols, standards, APIs, web-based aggregation, and harvesting systems, services, and tools are in use.</w:t>
      </w:r>
      <w:r w:rsidR="00687254">
        <w:rPr>
          <w:rStyle w:val="FootnoteReference"/>
          <w:i/>
          <w:color w:val="0000FF"/>
          <w:szCs w:val="20"/>
        </w:rPr>
        <w:footnoteReference w:id="3"/>
      </w:r>
      <w:r w:rsidRPr="004463B6">
        <w:rPr>
          <w:i/>
          <w:color w:val="0000FF"/>
          <w:szCs w:val="20"/>
        </w:rPr>
        <w:t xml:space="preserve"> In addition, please address any current or planned ways in which digital objects and/or metadata will be transferred or interpreted between systems (internally or externally), and any new or emerging tools, protocols, or frameworks being tested or considered for adoption.]</w:t>
      </w:r>
    </w:p>
    <w:p w14:paraId="69789EF9" w14:textId="77777777" w:rsidR="00451CA2" w:rsidRDefault="00DF77FA" w:rsidP="00C616A0">
      <w:pPr>
        <w:rPr>
          <w:i/>
          <w:color w:val="0000FF"/>
          <w:szCs w:val="20"/>
        </w:rPr>
      </w:pPr>
      <w:r w:rsidRPr="00DF77FA">
        <w:rPr>
          <w:i/>
          <w:color w:val="0000FF"/>
          <w:szCs w:val="20"/>
        </w:rPr>
        <w:t xml:space="preserve">[At a minimum, all repositories </w:t>
      </w:r>
      <w:r w:rsidR="00451CA2">
        <w:rPr>
          <w:i/>
          <w:color w:val="0000FF"/>
          <w:szCs w:val="20"/>
        </w:rPr>
        <w:t xml:space="preserve">address: </w:t>
      </w:r>
    </w:p>
    <w:p w14:paraId="5377976A" w14:textId="77777777" w:rsidR="00451CA2" w:rsidRDefault="00451CA2" w:rsidP="00C616A0">
      <w:pPr>
        <w:rPr>
          <w:i/>
          <w:color w:val="0000FF"/>
          <w:szCs w:val="20"/>
        </w:rPr>
      </w:pPr>
    </w:p>
    <w:p w14:paraId="2DF898FF" w14:textId="77777777" w:rsidR="00451CA2" w:rsidRDefault="00451CA2" w:rsidP="00451CA2">
      <w:pPr>
        <w:pStyle w:val="ListParagraph"/>
        <w:numPr>
          <w:ilvl w:val="0"/>
          <w:numId w:val="13"/>
        </w:numPr>
        <w:rPr>
          <w:i/>
          <w:color w:val="0000FF"/>
          <w:szCs w:val="20"/>
        </w:rPr>
      </w:pPr>
      <w:r>
        <w:rPr>
          <w:i/>
          <w:color w:val="0000FF"/>
          <w:szCs w:val="20"/>
        </w:rPr>
        <w:t>Which mechanisms are in place to enable cross-system transfer of content or metadata and how these mechanisms are being used</w:t>
      </w:r>
      <w:r w:rsidR="00687254">
        <w:rPr>
          <w:i/>
          <w:color w:val="0000FF"/>
          <w:szCs w:val="20"/>
        </w:rPr>
        <w:t xml:space="preserve"> – for instance, if SWORD or Dataverse APIs are in use;</w:t>
      </w:r>
    </w:p>
    <w:p w14:paraId="35124029" w14:textId="77777777" w:rsidR="00451CA2" w:rsidRDefault="00451CA2" w:rsidP="00451CA2">
      <w:pPr>
        <w:pStyle w:val="ListParagraph"/>
        <w:numPr>
          <w:ilvl w:val="0"/>
          <w:numId w:val="13"/>
        </w:numPr>
        <w:rPr>
          <w:i/>
          <w:color w:val="0000FF"/>
          <w:szCs w:val="20"/>
        </w:rPr>
      </w:pPr>
      <w:r>
        <w:rPr>
          <w:i/>
          <w:color w:val="0000FF"/>
          <w:szCs w:val="20"/>
        </w:rPr>
        <w:t>How content is transferred between systems (internally or externally);</w:t>
      </w:r>
    </w:p>
    <w:p w14:paraId="1834305A" w14:textId="77777777" w:rsidR="00687254" w:rsidRDefault="00687254" w:rsidP="00451CA2">
      <w:pPr>
        <w:pStyle w:val="ListParagraph"/>
        <w:numPr>
          <w:ilvl w:val="0"/>
          <w:numId w:val="13"/>
        </w:numPr>
        <w:rPr>
          <w:i/>
          <w:color w:val="0000FF"/>
          <w:szCs w:val="20"/>
        </w:rPr>
      </w:pPr>
      <w:r>
        <w:rPr>
          <w:i/>
          <w:color w:val="0000FF"/>
          <w:szCs w:val="20"/>
        </w:rPr>
        <w:t>How metadata is transferred between systems (internally or externally);</w:t>
      </w:r>
    </w:p>
    <w:p w14:paraId="252F9CCD" w14:textId="77777777" w:rsidR="00451CA2" w:rsidRDefault="00451CA2" w:rsidP="00451CA2">
      <w:pPr>
        <w:pStyle w:val="ListParagraph"/>
        <w:numPr>
          <w:ilvl w:val="0"/>
          <w:numId w:val="13"/>
        </w:numPr>
        <w:rPr>
          <w:i/>
          <w:color w:val="0000FF"/>
          <w:szCs w:val="20"/>
        </w:rPr>
      </w:pPr>
      <w:r>
        <w:rPr>
          <w:i/>
          <w:color w:val="0000FF"/>
          <w:szCs w:val="20"/>
        </w:rPr>
        <w:t>Whether each repository is OAI-PMH compliant and if OAI-PMH is currently enabled</w:t>
      </w:r>
    </w:p>
    <w:p w14:paraId="2E9F2F7A" w14:textId="77777777" w:rsidR="00687254" w:rsidRDefault="00687254" w:rsidP="00451CA2">
      <w:pPr>
        <w:pStyle w:val="ListParagraph"/>
        <w:numPr>
          <w:ilvl w:val="0"/>
          <w:numId w:val="13"/>
        </w:numPr>
        <w:rPr>
          <w:i/>
          <w:color w:val="0000FF"/>
          <w:szCs w:val="20"/>
        </w:rPr>
      </w:pPr>
      <w:r>
        <w:rPr>
          <w:i/>
          <w:color w:val="0000FF"/>
          <w:szCs w:val="20"/>
        </w:rPr>
        <w:t xml:space="preserve">What other interoperable tools are enabled and adopted within the repositories – for instance, SWORD, LOD, Dataverse APIs, </w:t>
      </w:r>
      <w:proofErr w:type="spellStart"/>
      <w:r>
        <w:rPr>
          <w:i/>
          <w:color w:val="0000FF"/>
          <w:szCs w:val="20"/>
        </w:rPr>
        <w:t>Altmetrics</w:t>
      </w:r>
      <w:proofErr w:type="spellEnd"/>
      <w:r>
        <w:rPr>
          <w:i/>
          <w:color w:val="0000FF"/>
          <w:szCs w:val="20"/>
        </w:rPr>
        <w:t xml:space="preserve"> or any other relevant interoperability tools/plugins</w:t>
      </w:r>
    </w:p>
    <w:p w14:paraId="2BED2E58" w14:textId="77777777" w:rsidR="00451CA2" w:rsidRPr="00451CA2" w:rsidRDefault="00451CA2" w:rsidP="00451CA2">
      <w:pPr>
        <w:pStyle w:val="ListParagraph"/>
        <w:numPr>
          <w:ilvl w:val="0"/>
          <w:numId w:val="13"/>
        </w:numPr>
        <w:rPr>
          <w:i/>
          <w:color w:val="0000FF"/>
          <w:szCs w:val="20"/>
        </w:rPr>
      </w:pPr>
      <w:r>
        <w:rPr>
          <w:i/>
          <w:color w:val="0000FF"/>
          <w:szCs w:val="20"/>
        </w:rPr>
        <w:t>Any new or emerging tools, protocols, or frameworks under consideration for adoption in the next 1-2 years]</w:t>
      </w:r>
    </w:p>
    <w:p w14:paraId="4517A356" w14:textId="77777777" w:rsidR="00451CA2" w:rsidRDefault="00451CA2" w:rsidP="00C616A0">
      <w:pPr>
        <w:rPr>
          <w:i/>
          <w:color w:val="0000FF"/>
          <w:szCs w:val="20"/>
        </w:rPr>
      </w:pPr>
    </w:p>
    <w:p w14:paraId="36E1EB04" w14:textId="77777777" w:rsidR="00451CA2" w:rsidRDefault="00451CA2" w:rsidP="00C616A0">
      <w:pPr>
        <w:rPr>
          <w:szCs w:val="20"/>
        </w:rPr>
      </w:pPr>
    </w:p>
    <w:p w14:paraId="1401CAF4" w14:textId="77777777" w:rsidR="00152AE3" w:rsidRDefault="00152AE3" w:rsidP="00152AE3">
      <w:pPr>
        <w:pStyle w:val="Heading2"/>
      </w:pPr>
      <w:bookmarkStart w:id="18" w:name="_Toc416727086"/>
      <w:r>
        <w:t>3.3: Metadata</w:t>
      </w:r>
      <w:bookmarkEnd w:id="18"/>
    </w:p>
    <w:p w14:paraId="23D3A598" w14:textId="77777777" w:rsidR="00152AE3" w:rsidRDefault="00152AE3" w:rsidP="00C616A0">
      <w:pPr>
        <w:rPr>
          <w:szCs w:val="20"/>
        </w:rPr>
      </w:pPr>
    </w:p>
    <w:p w14:paraId="09847F7B" w14:textId="77777777" w:rsidR="00ED3661" w:rsidRPr="004463B6" w:rsidRDefault="004463B6" w:rsidP="00C616A0">
      <w:pPr>
        <w:rPr>
          <w:i/>
          <w:color w:val="0000FF"/>
          <w:szCs w:val="20"/>
        </w:rPr>
      </w:pPr>
      <w:r w:rsidRPr="004463B6">
        <w:rPr>
          <w:i/>
          <w:color w:val="0000FF"/>
          <w:szCs w:val="20"/>
        </w:rPr>
        <w:t>[Centers/CRPs should demonstrate that they are working towards adopting the CG Core Metadata Schema. Plans should confirm that they have adopted CG Core and offer details on any additional metadata schemas and taxonomies are in use and how they are applied.</w:t>
      </w:r>
      <w:r w:rsidR="00ED3661">
        <w:rPr>
          <w:i/>
          <w:color w:val="0000FF"/>
          <w:szCs w:val="20"/>
        </w:rPr>
        <w:t xml:space="preserve"> Please include a crosswalk to demonstrate how repository fields are related to CG Core elements.]</w:t>
      </w:r>
    </w:p>
    <w:p w14:paraId="3B1B3B32" w14:textId="77777777" w:rsidR="00480C6F" w:rsidRPr="00480C6F" w:rsidRDefault="00480C6F" w:rsidP="00C616A0">
      <w:pPr>
        <w:rPr>
          <w:i/>
          <w:sz w:val="18"/>
          <w:szCs w:val="20"/>
        </w:rPr>
      </w:pPr>
    </w:p>
    <w:p w14:paraId="1EBAB8C5" w14:textId="77777777" w:rsidR="00480C6F" w:rsidRPr="00480C6F" w:rsidRDefault="00480C6F" w:rsidP="00C616A0">
      <w:pPr>
        <w:rPr>
          <w:i/>
          <w:color w:val="0000FF"/>
          <w:szCs w:val="20"/>
        </w:rPr>
      </w:pPr>
      <w:r w:rsidRPr="00480C6F">
        <w:rPr>
          <w:i/>
          <w:color w:val="0000FF"/>
          <w:szCs w:val="20"/>
        </w:rPr>
        <w:t xml:space="preserve">[In the long run, Centers/CRPs should aim to adopt Linked </w:t>
      </w:r>
      <w:r w:rsidR="005D0AF5">
        <w:rPr>
          <w:i/>
          <w:color w:val="0000FF"/>
          <w:szCs w:val="20"/>
        </w:rPr>
        <w:t xml:space="preserve">Open </w:t>
      </w:r>
      <w:r w:rsidRPr="00480C6F">
        <w:rPr>
          <w:i/>
          <w:color w:val="0000FF"/>
          <w:szCs w:val="20"/>
        </w:rPr>
        <w:t>Data</w:t>
      </w:r>
      <w:r w:rsidR="005D0AF5">
        <w:rPr>
          <w:i/>
          <w:color w:val="0000FF"/>
          <w:szCs w:val="20"/>
        </w:rPr>
        <w:t xml:space="preserve"> protocols as appropriate such as the AGROVOC Linked Open Data API to use AGROVOC terms from within a repository</w:t>
      </w:r>
      <w:r w:rsidRPr="00480C6F">
        <w:rPr>
          <w:i/>
          <w:color w:val="0000FF"/>
          <w:szCs w:val="20"/>
        </w:rPr>
        <w:t>. Include any details regarding plans for moving towards implementing Linked</w:t>
      </w:r>
      <w:r w:rsidR="005D0AF5">
        <w:rPr>
          <w:i/>
          <w:color w:val="0000FF"/>
          <w:szCs w:val="20"/>
        </w:rPr>
        <w:t xml:space="preserve"> Open</w:t>
      </w:r>
      <w:r w:rsidRPr="00480C6F">
        <w:rPr>
          <w:i/>
          <w:color w:val="0000FF"/>
          <w:szCs w:val="20"/>
        </w:rPr>
        <w:t xml:space="preserve"> Data.]</w:t>
      </w:r>
    </w:p>
    <w:p w14:paraId="7C4F1B9B" w14:textId="77777777" w:rsidR="00451CA2" w:rsidRDefault="00451CA2" w:rsidP="00C616A0">
      <w:pPr>
        <w:rPr>
          <w:szCs w:val="20"/>
        </w:rPr>
      </w:pPr>
    </w:p>
    <w:p w14:paraId="01E2F270" w14:textId="77777777" w:rsidR="00480C6F" w:rsidRPr="00480C6F" w:rsidRDefault="00480C6F" w:rsidP="00C616A0">
      <w:pPr>
        <w:rPr>
          <w:i/>
          <w:color w:val="0000FF"/>
          <w:szCs w:val="20"/>
        </w:rPr>
      </w:pPr>
      <w:r w:rsidRPr="00480C6F">
        <w:rPr>
          <w:i/>
          <w:color w:val="0000FF"/>
          <w:szCs w:val="20"/>
        </w:rPr>
        <w:t>[CG Core refers to use of persistent identifiers. Please indicate which type(s) of persistent identifiers are implemented and in which repository.]</w:t>
      </w:r>
    </w:p>
    <w:p w14:paraId="7A7B602A" w14:textId="77777777" w:rsidR="004463B6" w:rsidRDefault="004463B6" w:rsidP="00C616A0">
      <w:pPr>
        <w:rPr>
          <w:szCs w:val="20"/>
        </w:rPr>
      </w:pPr>
    </w:p>
    <w:p w14:paraId="6A253547" w14:textId="77777777" w:rsidR="00152AE3" w:rsidRDefault="00152AE3" w:rsidP="00152AE3">
      <w:pPr>
        <w:pStyle w:val="Heading2"/>
      </w:pPr>
      <w:bookmarkStart w:id="19" w:name="_Toc416727087"/>
      <w:r>
        <w:t>3.4: Data Storage and Preservation for Future Use</w:t>
      </w:r>
      <w:bookmarkEnd w:id="19"/>
    </w:p>
    <w:p w14:paraId="3079C5AD" w14:textId="77777777" w:rsidR="00152AE3" w:rsidRDefault="00152AE3" w:rsidP="00C616A0">
      <w:pPr>
        <w:rPr>
          <w:szCs w:val="20"/>
        </w:rPr>
      </w:pPr>
    </w:p>
    <w:p w14:paraId="4AA1525E" w14:textId="77777777" w:rsidR="004463B6" w:rsidRDefault="004463B6" w:rsidP="00C616A0">
      <w:pPr>
        <w:rPr>
          <w:i/>
          <w:color w:val="0000FF"/>
          <w:szCs w:val="20"/>
        </w:rPr>
      </w:pPr>
      <w:r w:rsidRPr="004463B6">
        <w:rPr>
          <w:i/>
          <w:color w:val="0000FF"/>
          <w:szCs w:val="20"/>
        </w:rPr>
        <w:t xml:space="preserve">[Plans should address storage and preservation issues such as storage redundancy; storage formats and preservation mechanisms; use of persistent identifiers; recommended and </w:t>
      </w:r>
      <w:r>
        <w:rPr>
          <w:i/>
          <w:color w:val="0000FF"/>
          <w:szCs w:val="20"/>
        </w:rPr>
        <w:t xml:space="preserve">accepted file formats.] </w:t>
      </w:r>
    </w:p>
    <w:p w14:paraId="29E1B5CB" w14:textId="77777777" w:rsidR="00451CA2" w:rsidRDefault="00451CA2" w:rsidP="00C616A0">
      <w:pPr>
        <w:rPr>
          <w:i/>
          <w:color w:val="0000FF"/>
          <w:szCs w:val="20"/>
        </w:rPr>
      </w:pPr>
    </w:p>
    <w:p w14:paraId="5307F7D3" w14:textId="77777777" w:rsidR="00451CA2" w:rsidRDefault="00451CA2" w:rsidP="00C616A0">
      <w:pPr>
        <w:rPr>
          <w:i/>
          <w:color w:val="0000FF"/>
          <w:szCs w:val="20"/>
        </w:rPr>
      </w:pPr>
      <w:r>
        <w:rPr>
          <w:i/>
          <w:color w:val="0000FF"/>
          <w:szCs w:val="20"/>
        </w:rPr>
        <w:t>[Plans – and repositories – should include a preservation policy. For example:]</w:t>
      </w:r>
    </w:p>
    <w:p w14:paraId="73BB33A3" w14:textId="77777777" w:rsidR="00451CA2" w:rsidRDefault="00451CA2" w:rsidP="00C616A0">
      <w:pPr>
        <w:rPr>
          <w:i/>
          <w:color w:val="0000FF"/>
          <w:szCs w:val="20"/>
        </w:rPr>
      </w:pPr>
    </w:p>
    <w:p w14:paraId="6FB8FA2F" w14:textId="77777777" w:rsidR="00451CA2" w:rsidRDefault="00451CA2" w:rsidP="00C616A0">
      <w:pPr>
        <w:rPr>
          <w:color w:val="0000FF"/>
          <w:szCs w:val="20"/>
        </w:rPr>
      </w:pPr>
      <w:r>
        <w:rPr>
          <w:color w:val="0000FF"/>
          <w:szCs w:val="20"/>
        </w:rPr>
        <w:t xml:space="preserve">&lt;Center/CRP&gt; </w:t>
      </w:r>
      <w:r w:rsidRPr="00451CA2">
        <w:rPr>
          <w:szCs w:val="20"/>
        </w:rPr>
        <w:t>is committed to responsible and suitable management of works deposited in</w:t>
      </w:r>
      <w:r>
        <w:rPr>
          <w:color w:val="0000FF"/>
          <w:szCs w:val="20"/>
        </w:rPr>
        <w:t xml:space="preserve"> &lt;repository name&gt;. </w:t>
      </w:r>
    </w:p>
    <w:p w14:paraId="2662D496" w14:textId="77777777" w:rsidR="00451CA2" w:rsidRDefault="00451CA2" w:rsidP="00C616A0">
      <w:pPr>
        <w:rPr>
          <w:color w:val="0000FF"/>
          <w:szCs w:val="20"/>
        </w:rPr>
      </w:pPr>
    </w:p>
    <w:p w14:paraId="38824D8B" w14:textId="77777777" w:rsidR="00F86D30" w:rsidRPr="00C22475" w:rsidRDefault="00F86D30" w:rsidP="00F86D30">
      <w:pPr>
        <w:pStyle w:val="ListParagraph"/>
        <w:numPr>
          <w:ilvl w:val="0"/>
          <w:numId w:val="14"/>
        </w:numPr>
        <w:rPr>
          <w:szCs w:val="20"/>
        </w:rPr>
      </w:pPr>
      <w:r w:rsidRPr="00C22475">
        <w:rPr>
          <w:szCs w:val="20"/>
        </w:rPr>
        <w:t xml:space="preserve">Digital preservation is an evolving field. &lt;Center/CRP&gt; bases its preservation strategy on the Open Archival Information System (OAIS) reference model (ISO 14721:2012); this strategy </w:t>
      </w:r>
      <w:r w:rsidR="00C22475" w:rsidRPr="00C22475">
        <w:rPr>
          <w:szCs w:val="20"/>
        </w:rPr>
        <w:t xml:space="preserve">will continue to evolve and is informed </w:t>
      </w:r>
      <w:r w:rsidRPr="00C22475">
        <w:rPr>
          <w:szCs w:val="20"/>
        </w:rPr>
        <w:t xml:space="preserve">by current and emerging best practices. </w:t>
      </w:r>
    </w:p>
    <w:p w14:paraId="79E5992C" w14:textId="77777777" w:rsidR="00F86D30" w:rsidRPr="00C22475" w:rsidRDefault="00C22475" w:rsidP="00F86D30">
      <w:pPr>
        <w:pStyle w:val="ListParagraph"/>
        <w:numPr>
          <w:ilvl w:val="0"/>
          <w:numId w:val="14"/>
        </w:numPr>
        <w:rPr>
          <w:szCs w:val="20"/>
        </w:rPr>
      </w:pPr>
      <w:r w:rsidRPr="00C22475">
        <w:rPr>
          <w:szCs w:val="20"/>
        </w:rPr>
        <w:t xml:space="preserve">Efforts will be taken to preserve any work submitted to &lt;repository&gt;. However, contributors are strongly encouraged to deposit information products in a recommended file format </w:t>
      </w:r>
      <w:proofErr w:type="gramStart"/>
      <w:r w:rsidRPr="00C22475">
        <w:rPr>
          <w:szCs w:val="20"/>
        </w:rPr>
        <w:t>in order to</w:t>
      </w:r>
      <w:proofErr w:type="gramEnd"/>
      <w:r w:rsidRPr="00C22475">
        <w:rPr>
          <w:szCs w:val="20"/>
        </w:rPr>
        <w:t xml:space="preserve"> facilitate long-term preservation. See &lt;</w:t>
      </w:r>
      <w:proofErr w:type="spellStart"/>
      <w:r w:rsidRPr="00C22475">
        <w:rPr>
          <w:szCs w:val="20"/>
        </w:rPr>
        <w:t>url</w:t>
      </w:r>
      <w:proofErr w:type="spellEnd"/>
      <w:r w:rsidRPr="00C22475">
        <w:rPr>
          <w:szCs w:val="20"/>
        </w:rPr>
        <w:t xml:space="preserve">/list of recommended file formats&gt; for details. For files in other formats, a derivative copy in a more stable format should be created if feasible. In these cases, both versions and associated metadata should be deposited. </w:t>
      </w:r>
    </w:p>
    <w:p w14:paraId="7832185B" w14:textId="77777777" w:rsidR="00C22475" w:rsidRPr="00C22475" w:rsidRDefault="00C22475" w:rsidP="00F86D30">
      <w:pPr>
        <w:pStyle w:val="ListParagraph"/>
        <w:numPr>
          <w:ilvl w:val="0"/>
          <w:numId w:val="14"/>
        </w:numPr>
        <w:rPr>
          <w:szCs w:val="20"/>
        </w:rPr>
      </w:pPr>
      <w:r w:rsidRPr="00C22475">
        <w:rPr>
          <w:szCs w:val="20"/>
        </w:rPr>
        <w:t xml:space="preserve">&lt;Repository&gt; will provide long-term access to submitted works along with associated metadata. </w:t>
      </w:r>
      <w:proofErr w:type="gramStart"/>
      <w:r w:rsidRPr="00C22475">
        <w:rPr>
          <w:szCs w:val="20"/>
        </w:rPr>
        <w:t>In order to</w:t>
      </w:r>
      <w:proofErr w:type="gramEnd"/>
      <w:r w:rsidRPr="00C22475">
        <w:rPr>
          <w:szCs w:val="20"/>
        </w:rPr>
        <w:t xml:space="preserve"> provide long-term access, &lt;Center/CRP&gt; will: backup files in a secure and redundant manner, periodically refresh the storage media, and migrate obsolete file formats for files stored in recommended open file formats. </w:t>
      </w:r>
    </w:p>
    <w:p w14:paraId="34DD4023" w14:textId="77777777" w:rsidR="00C22475" w:rsidRPr="00C22475" w:rsidRDefault="00C22475" w:rsidP="00F86D30">
      <w:pPr>
        <w:pStyle w:val="ListParagraph"/>
        <w:numPr>
          <w:ilvl w:val="0"/>
          <w:numId w:val="14"/>
        </w:numPr>
        <w:rPr>
          <w:szCs w:val="20"/>
        </w:rPr>
      </w:pPr>
      <w:r w:rsidRPr="00C22475">
        <w:rPr>
          <w:szCs w:val="20"/>
        </w:rPr>
        <w:t xml:space="preserve">At this time, &lt;Center/CRP&gt; is committed to preserving the bitstream of files. </w:t>
      </w:r>
    </w:p>
    <w:p w14:paraId="26F259E8" w14:textId="77777777" w:rsidR="00C22475" w:rsidRPr="00C22475" w:rsidRDefault="00C22475" w:rsidP="00F86D30">
      <w:pPr>
        <w:pStyle w:val="ListParagraph"/>
        <w:numPr>
          <w:ilvl w:val="0"/>
          <w:numId w:val="14"/>
        </w:numPr>
        <w:rPr>
          <w:szCs w:val="20"/>
        </w:rPr>
      </w:pPr>
      <w:r w:rsidRPr="00C22475">
        <w:rPr>
          <w:szCs w:val="20"/>
        </w:rPr>
        <w:t xml:space="preserve">All works submitted to &lt;repository&gt; will receive a persistent URL. </w:t>
      </w:r>
    </w:p>
    <w:p w14:paraId="3A6FCEEE" w14:textId="77777777" w:rsidR="00C22475" w:rsidRPr="00C22475" w:rsidRDefault="00C22475" w:rsidP="00F86D30">
      <w:pPr>
        <w:pStyle w:val="ListParagraph"/>
        <w:numPr>
          <w:ilvl w:val="0"/>
          <w:numId w:val="14"/>
        </w:numPr>
        <w:rPr>
          <w:szCs w:val="20"/>
        </w:rPr>
      </w:pPr>
      <w:r w:rsidRPr="00C22475">
        <w:rPr>
          <w:szCs w:val="20"/>
        </w:rPr>
        <w:t xml:space="preserve">This policy will be reviewed annually to ensure practices are consistent as technology and best practices evolve. </w:t>
      </w:r>
    </w:p>
    <w:p w14:paraId="6E625C65" w14:textId="77777777" w:rsidR="00451CA2" w:rsidRPr="00451CA2" w:rsidRDefault="00451CA2" w:rsidP="00C616A0">
      <w:pPr>
        <w:rPr>
          <w:color w:val="0000FF"/>
          <w:szCs w:val="20"/>
        </w:rPr>
      </w:pPr>
    </w:p>
    <w:p w14:paraId="4E7F8A06" w14:textId="77777777" w:rsidR="000F509F" w:rsidRPr="00451CA2" w:rsidRDefault="000F509F" w:rsidP="00451CA2">
      <w:pPr>
        <w:rPr>
          <w:i/>
          <w:color w:val="0000FF"/>
          <w:szCs w:val="20"/>
        </w:rPr>
      </w:pPr>
      <w:r>
        <w:rPr>
          <w:i/>
          <w:color w:val="0000FF"/>
          <w:szCs w:val="20"/>
        </w:rPr>
        <w:t>[Centers/CRPs are encouraged to maintain a list of recommended file formats on the repository website, but please include a current list as part of the implementation plan</w:t>
      </w:r>
      <w:r w:rsidR="00451CA2">
        <w:rPr>
          <w:i/>
          <w:color w:val="0000FF"/>
          <w:szCs w:val="20"/>
        </w:rPr>
        <w:t xml:space="preserve"> or a </w:t>
      </w:r>
      <w:proofErr w:type="spellStart"/>
      <w:r w:rsidR="00451CA2">
        <w:rPr>
          <w:i/>
          <w:color w:val="0000FF"/>
          <w:szCs w:val="20"/>
        </w:rPr>
        <w:t>url</w:t>
      </w:r>
      <w:proofErr w:type="spellEnd"/>
      <w:r w:rsidR="00451CA2">
        <w:rPr>
          <w:i/>
          <w:color w:val="0000FF"/>
          <w:szCs w:val="20"/>
        </w:rPr>
        <w:t xml:space="preserve"> to a live website.] </w:t>
      </w:r>
    </w:p>
    <w:p w14:paraId="0DDEE16C" w14:textId="77777777" w:rsidR="000F509F" w:rsidRDefault="000F509F" w:rsidP="00C616A0">
      <w:pPr>
        <w:rPr>
          <w:i/>
          <w:color w:val="0000FF"/>
          <w:szCs w:val="20"/>
        </w:rPr>
      </w:pPr>
    </w:p>
    <w:p w14:paraId="3A7AAC86" w14:textId="77777777" w:rsidR="004463B6" w:rsidRPr="000F509F" w:rsidRDefault="000F509F" w:rsidP="00C616A0">
      <w:pPr>
        <w:rPr>
          <w:color w:val="000000" w:themeColor="text1"/>
          <w:szCs w:val="20"/>
        </w:rPr>
      </w:pPr>
      <w:r w:rsidRPr="000F509F">
        <w:rPr>
          <w:color w:val="000000" w:themeColor="text1"/>
          <w:szCs w:val="20"/>
        </w:rPr>
        <w:t xml:space="preserve">Recommended file formats for publications: </w:t>
      </w:r>
    </w:p>
    <w:p w14:paraId="0F3964AD" w14:textId="77777777" w:rsidR="000F509F" w:rsidRDefault="000F509F" w:rsidP="00C616A0">
      <w:pPr>
        <w:rPr>
          <w:color w:val="000000" w:themeColor="text1"/>
          <w:szCs w:val="20"/>
        </w:rPr>
      </w:pPr>
    </w:p>
    <w:tbl>
      <w:tblPr>
        <w:tblStyle w:val="TableGrid"/>
        <w:tblW w:w="0" w:type="auto"/>
        <w:jc w:val="center"/>
        <w:tblLook w:val="04A0" w:firstRow="1" w:lastRow="0" w:firstColumn="1" w:lastColumn="0" w:noHBand="0" w:noVBand="1"/>
      </w:tblPr>
      <w:tblGrid>
        <w:gridCol w:w="2965"/>
        <w:gridCol w:w="1440"/>
      </w:tblGrid>
      <w:tr w:rsidR="000F509F" w14:paraId="03E2C863" w14:textId="77777777" w:rsidTr="000F509F">
        <w:trPr>
          <w:jc w:val="center"/>
        </w:trPr>
        <w:tc>
          <w:tcPr>
            <w:tcW w:w="2965" w:type="dxa"/>
          </w:tcPr>
          <w:p w14:paraId="27D80C14" w14:textId="77777777" w:rsidR="000F509F" w:rsidRDefault="000F509F" w:rsidP="00C616A0">
            <w:pPr>
              <w:rPr>
                <w:color w:val="000000" w:themeColor="text1"/>
                <w:szCs w:val="20"/>
              </w:rPr>
            </w:pPr>
            <w:r>
              <w:rPr>
                <w:color w:val="000000" w:themeColor="text1"/>
                <w:szCs w:val="20"/>
              </w:rPr>
              <w:t>Format</w:t>
            </w:r>
          </w:p>
        </w:tc>
        <w:tc>
          <w:tcPr>
            <w:tcW w:w="1440" w:type="dxa"/>
          </w:tcPr>
          <w:p w14:paraId="26541CD4" w14:textId="77777777" w:rsidR="000F509F" w:rsidRDefault="000F509F" w:rsidP="00C616A0">
            <w:pPr>
              <w:rPr>
                <w:color w:val="000000" w:themeColor="text1"/>
                <w:szCs w:val="20"/>
              </w:rPr>
            </w:pPr>
            <w:r>
              <w:rPr>
                <w:color w:val="000000" w:themeColor="text1"/>
                <w:szCs w:val="20"/>
              </w:rPr>
              <w:t>File Extensions</w:t>
            </w:r>
          </w:p>
        </w:tc>
      </w:tr>
      <w:tr w:rsidR="000F509F" w14:paraId="21C0F330" w14:textId="77777777" w:rsidTr="000F509F">
        <w:trPr>
          <w:jc w:val="center"/>
        </w:trPr>
        <w:tc>
          <w:tcPr>
            <w:tcW w:w="2965" w:type="dxa"/>
          </w:tcPr>
          <w:p w14:paraId="2E2E2980" w14:textId="77777777" w:rsidR="000F509F" w:rsidRDefault="000F509F" w:rsidP="00C616A0">
            <w:pPr>
              <w:rPr>
                <w:color w:val="000000" w:themeColor="text1"/>
                <w:szCs w:val="20"/>
              </w:rPr>
            </w:pPr>
            <w:r>
              <w:rPr>
                <w:color w:val="000000" w:themeColor="text1"/>
                <w:szCs w:val="20"/>
              </w:rPr>
              <w:t>Acrobat PDF/A</w:t>
            </w:r>
          </w:p>
        </w:tc>
        <w:tc>
          <w:tcPr>
            <w:tcW w:w="1440" w:type="dxa"/>
          </w:tcPr>
          <w:p w14:paraId="3BFADB6F" w14:textId="77777777" w:rsidR="000F509F" w:rsidRDefault="000F509F" w:rsidP="00C616A0">
            <w:pPr>
              <w:rPr>
                <w:color w:val="000000" w:themeColor="text1"/>
                <w:szCs w:val="20"/>
              </w:rPr>
            </w:pPr>
            <w:r>
              <w:rPr>
                <w:color w:val="000000" w:themeColor="text1"/>
                <w:szCs w:val="20"/>
              </w:rPr>
              <w:t>.pdf</w:t>
            </w:r>
          </w:p>
        </w:tc>
      </w:tr>
      <w:tr w:rsidR="000F509F" w14:paraId="5BE50289" w14:textId="77777777" w:rsidTr="000F509F">
        <w:trPr>
          <w:jc w:val="center"/>
        </w:trPr>
        <w:tc>
          <w:tcPr>
            <w:tcW w:w="2965" w:type="dxa"/>
          </w:tcPr>
          <w:p w14:paraId="023E4551" w14:textId="77777777" w:rsidR="000F509F" w:rsidRDefault="000F509F" w:rsidP="00C616A0">
            <w:pPr>
              <w:rPr>
                <w:color w:val="000000" w:themeColor="text1"/>
                <w:szCs w:val="20"/>
              </w:rPr>
            </w:pPr>
            <w:r>
              <w:rPr>
                <w:color w:val="000000" w:themeColor="text1"/>
                <w:szCs w:val="20"/>
              </w:rPr>
              <w:t>Comma-separated values</w:t>
            </w:r>
          </w:p>
        </w:tc>
        <w:tc>
          <w:tcPr>
            <w:tcW w:w="1440" w:type="dxa"/>
          </w:tcPr>
          <w:p w14:paraId="29F5F5D7" w14:textId="77777777" w:rsidR="000F509F" w:rsidRDefault="000F509F" w:rsidP="00C616A0">
            <w:pPr>
              <w:rPr>
                <w:color w:val="000000" w:themeColor="text1"/>
                <w:szCs w:val="20"/>
              </w:rPr>
            </w:pPr>
            <w:r>
              <w:rPr>
                <w:color w:val="000000" w:themeColor="text1"/>
                <w:szCs w:val="20"/>
              </w:rPr>
              <w:t>.csv</w:t>
            </w:r>
          </w:p>
        </w:tc>
      </w:tr>
      <w:tr w:rsidR="000F509F" w14:paraId="7A120A6D" w14:textId="77777777" w:rsidTr="000F509F">
        <w:trPr>
          <w:jc w:val="center"/>
        </w:trPr>
        <w:tc>
          <w:tcPr>
            <w:tcW w:w="2965" w:type="dxa"/>
          </w:tcPr>
          <w:p w14:paraId="7B9F32E8" w14:textId="77777777" w:rsidR="000F509F" w:rsidRDefault="000F509F" w:rsidP="00C616A0">
            <w:pPr>
              <w:rPr>
                <w:color w:val="000000" w:themeColor="text1"/>
                <w:szCs w:val="20"/>
              </w:rPr>
            </w:pPr>
            <w:r>
              <w:rPr>
                <w:color w:val="000000" w:themeColor="text1"/>
                <w:szCs w:val="20"/>
              </w:rPr>
              <w:t>Open Office formats</w:t>
            </w:r>
          </w:p>
        </w:tc>
        <w:tc>
          <w:tcPr>
            <w:tcW w:w="1440" w:type="dxa"/>
          </w:tcPr>
          <w:p w14:paraId="2570F920" w14:textId="77777777" w:rsidR="000F509F" w:rsidRDefault="000F509F" w:rsidP="00C616A0">
            <w:pPr>
              <w:rPr>
                <w:color w:val="000000" w:themeColor="text1"/>
                <w:szCs w:val="20"/>
              </w:rPr>
            </w:pPr>
            <w:proofErr w:type="gramStart"/>
            <w:r>
              <w:rPr>
                <w:color w:val="000000" w:themeColor="text1"/>
                <w:szCs w:val="20"/>
              </w:rPr>
              <w:t>.</w:t>
            </w:r>
            <w:proofErr w:type="spellStart"/>
            <w:r>
              <w:rPr>
                <w:color w:val="000000" w:themeColor="text1"/>
                <w:szCs w:val="20"/>
              </w:rPr>
              <w:t>odt</w:t>
            </w:r>
            <w:proofErr w:type="spellEnd"/>
            <w:proofErr w:type="gramEnd"/>
            <w:r>
              <w:rPr>
                <w:color w:val="000000" w:themeColor="text1"/>
                <w:szCs w:val="20"/>
              </w:rPr>
              <w:t>, .</w:t>
            </w:r>
            <w:proofErr w:type="spellStart"/>
            <w:r>
              <w:rPr>
                <w:color w:val="000000" w:themeColor="text1"/>
                <w:szCs w:val="20"/>
              </w:rPr>
              <w:t>ods</w:t>
            </w:r>
            <w:proofErr w:type="spellEnd"/>
            <w:r>
              <w:rPr>
                <w:color w:val="000000" w:themeColor="text1"/>
                <w:szCs w:val="20"/>
              </w:rPr>
              <w:t>, .</w:t>
            </w:r>
            <w:proofErr w:type="spellStart"/>
            <w:r>
              <w:rPr>
                <w:color w:val="000000" w:themeColor="text1"/>
                <w:szCs w:val="20"/>
              </w:rPr>
              <w:t>odp</w:t>
            </w:r>
            <w:proofErr w:type="spellEnd"/>
          </w:p>
        </w:tc>
      </w:tr>
      <w:tr w:rsidR="000F509F" w14:paraId="7F7EAC87" w14:textId="77777777" w:rsidTr="000F509F">
        <w:trPr>
          <w:jc w:val="center"/>
        </w:trPr>
        <w:tc>
          <w:tcPr>
            <w:tcW w:w="2965" w:type="dxa"/>
          </w:tcPr>
          <w:p w14:paraId="2126F495" w14:textId="77777777" w:rsidR="000F509F" w:rsidRDefault="000F509F" w:rsidP="00C616A0">
            <w:pPr>
              <w:rPr>
                <w:color w:val="000000" w:themeColor="text1"/>
                <w:szCs w:val="20"/>
              </w:rPr>
            </w:pPr>
            <w:r>
              <w:rPr>
                <w:color w:val="000000" w:themeColor="text1"/>
                <w:szCs w:val="20"/>
              </w:rPr>
              <w:t>Plain text (US-ASCII, UTF-8)</w:t>
            </w:r>
          </w:p>
        </w:tc>
        <w:tc>
          <w:tcPr>
            <w:tcW w:w="1440" w:type="dxa"/>
          </w:tcPr>
          <w:p w14:paraId="6E81AAB4" w14:textId="77777777" w:rsidR="000F509F" w:rsidRDefault="000F509F" w:rsidP="00C616A0">
            <w:pPr>
              <w:rPr>
                <w:color w:val="000000" w:themeColor="text1"/>
                <w:szCs w:val="20"/>
              </w:rPr>
            </w:pPr>
            <w:r>
              <w:rPr>
                <w:color w:val="000000" w:themeColor="text1"/>
                <w:szCs w:val="20"/>
              </w:rPr>
              <w:t>.txt</w:t>
            </w:r>
          </w:p>
        </w:tc>
      </w:tr>
      <w:tr w:rsidR="000F509F" w14:paraId="5A226077" w14:textId="77777777" w:rsidTr="000F509F">
        <w:trPr>
          <w:jc w:val="center"/>
        </w:trPr>
        <w:tc>
          <w:tcPr>
            <w:tcW w:w="2965" w:type="dxa"/>
          </w:tcPr>
          <w:p w14:paraId="39ADC209" w14:textId="77777777" w:rsidR="000F509F" w:rsidRDefault="000F509F" w:rsidP="00C616A0">
            <w:pPr>
              <w:rPr>
                <w:color w:val="000000" w:themeColor="text1"/>
                <w:szCs w:val="20"/>
              </w:rPr>
            </w:pPr>
            <w:r>
              <w:rPr>
                <w:color w:val="000000" w:themeColor="text1"/>
                <w:szCs w:val="20"/>
              </w:rPr>
              <w:t>XML</w:t>
            </w:r>
          </w:p>
        </w:tc>
        <w:tc>
          <w:tcPr>
            <w:tcW w:w="1440" w:type="dxa"/>
          </w:tcPr>
          <w:p w14:paraId="59F9AB02" w14:textId="77777777" w:rsidR="000F509F" w:rsidRDefault="000F509F" w:rsidP="00C616A0">
            <w:pPr>
              <w:rPr>
                <w:color w:val="000000" w:themeColor="text1"/>
                <w:szCs w:val="20"/>
              </w:rPr>
            </w:pPr>
            <w:r>
              <w:rPr>
                <w:color w:val="000000" w:themeColor="text1"/>
                <w:szCs w:val="20"/>
              </w:rPr>
              <w:t>.xml</w:t>
            </w:r>
          </w:p>
        </w:tc>
      </w:tr>
    </w:tbl>
    <w:p w14:paraId="73DB8EEB" w14:textId="77777777" w:rsidR="000F509F" w:rsidRDefault="000F509F" w:rsidP="00C616A0">
      <w:pPr>
        <w:rPr>
          <w:color w:val="000000" w:themeColor="text1"/>
          <w:szCs w:val="20"/>
        </w:rPr>
      </w:pPr>
      <w:r>
        <w:rPr>
          <w:color w:val="000000" w:themeColor="text1"/>
          <w:szCs w:val="20"/>
        </w:rPr>
        <w:tab/>
      </w:r>
      <w:r>
        <w:rPr>
          <w:color w:val="000000" w:themeColor="text1"/>
          <w:szCs w:val="20"/>
        </w:rPr>
        <w:tab/>
      </w:r>
    </w:p>
    <w:p w14:paraId="4906B778" w14:textId="77777777" w:rsidR="00DF77FA" w:rsidRPr="00451CA2" w:rsidRDefault="000F509F" w:rsidP="00C616A0">
      <w:pPr>
        <w:rPr>
          <w:i/>
          <w:color w:val="000000" w:themeColor="text1"/>
          <w:szCs w:val="20"/>
        </w:rPr>
      </w:pPr>
      <w:r w:rsidRPr="000F509F">
        <w:rPr>
          <w:i/>
          <w:color w:val="0000FF"/>
          <w:szCs w:val="20"/>
        </w:rPr>
        <w:t xml:space="preserve">[If images, audio, and video files are collected and disseminated </w:t>
      </w:r>
      <w:r w:rsidR="00CA6801">
        <w:rPr>
          <w:i/>
          <w:color w:val="0000FF"/>
          <w:szCs w:val="20"/>
        </w:rPr>
        <w:t>via</w:t>
      </w:r>
      <w:r w:rsidRPr="000F509F">
        <w:rPr>
          <w:i/>
          <w:color w:val="0000FF"/>
          <w:szCs w:val="20"/>
        </w:rPr>
        <w:t xml:space="preserve"> the repository, recommended formats should be indicated </w:t>
      </w:r>
      <w:r>
        <w:rPr>
          <w:i/>
          <w:color w:val="0000FF"/>
          <w:szCs w:val="20"/>
        </w:rPr>
        <w:t xml:space="preserve">as well. </w:t>
      </w:r>
      <w:r w:rsidR="00C22475">
        <w:rPr>
          <w:i/>
          <w:color w:val="0000FF"/>
          <w:szCs w:val="20"/>
        </w:rPr>
        <w:t>E</w:t>
      </w:r>
      <w:r>
        <w:rPr>
          <w:i/>
          <w:color w:val="0000FF"/>
          <w:szCs w:val="20"/>
        </w:rPr>
        <w:t>x:</w:t>
      </w:r>
      <w:r w:rsidR="00C22475">
        <w:rPr>
          <w:i/>
          <w:color w:val="0000FF"/>
          <w:szCs w:val="20"/>
        </w:rPr>
        <w:t xml:space="preserve"> </w:t>
      </w:r>
      <w:hyperlink r:id="rId8" w:history="1">
        <w:r w:rsidRPr="00DD4B4A">
          <w:rPr>
            <w:rStyle w:val="Hyperlink"/>
            <w:i/>
            <w:szCs w:val="20"/>
          </w:rPr>
          <w:t>http://www.lib.cam.ac.uk/dataman/resources/File_Formats.pdf</w:t>
        </w:r>
      </w:hyperlink>
      <w:r>
        <w:rPr>
          <w:i/>
          <w:color w:val="0000FF"/>
          <w:szCs w:val="20"/>
        </w:rPr>
        <w:t>]</w:t>
      </w:r>
    </w:p>
    <w:p w14:paraId="21B9583A" w14:textId="77777777" w:rsidR="00451CA2" w:rsidRPr="00CA6801" w:rsidRDefault="00CA6801" w:rsidP="00C616A0">
      <w:pPr>
        <w:rPr>
          <w:i/>
          <w:szCs w:val="20"/>
        </w:rPr>
      </w:pPr>
      <w:r w:rsidRPr="00CA6801">
        <w:rPr>
          <w:i/>
          <w:color w:val="0000FF"/>
          <w:szCs w:val="20"/>
        </w:rPr>
        <w:t>[Data repositories should include recommendations for preferred file formats.]</w:t>
      </w:r>
    </w:p>
    <w:p w14:paraId="5E7A768B" w14:textId="77777777" w:rsidR="00451CA2" w:rsidRDefault="00451CA2" w:rsidP="00C616A0">
      <w:pPr>
        <w:rPr>
          <w:szCs w:val="20"/>
        </w:rPr>
      </w:pPr>
    </w:p>
    <w:p w14:paraId="1B22ABA8" w14:textId="77777777" w:rsidR="00C22475" w:rsidRPr="00C22475" w:rsidRDefault="00C22475" w:rsidP="00C616A0">
      <w:pPr>
        <w:rPr>
          <w:i/>
          <w:color w:val="0000FF"/>
          <w:szCs w:val="20"/>
        </w:rPr>
      </w:pPr>
      <w:r w:rsidRPr="00C22475">
        <w:rPr>
          <w:i/>
          <w:color w:val="0000FF"/>
          <w:szCs w:val="20"/>
        </w:rPr>
        <w:t xml:space="preserve">[Perpetual Access: Plans should include a statement indicating what happens if the repository is shut down.] </w:t>
      </w:r>
    </w:p>
    <w:p w14:paraId="1C201ADC" w14:textId="77777777" w:rsidR="00C22475" w:rsidRDefault="00C22475" w:rsidP="00C616A0">
      <w:pPr>
        <w:rPr>
          <w:szCs w:val="20"/>
        </w:rPr>
      </w:pPr>
    </w:p>
    <w:p w14:paraId="16B320B3" w14:textId="77777777" w:rsidR="00152AE3" w:rsidRDefault="00152AE3" w:rsidP="00152AE3">
      <w:pPr>
        <w:pStyle w:val="Heading2"/>
      </w:pPr>
      <w:bookmarkStart w:id="20" w:name="_Toc416727088"/>
      <w:r>
        <w:t>3.5: Limited Internet Connectivity</w:t>
      </w:r>
      <w:bookmarkEnd w:id="20"/>
    </w:p>
    <w:p w14:paraId="70FA1E09" w14:textId="77777777" w:rsidR="00C616A0" w:rsidRDefault="00C616A0" w:rsidP="00C616A0">
      <w:pPr>
        <w:rPr>
          <w:szCs w:val="20"/>
        </w:rPr>
      </w:pPr>
    </w:p>
    <w:p w14:paraId="465F2326" w14:textId="77777777" w:rsidR="00DF77FA" w:rsidRDefault="00D4535A" w:rsidP="00C616A0">
      <w:pPr>
        <w:rPr>
          <w:i/>
          <w:color w:val="0000FF"/>
          <w:szCs w:val="20"/>
        </w:rPr>
      </w:pPr>
      <w:r w:rsidRPr="00D4535A">
        <w:rPr>
          <w:i/>
          <w:color w:val="0000FF"/>
          <w:szCs w:val="20"/>
        </w:rPr>
        <w:t>[This subsection should include ways in which the Center/CRP is specifically supporting access t</w:t>
      </w:r>
      <w:r w:rsidR="00DF77FA">
        <w:rPr>
          <w:i/>
          <w:color w:val="0000FF"/>
          <w:szCs w:val="20"/>
        </w:rPr>
        <w:t>o content in low-bandwidth and mobile environments.]</w:t>
      </w:r>
    </w:p>
    <w:p w14:paraId="4AD44797" w14:textId="77777777" w:rsidR="00DF77FA" w:rsidRDefault="00DF77FA" w:rsidP="00C616A0">
      <w:pPr>
        <w:rPr>
          <w:i/>
          <w:color w:val="0000FF"/>
          <w:szCs w:val="20"/>
        </w:rPr>
      </w:pPr>
    </w:p>
    <w:p w14:paraId="4CCB3D14" w14:textId="77777777" w:rsidR="00D4535A" w:rsidRPr="00DF77FA" w:rsidRDefault="00D4535A" w:rsidP="00C616A0">
      <w:pPr>
        <w:rPr>
          <w:szCs w:val="20"/>
        </w:rPr>
      </w:pPr>
      <w:r w:rsidRPr="00DF77FA">
        <w:rPr>
          <w:szCs w:val="20"/>
        </w:rPr>
        <w:t xml:space="preserve">To assist those with limited internet connectivity, designing easily accessible information products or providing alternate versions of materials that require minimal data download is encouraged if it does not affect the quality of the information products. </w:t>
      </w:r>
    </w:p>
    <w:p w14:paraId="2BF2FE36" w14:textId="77777777" w:rsidR="00D4535A" w:rsidRPr="00DF77FA" w:rsidRDefault="00D4535A" w:rsidP="00C616A0">
      <w:pPr>
        <w:rPr>
          <w:szCs w:val="20"/>
        </w:rPr>
      </w:pPr>
    </w:p>
    <w:p w14:paraId="240F1E35" w14:textId="77777777" w:rsidR="00D4535A" w:rsidRPr="00DF77FA" w:rsidRDefault="00D4535A" w:rsidP="00C616A0">
      <w:pPr>
        <w:rPr>
          <w:szCs w:val="20"/>
        </w:rPr>
      </w:pPr>
      <w:proofErr w:type="gramStart"/>
      <w:r w:rsidRPr="00DF77FA">
        <w:rPr>
          <w:szCs w:val="20"/>
        </w:rPr>
        <w:t>In order to</w:t>
      </w:r>
      <w:proofErr w:type="gramEnd"/>
      <w:r w:rsidRPr="00DF77FA">
        <w:rPr>
          <w:szCs w:val="20"/>
        </w:rPr>
        <w:t xml:space="preserve"> maximize uptake within these environments, &lt;Center/CRP</w:t>
      </w:r>
      <w:r w:rsidR="00DF77FA" w:rsidRPr="00DF77FA">
        <w:rPr>
          <w:szCs w:val="20"/>
        </w:rPr>
        <w:t xml:space="preserve">&gt; has taken the following steps, based on </w:t>
      </w:r>
      <w:proofErr w:type="spellStart"/>
      <w:r w:rsidR="00DF77FA" w:rsidRPr="00DF77FA">
        <w:rPr>
          <w:szCs w:val="20"/>
        </w:rPr>
        <w:t>Aptivate’s</w:t>
      </w:r>
      <w:proofErr w:type="spellEnd"/>
      <w:r w:rsidR="00DF77FA" w:rsidRPr="00DF77FA">
        <w:rPr>
          <w:szCs w:val="20"/>
        </w:rPr>
        <w:t xml:space="preserve"> best practices:</w:t>
      </w:r>
      <w:r w:rsidR="00DF77FA" w:rsidRPr="00DF77FA">
        <w:rPr>
          <w:rStyle w:val="FootnoteReference"/>
          <w:szCs w:val="20"/>
        </w:rPr>
        <w:footnoteReference w:id="4"/>
      </w:r>
      <w:r w:rsidR="00DF77FA" w:rsidRPr="00DF77FA">
        <w:rPr>
          <w:szCs w:val="20"/>
        </w:rPr>
        <w:t xml:space="preserve"> </w:t>
      </w:r>
      <w:r w:rsidRPr="00DF77FA">
        <w:rPr>
          <w:szCs w:val="20"/>
        </w:rPr>
        <w:t xml:space="preserve"> </w:t>
      </w:r>
    </w:p>
    <w:p w14:paraId="7306A0C1" w14:textId="77777777" w:rsidR="00A94484" w:rsidRPr="00DF77FA" w:rsidRDefault="00A94484" w:rsidP="00DF77FA"/>
    <w:p w14:paraId="60521395" w14:textId="77777777" w:rsidR="00DF77FA" w:rsidRPr="00DF77FA" w:rsidRDefault="00DF77FA" w:rsidP="00DF77FA">
      <w:pPr>
        <w:pStyle w:val="ListParagraph"/>
        <w:numPr>
          <w:ilvl w:val="0"/>
          <w:numId w:val="12"/>
        </w:numPr>
      </w:pPr>
      <w:r w:rsidRPr="00DF77FA">
        <w:t>Whenever feasible, pages are smaller than 25kB</w:t>
      </w:r>
    </w:p>
    <w:p w14:paraId="47C6248E" w14:textId="77777777" w:rsidR="00DF77FA" w:rsidRPr="00DF77FA" w:rsidRDefault="00DF77FA" w:rsidP="00DF77FA">
      <w:pPr>
        <w:pStyle w:val="ListParagraph"/>
        <w:numPr>
          <w:ilvl w:val="0"/>
          <w:numId w:val="12"/>
        </w:numPr>
        <w:rPr>
          <w:i/>
          <w:color w:val="0000FF"/>
        </w:rPr>
      </w:pPr>
      <w:r w:rsidRPr="00DF77FA">
        <w:rPr>
          <w:i/>
          <w:color w:val="0000FF"/>
        </w:rPr>
        <w:t>&lt;etc.&gt;</w:t>
      </w:r>
    </w:p>
    <w:p w14:paraId="177524DE" w14:textId="77777777" w:rsidR="00DF77FA" w:rsidRDefault="00DF77FA">
      <w:pPr>
        <w:rPr>
          <w:rFonts w:asciiTheme="majorHAnsi" w:eastAsiaTheme="majorEastAsia" w:hAnsiTheme="majorHAnsi" w:cstheme="majorBidi"/>
          <w:color w:val="2E74B5" w:themeColor="accent1" w:themeShade="BF"/>
          <w:sz w:val="32"/>
          <w:szCs w:val="32"/>
        </w:rPr>
      </w:pPr>
    </w:p>
    <w:p w14:paraId="041424DB" w14:textId="77777777" w:rsidR="00524C73" w:rsidRDefault="00524C73" w:rsidP="00524C73">
      <w:r>
        <w:rPr>
          <w:noProof/>
          <w:szCs w:val="20"/>
        </w:rPr>
        <mc:AlternateContent>
          <mc:Choice Requires="wps">
            <w:drawing>
              <wp:anchor distT="0" distB="0" distL="114300" distR="114300" simplePos="0" relativeHeight="251667456" behindDoc="0" locked="0" layoutInCell="1" allowOverlap="1" wp14:anchorId="031E7AB0" wp14:editId="43555441">
                <wp:simplePos x="0" y="0"/>
                <wp:positionH relativeFrom="column">
                  <wp:posOffset>0</wp:posOffset>
                </wp:positionH>
                <wp:positionV relativeFrom="paragraph">
                  <wp:posOffset>19050</wp:posOffset>
                </wp:positionV>
                <wp:extent cx="5705856" cy="7315"/>
                <wp:effectExtent l="19050" t="19050" r="28575" b="31115"/>
                <wp:wrapNone/>
                <wp:docPr id="6" name="Straight Connector 6"/>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14787"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5pt" to="449.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" strokecolor="black [3213]" strokeweight="3pt">
                <v:stroke joinstyle="miter"/>
              </v:line>
            </w:pict>
          </mc:Fallback>
        </mc:AlternateContent>
      </w:r>
    </w:p>
    <w:p w14:paraId="13D68E9F" w14:textId="77777777" w:rsidR="00C616A0" w:rsidRDefault="00C616A0" w:rsidP="00AC6A9B">
      <w:pPr>
        <w:pStyle w:val="Heading1"/>
      </w:pPr>
      <w:bookmarkStart w:id="21" w:name="_Toc416727089"/>
      <w:r w:rsidRPr="00A34113">
        <w:t>Section 4: IPR/Intellectual Assets</w:t>
      </w:r>
      <w:bookmarkEnd w:id="21"/>
    </w:p>
    <w:p w14:paraId="292A31EB" w14:textId="77777777" w:rsidR="00C616A0" w:rsidRDefault="00C616A0" w:rsidP="00C616A0">
      <w:pPr>
        <w:rPr>
          <w:b/>
          <w:szCs w:val="20"/>
        </w:rPr>
      </w:pPr>
    </w:p>
    <w:p w14:paraId="52C9DB23" w14:textId="77777777" w:rsidR="00CC02F6" w:rsidRDefault="00CC02F6" w:rsidP="00CC02F6">
      <w:pPr>
        <w:pStyle w:val="Heading2"/>
      </w:pPr>
      <w:bookmarkStart w:id="22" w:name="_Toc416727090"/>
      <w:r>
        <w:t>4.1: CGIAR Principles on the Management of Intellectual Assets</w:t>
      </w:r>
      <w:bookmarkEnd w:id="22"/>
    </w:p>
    <w:p w14:paraId="24E8B498" w14:textId="77777777" w:rsidR="00117232" w:rsidRDefault="00117232" w:rsidP="00C616A0">
      <w:pPr>
        <w:rPr>
          <w:i/>
          <w:color w:val="0000FF"/>
          <w:szCs w:val="20"/>
        </w:rPr>
      </w:pPr>
    </w:p>
    <w:p w14:paraId="0E64EDC2" w14:textId="77777777" w:rsidR="00CC02F6" w:rsidRPr="00117232" w:rsidRDefault="00CC02F6" w:rsidP="00C616A0">
      <w:pPr>
        <w:rPr>
          <w:i/>
          <w:color w:val="0000FF"/>
          <w:szCs w:val="20"/>
        </w:rPr>
      </w:pPr>
      <w:r w:rsidRPr="00117232">
        <w:rPr>
          <w:i/>
          <w:color w:val="0000FF"/>
          <w:szCs w:val="20"/>
        </w:rPr>
        <w:t>[This subsection includes a brief statement connection Open Access to the CGIAR IA Principles.]</w:t>
      </w:r>
    </w:p>
    <w:p w14:paraId="5101EA57" w14:textId="77777777" w:rsidR="00117232" w:rsidRDefault="00117232" w:rsidP="00C616A0">
      <w:pPr>
        <w:rPr>
          <w:i/>
          <w:szCs w:val="20"/>
        </w:rPr>
      </w:pPr>
    </w:p>
    <w:p w14:paraId="5187F4A7" w14:textId="77777777" w:rsidR="00117232" w:rsidRDefault="00117232" w:rsidP="00C616A0">
      <w:pPr>
        <w:rPr>
          <w:szCs w:val="20"/>
        </w:rPr>
      </w:pPr>
      <w:r>
        <w:rPr>
          <w:szCs w:val="20"/>
        </w:rPr>
        <w:t xml:space="preserve">The CGIAR IA Principles and associated implementation guidelines provide for the prompt and broad dissemination of research results, which translates to a default assumption that information products should be made openly accessible as soon as possible. Article 1 of the Open Access and Data Management Policy states “this Policy complies with the CGIAR Principles on the Management of Intellectual Assets (‘CGIAR IA Principles’), which is the umbrella document for this Policy.” The assumption of Open Access may be challenged by reference to the allowable/reportable restrictions and exclusions set out in the CGIAR IA Principles and associated implementation guidelines, and the guidance in these Guidelines that allow for restricting Open Access in certain circumstances. </w:t>
      </w:r>
    </w:p>
    <w:p w14:paraId="67C19DD5" w14:textId="77777777" w:rsidR="00117232" w:rsidRDefault="00117232" w:rsidP="00C616A0">
      <w:pPr>
        <w:rPr>
          <w:szCs w:val="20"/>
        </w:rPr>
      </w:pPr>
    </w:p>
    <w:p w14:paraId="09D0D531" w14:textId="77777777" w:rsidR="00CC02F6" w:rsidRPr="00CC02F6" w:rsidRDefault="00CC02F6" w:rsidP="00CC02F6">
      <w:pPr>
        <w:pStyle w:val="Heading2"/>
      </w:pPr>
      <w:bookmarkStart w:id="23" w:name="_Toc416727091"/>
      <w:r w:rsidRPr="00CC02F6">
        <w:t xml:space="preserve">4.2: </w:t>
      </w:r>
      <w:r>
        <w:t>Open Licenses</w:t>
      </w:r>
      <w:bookmarkEnd w:id="23"/>
    </w:p>
    <w:p w14:paraId="2B8F5FFD" w14:textId="77777777" w:rsidR="00117232" w:rsidRDefault="00117232" w:rsidP="00CC02F6">
      <w:pPr>
        <w:rPr>
          <w:i/>
          <w:szCs w:val="20"/>
        </w:rPr>
      </w:pPr>
    </w:p>
    <w:p w14:paraId="366246AD" w14:textId="77777777" w:rsidR="00C616A0" w:rsidRPr="0044460E" w:rsidRDefault="003D513E" w:rsidP="00CC02F6">
      <w:pPr>
        <w:rPr>
          <w:i/>
          <w:color w:val="0000FF"/>
          <w:szCs w:val="20"/>
        </w:rPr>
      </w:pPr>
      <w:r w:rsidRPr="0044460E">
        <w:rPr>
          <w:i/>
          <w:color w:val="0000FF"/>
          <w:szCs w:val="20"/>
        </w:rPr>
        <w:t>[Center-specific guidance related to suitable open licenses.]</w:t>
      </w:r>
    </w:p>
    <w:p w14:paraId="733E258C" w14:textId="77777777" w:rsidR="003D513E" w:rsidRDefault="003D513E" w:rsidP="00CC02F6">
      <w:pPr>
        <w:rPr>
          <w:i/>
          <w:szCs w:val="20"/>
        </w:rPr>
      </w:pPr>
    </w:p>
    <w:p w14:paraId="32336FBC" w14:textId="77777777" w:rsidR="003D513E" w:rsidRDefault="003D513E" w:rsidP="00CC02F6">
      <w:pPr>
        <w:rPr>
          <w:szCs w:val="20"/>
        </w:rPr>
      </w:pPr>
      <w:r>
        <w:rPr>
          <w:szCs w:val="20"/>
        </w:rPr>
        <w:t>Article 4.1.5 states that ‘</w:t>
      </w:r>
      <w:r w:rsidRPr="003D513E">
        <w:rPr>
          <w:i/>
          <w:szCs w:val="20"/>
        </w:rPr>
        <w:t>Suitable open licenses shall be used that recognize the legal rights to information products and encourage their use and adaptation.</w:t>
      </w:r>
      <w:r>
        <w:rPr>
          <w:szCs w:val="20"/>
        </w:rPr>
        <w:t>’</w:t>
      </w:r>
    </w:p>
    <w:p w14:paraId="7A524D25" w14:textId="77777777" w:rsidR="003D513E" w:rsidRDefault="003D513E" w:rsidP="00CC02F6">
      <w:pPr>
        <w:rPr>
          <w:szCs w:val="20"/>
        </w:rPr>
      </w:pPr>
    </w:p>
    <w:p w14:paraId="42667A14" w14:textId="77777777" w:rsidR="00DE0320" w:rsidRDefault="003D513E" w:rsidP="00DE0320">
      <w:pPr>
        <w:rPr>
          <w:szCs w:val="20"/>
        </w:rPr>
      </w:pPr>
      <w:r>
        <w:rPr>
          <w:szCs w:val="20"/>
        </w:rPr>
        <w:t>In addition to providing greater access to knowledge, Open Access and Open Data also include provisions for allowing for the rights for others</w:t>
      </w:r>
      <w:r w:rsidR="00DE0320">
        <w:rPr>
          <w:szCs w:val="20"/>
        </w:rPr>
        <w:t xml:space="preserve"> to reuse information products – which means using appropriate open licenses. </w:t>
      </w:r>
    </w:p>
    <w:p w14:paraId="706631FF" w14:textId="77777777" w:rsidR="00DE0320" w:rsidRDefault="00DE0320" w:rsidP="00DE0320">
      <w:pPr>
        <w:rPr>
          <w:szCs w:val="20"/>
        </w:rPr>
      </w:pPr>
    </w:p>
    <w:p w14:paraId="1B98F096" w14:textId="350809A6" w:rsidR="00DE0320" w:rsidRPr="0044460E" w:rsidRDefault="00DE0320" w:rsidP="00DE0320">
      <w:pPr>
        <w:rPr>
          <w:i/>
          <w:szCs w:val="20"/>
        </w:rPr>
      </w:pPr>
      <w:r w:rsidRPr="0044460E">
        <w:rPr>
          <w:i/>
          <w:color w:val="0000FF"/>
          <w:szCs w:val="20"/>
        </w:rPr>
        <w:t>[A variety of open licenses exist; Centers/CRPs should work with their IP focal points to recommend specific licenses via the Implementation Plan. For publications and data, Creative Commons Attribution licenses (CC-BY 4.0) are becoming the norm for Open Access and Open Data policies</w:t>
      </w:r>
      <w:r w:rsidR="0030658A">
        <w:rPr>
          <w:i/>
          <w:color w:val="0000FF"/>
          <w:szCs w:val="20"/>
        </w:rPr>
        <w:t xml:space="preserve"> (and is in fact mandated by the Bill and Melinda Gates Foundation)</w:t>
      </w:r>
      <w:r w:rsidRPr="0044460E">
        <w:rPr>
          <w:i/>
          <w:color w:val="0000FF"/>
          <w:szCs w:val="20"/>
        </w:rPr>
        <w:t>.</w:t>
      </w:r>
      <w:r w:rsidRPr="0044460E">
        <w:rPr>
          <w:rStyle w:val="FootnoteReference"/>
          <w:i/>
          <w:color w:val="0000FF"/>
          <w:szCs w:val="20"/>
        </w:rPr>
        <w:footnoteReference w:id="5"/>
      </w:r>
      <w:r w:rsidRPr="0044460E">
        <w:rPr>
          <w:i/>
          <w:color w:val="0000FF"/>
          <w:szCs w:val="20"/>
        </w:rPr>
        <w:t xml:space="preserve"> The GNU General Public License (GNU GPL) is often used for software and programming code.</w:t>
      </w:r>
      <w:r w:rsidRPr="0044460E">
        <w:rPr>
          <w:rStyle w:val="FootnoteReference"/>
          <w:i/>
          <w:color w:val="0000FF"/>
          <w:szCs w:val="20"/>
        </w:rPr>
        <w:footnoteReference w:id="6"/>
      </w:r>
      <w:r w:rsidR="0044460E" w:rsidRPr="0044460E">
        <w:rPr>
          <w:i/>
          <w:color w:val="0000FF"/>
          <w:szCs w:val="20"/>
        </w:rPr>
        <w:t>]</w:t>
      </w:r>
      <w:r w:rsidRPr="0044460E">
        <w:rPr>
          <w:i/>
          <w:szCs w:val="20"/>
        </w:rPr>
        <w:t xml:space="preserve"> </w:t>
      </w:r>
    </w:p>
    <w:p w14:paraId="548CBD86" w14:textId="77777777" w:rsidR="00C616A0" w:rsidRDefault="00C616A0" w:rsidP="00CC02F6">
      <w:pPr>
        <w:rPr>
          <w:szCs w:val="20"/>
        </w:rPr>
      </w:pPr>
    </w:p>
    <w:p w14:paraId="364F9678" w14:textId="77777777" w:rsidR="00CC02F6" w:rsidRDefault="00CC02F6" w:rsidP="00CC02F6">
      <w:pPr>
        <w:pStyle w:val="Heading2"/>
      </w:pPr>
      <w:bookmarkStart w:id="24" w:name="_Toc416727092"/>
      <w:r>
        <w:t>4.3: Guidance for Authors</w:t>
      </w:r>
      <w:bookmarkEnd w:id="24"/>
    </w:p>
    <w:p w14:paraId="264C5CCD" w14:textId="77777777" w:rsidR="00CC02F6" w:rsidRPr="0044460E" w:rsidRDefault="00CC02F6" w:rsidP="00CC02F6">
      <w:pPr>
        <w:rPr>
          <w:i/>
          <w:color w:val="0000FF"/>
          <w:szCs w:val="20"/>
        </w:rPr>
      </w:pPr>
      <w:r w:rsidRPr="0044460E">
        <w:rPr>
          <w:i/>
          <w:color w:val="0000FF"/>
          <w:szCs w:val="20"/>
        </w:rPr>
        <w:t>[</w:t>
      </w:r>
      <w:r w:rsidR="0044460E">
        <w:rPr>
          <w:i/>
          <w:color w:val="0000FF"/>
          <w:szCs w:val="20"/>
        </w:rPr>
        <w:t>It is recommended that Centers include or link to g</w:t>
      </w:r>
      <w:r w:rsidRPr="0044460E">
        <w:rPr>
          <w:i/>
          <w:color w:val="0000FF"/>
          <w:szCs w:val="20"/>
        </w:rPr>
        <w:t>uidance for authors in the</w:t>
      </w:r>
      <w:r w:rsidR="0044460E">
        <w:rPr>
          <w:i/>
          <w:color w:val="0000FF"/>
          <w:szCs w:val="20"/>
        </w:rPr>
        <w:t>ir</w:t>
      </w:r>
      <w:r w:rsidRPr="0044460E">
        <w:rPr>
          <w:i/>
          <w:color w:val="0000FF"/>
          <w:szCs w:val="20"/>
        </w:rPr>
        <w:t xml:space="preserve"> implementation</w:t>
      </w:r>
      <w:r w:rsidR="0044460E">
        <w:rPr>
          <w:i/>
          <w:color w:val="0000FF"/>
          <w:szCs w:val="20"/>
        </w:rPr>
        <w:t xml:space="preserve"> plans.]</w:t>
      </w:r>
    </w:p>
    <w:p w14:paraId="5A90EAD4" w14:textId="77777777" w:rsidR="0044460E" w:rsidRPr="00A34113" w:rsidRDefault="0044460E" w:rsidP="00CC02F6">
      <w:pPr>
        <w:rPr>
          <w:szCs w:val="20"/>
        </w:rPr>
      </w:pPr>
    </w:p>
    <w:p w14:paraId="048DB65D" w14:textId="77777777" w:rsidR="00C616A0" w:rsidRPr="00A34113" w:rsidRDefault="00CC02F6" w:rsidP="00CC02F6">
      <w:pPr>
        <w:pStyle w:val="Heading2"/>
      </w:pPr>
      <w:bookmarkStart w:id="25" w:name="_Toc416727093"/>
      <w:r>
        <w:t xml:space="preserve">4.4: </w:t>
      </w:r>
      <w:r w:rsidR="00C616A0" w:rsidRPr="00A34113">
        <w:t>Translations</w:t>
      </w:r>
      <w:bookmarkEnd w:id="25"/>
    </w:p>
    <w:p w14:paraId="4B99BE1D" w14:textId="77777777" w:rsidR="0044460E" w:rsidRDefault="00CC02F6" w:rsidP="00CC02F6">
      <w:pPr>
        <w:rPr>
          <w:i/>
          <w:color w:val="0000FF"/>
          <w:szCs w:val="20"/>
        </w:rPr>
      </w:pPr>
      <w:r w:rsidRPr="0044460E">
        <w:rPr>
          <w:i/>
          <w:color w:val="0000FF"/>
          <w:szCs w:val="20"/>
        </w:rPr>
        <w:t>[</w:t>
      </w:r>
      <w:r w:rsidR="0044460E">
        <w:rPr>
          <w:i/>
          <w:color w:val="0000FF"/>
          <w:szCs w:val="20"/>
        </w:rPr>
        <w:t>Use this subsection to address how recommended licenses will allow for re-use such as translations of information products and ways in which translations are encouraged. If specific open licenses were recommended in section 4.2, it is important that these licenses are open enough to allow for translations and other types of re-use.]</w:t>
      </w:r>
    </w:p>
    <w:p w14:paraId="641F3E71" w14:textId="77777777" w:rsidR="0044460E" w:rsidRDefault="0044460E" w:rsidP="00CC02F6">
      <w:pPr>
        <w:rPr>
          <w:i/>
          <w:color w:val="0000FF"/>
          <w:szCs w:val="20"/>
        </w:rPr>
      </w:pPr>
    </w:p>
    <w:p w14:paraId="1DAB6213" w14:textId="3AADE04A" w:rsidR="0044460E" w:rsidRDefault="0044460E" w:rsidP="00CC02F6">
      <w:pPr>
        <w:rPr>
          <w:i/>
          <w:szCs w:val="20"/>
        </w:rPr>
      </w:pPr>
      <w:r w:rsidRPr="0044460E">
        <w:rPr>
          <w:szCs w:val="20"/>
        </w:rPr>
        <w:t>Article 4.1.7</w:t>
      </w:r>
      <w:r>
        <w:rPr>
          <w:szCs w:val="20"/>
        </w:rPr>
        <w:t xml:space="preserve"> of the CGIAR Open Access and Data Management Policy</w:t>
      </w:r>
      <w:r w:rsidRPr="0044460E">
        <w:rPr>
          <w:szCs w:val="20"/>
        </w:rPr>
        <w:t xml:space="preserve"> states that </w:t>
      </w:r>
      <w:r w:rsidRPr="0044460E">
        <w:rPr>
          <w:i/>
          <w:szCs w:val="20"/>
        </w:rPr>
        <w:t>‘</w:t>
      </w:r>
      <w:r w:rsidR="00C12B0F" w:rsidRPr="0044460E">
        <w:rPr>
          <w:i/>
          <w:szCs w:val="20"/>
        </w:rPr>
        <w:t xml:space="preserve">Translations </w:t>
      </w:r>
      <w:proofErr w:type="gramStart"/>
      <w:r w:rsidR="00C12B0F" w:rsidRPr="0044460E">
        <w:rPr>
          <w:i/>
          <w:szCs w:val="20"/>
        </w:rPr>
        <w:t>of</w:t>
      </w:r>
      <w:r w:rsidRPr="0044460E">
        <w:rPr>
          <w:i/>
          <w:szCs w:val="20"/>
        </w:rPr>
        <w:t xml:space="preserve">  key</w:t>
      </w:r>
      <w:proofErr w:type="gramEnd"/>
      <w:r w:rsidRPr="0044460E">
        <w:rPr>
          <w:i/>
          <w:szCs w:val="20"/>
        </w:rPr>
        <w:t xml:space="preserve">  documents  and  other  media  into  pertinent  languages  are encouraged. All versions should be deposited in suitable repositories and made Open Access.’</w:t>
      </w:r>
    </w:p>
    <w:p w14:paraId="52DE3164" w14:textId="77777777" w:rsidR="0044460E" w:rsidRDefault="0044460E" w:rsidP="00CC02F6">
      <w:pPr>
        <w:rPr>
          <w:i/>
          <w:szCs w:val="20"/>
        </w:rPr>
      </w:pPr>
    </w:p>
    <w:p w14:paraId="3119B5E7" w14:textId="77777777" w:rsidR="0044460E" w:rsidRPr="0044460E" w:rsidRDefault="0044460E" w:rsidP="00CC02F6">
      <w:pPr>
        <w:rPr>
          <w:i/>
          <w:szCs w:val="20"/>
        </w:rPr>
      </w:pPr>
      <w:r w:rsidRPr="0044460E">
        <w:rPr>
          <w:i/>
          <w:color w:val="0000FF"/>
          <w:szCs w:val="20"/>
        </w:rPr>
        <w:t>&lt;Center/CRP&gt;</w:t>
      </w:r>
      <w:r>
        <w:rPr>
          <w:szCs w:val="20"/>
        </w:rPr>
        <w:t xml:space="preserve"> encourages adoption of CC-BY licenses; these licenses allow for re-use of information products, including translations. </w:t>
      </w:r>
    </w:p>
    <w:p w14:paraId="19B433F6" w14:textId="77777777" w:rsidR="00E80A76" w:rsidRDefault="00E80A76" w:rsidP="0044460E"/>
    <w:p w14:paraId="313A2242" w14:textId="77777777" w:rsidR="003D513E" w:rsidRDefault="00524C73" w:rsidP="0044460E">
      <w:pPr>
        <w:rPr>
          <w:szCs w:val="20"/>
        </w:rPr>
      </w:pPr>
      <w:r>
        <w:rPr>
          <w:noProof/>
          <w:szCs w:val="20"/>
        </w:rPr>
        <mc:AlternateContent>
          <mc:Choice Requires="wps">
            <w:drawing>
              <wp:anchor distT="0" distB="0" distL="114300" distR="114300" simplePos="0" relativeHeight="251659264" behindDoc="0" locked="0" layoutInCell="1" allowOverlap="1" wp14:anchorId="3B8E22CC" wp14:editId="56D9CD24">
                <wp:simplePos x="0" y="0"/>
                <wp:positionH relativeFrom="column">
                  <wp:posOffset>0</wp:posOffset>
                </wp:positionH>
                <wp:positionV relativeFrom="paragraph">
                  <wp:posOffset>101092</wp:posOffset>
                </wp:positionV>
                <wp:extent cx="5705856" cy="7315"/>
                <wp:effectExtent l="19050" t="19050" r="28575" b="31115"/>
                <wp:wrapNone/>
                <wp:docPr id="2" name="Straight Connector 2"/>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0FAB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95pt" to="449.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" strokecolor="black [3213]" strokeweight="3pt">
                <v:stroke joinstyle="miter"/>
              </v:line>
            </w:pict>
          </mc:Fallback>
        </mc:AlternateContent>
      </w:r>
    </w:p>
    <w:p w14:paraId="1E41192B" w14:textId="77777777" w:rsidR="00C616A0" w:rsidRPr="00A34113" w:rsidRDefault="00C616A0" w:rsidP="00AC6A9B">
      <w:pPr>
        <w:pStyle w:val="Heading1"/>
      </w:pPr>
      <w:bookmarkStart w:id="26" w:name="_Toc416727094"/>
      <w:r w:rsidRPr="00A34113">
        <w:t xml:space="preserve">Section </w:t>
      </w:r>
      <w:r w:rsidR="00F77D3B">
        <w:t>5</w:t>
      </w:r>
      <w:r w:rsidRPr="00A34113">
        <w:t>: OA/DM Teams and Staffing</w:t>
      </w:r>
      <w:bookmarkEnd w:id="26"/>
    </w:p>
    <w:p w14:paraId="426F3C45" w14:textId="77777777" w:rsidR="003D5FEC" w:rsidRDefault="003D5FEC" w:rsidP="00C616A0">
      <w:pPr>
        <w:rPr>
          <w:szCs w:val="20"/>
        </w:rPr>
      </w:pPr>
    </w:p>
    <w:p w14:paraId="4067FF01" w14:textId="77777777" w:rsidR="00C616A0" w:rsidRPr="003D5FEC" w:rsidRDefault="003D5FEC" w:rsidP="00C616A0">
      <w:pPr>
        <w:rPr>
          <w:i/>
          <w:szCs w:val="20"/>
        </w:rPr>
      </w:pPr>
      <w:r w:rsidRPr="003D5FEC">
        <w:rPr>
          <w:i/>
          <w:color w:val="0000FF"/>
          <w:szCs w:val="20"/>
        </w:rPr>
        <w:t>[Use this section to describe who is responsible for Open Access and Open Data operations at the day-to-day operational level, management and oversight of Open Access and Open Data, and the make-up of any cross-functional teams.</w:t>
      </w:r>
      <w:r>
        <w:rPr>
          <w:i/>
          <w:color w:val="0000FF"/>
          <w:szCs w:val="20"/>
        </w:rPr>
        <w:t xml:space="preserve"> Reconfigure this section as appropriate based on the Center’s organizational structure.</w:t>
      </w:r>
      <w:r w:rsidRPr="003D5FEC">
        <w:rPr>
          <w:i/>
          <w:color w:val="0000FF"/>
          <w:szCs w:val="20"/>
        </w:rPr>
        <w:t>]</w:t>
      </w:r>
    </w:p>
    <w:p w14:paraId="70AE9E54" w14:textId="77777777" w:rsidR="003D5FEC" w:rsidRDefault="003D5FEC" w:rsidP="00C616A0">
      <w:pPr>
        <w:rPr>
          <w:szCs w:val="20"/>
        </w:rPr>
      </w:pPr>
    </w:p>
    <w:p w14:paraId="75FCFBF7" w14:textId="77777777" w:rsidR="00F77D3B" w:rsidRDefault="00F77D3B" w:rsidP="001B3F7A">
      <w:pPr>
        <w:pStyle w:val="Heading2"/>
      </w:pPr>
      <w:bookmarkStart w:id="27" w:name="_Toc416727095"/>
      <w:r>
        <w:t>5.</w:t>
      </w:r>
      <w:r w:rsidR="003D5FEC">
        <w:t>1</w:t>
      </w:r>
      <w:r>
        <w:t>: Day-to-Day Operations</w:t>
      </w:r>
      <w:bookmarkEnd w:id="27"/>
    </w:p>
    <w:p w14:paraId="055B31E3" w14:textId="77777777" w:rsidR="00F77D3B" w:rsidRDefault="00F77D3B" w:rsidP="00C616A0">
      <w:pPr>
        <w:rPr>
          <w:szCs w:val="20"/>
        </w:rPr>
      </w:pPr>
    </w:p>
    <w:p w14:paraId="16958E62" w14:textId="77777777" w:rsidR="003D5FEC" w:rsidRPr="003D5FEC" w:rsidRDefault="003D5FEC" w:rsidP="00C616A0">
      <w:pPr>
        <w:rPr>
          <w:color w:val="0000FF"/>
          <w:szCs w:val="20"/>
        </w:rPr>
      </w:pPr>
      <w:r w:rsidRPr="003D5FEC">
        <w:rPr>
          <w:color w:val="0000FF"/>
          <w:szCs w:val="20"/>
        </w:rPr>
        <w:t>[Describe which team members and/or individuals are responsible for day-to-day operations of Open Access and Open Data/Data Management.]</w:t>
      </w:r>
    </w:p>
    <w:p w14:paraId="028412EE" w14:textId="77777777" w:rsidR="003D5FEC" w:rsidRDefault="003D5FEC" w:rsidP="00C616A0">
      <w:pPr>
        <w:rPr>
          <w:szCs w:val="20"/>
        </w:rPr>
      </w:pPr>
    </w:p>
    <w:p w14:paraId="1FD6F953" w14:textId="77777777" w:rsidR="00F77D3B" w:rsidRDefault="00F77D3B" w:rsidP="001B3F7A">
      <w:pPr>
        <w:pStyle w:val="Heading2"/>
      </w:pPr>
      <w:bookmarkStart w:id="28" w:name="_Toc416727096"/>
      <w:r>
        <w:t>5.</w:t>
      </w:r>
      <w:r w:rsidR="003D5FEC">
        <w:t>2</w:t>
      </w:r>
      <w:r>
        <w:t>: OAIWG and DMTF Representation</w:t>
      </w:r>
      <w:bookmarkEnd w:id="28"/>
    </w:p>
    <w:p w14:paraId="152795DC" w14:textId="77777777" w:rsidR="00F77D3B" w:rsidRDefault="00F77D3B" w:rsidP="00C616A0">
      <w:pPr>
        <w:rPr>
          <w:szCs w:val="20"/>
        </w:rPr>
      </w:pPr>
    </w:p>
    <w:p w14:paraId="2AACE5F3" w14:textId="77777777" w:rsidR="003D5FEC" w:rsidRPr="003D5FEC" w:rsidRDefault="003D5FEC" w:rsidP="00C616A0">
      <w:pPr>
        <w:rPr>
          <w:i/>
          <w:color w:val="0000FF"/>
          <w:szCs w:val="20"/>
        </w:rPr>
      </w:pPr>
      <w:r w:rsidRPr="003D5FEC">
        <w:rPr>
          <w:i/>
          <w:color w:val="0000FF"/>
          <w:szCs w:val="20"/>
        </w:rPr>
        <w:t>[Indicate who the Center/CRP’s representatives are for the CGIAR-wide Open Access Implementation Working Group (OAIWG) and Data Management Task Force (DMTF).]</w:t>
      </w:r>
    </w:p>
    <w:p w14:paraId="45FE6AA0" w14:textId="77777777" w:rsidR="003D5FEC" w:rsidRDefault="003D5FEC" w:rsidP="00C616A0">
      <w:pPr>
        <w:rPr>
          <w:szCs w:val="20"/>
        </w:rPr>
      </w:pPr>
    </w:p>
    <w:p w14:paraId="4C4D63AD" w14:textId="77777777" w:rsidR="003D5FEC" w:rsidRDefault="003D5FEC" w:rsidP="003D5FEC">
      <w:pPr>
        <w:pStyle w:val="Heading2"/>
      </w:pPr>
      <w:bookmarkStart w:id="29" w:name="_Toc416727097"/>
      <w:r>
        <w:t>5.3: &lt;Center/CRP Steering Committee&gt; and Other Internal Partners</w:t>
      </w:r>
      <w:bookmarkEnd w:id="29"/>
    </w:p>
    <w:p w14:paraId="4FF5BEBC" w14:textId="77777777" w:rsidR="003D5FEC" w:rsidRDefault="003D5FEC" w:rsidP="003D5FEC">
      <w:pPr>
        <w:rPr>
          <w:szCs w:val="20"/>
        </w:rPr>
      </w:pPr>
    </w:p>
    <w:p w14:paraId="21A318CD" w14:textId="77777777" w:rsidR="003D5FEC" w:rsidRPr="003D5FEC" w:rsidRDefault="003D5FEC" w:rsidP="003D5FEC">
      <w:pPr>
        <w:rPr>
          <w:i/>
          <w:color w:val="0000FF"/>
          <w:szCs w:val="20"/>
        </w:rPr>
      </w:pPr>
      <w:r w:rsidRPr="003D5FEC">
        <w:rPr>
          <w:i/>
          <w:color w:val="0000FF"/>
          <w:szCs w:val="20"/>
        </w:rPr>
        <w:t>[Use this subsection to describe any Center-specific over</w:t>
      </w:r>
      <w:r>
        <w:rPr>
          <w:i/>
          <w:color w:val="0000FF"/>
          <w:szCs w:val="20"/>
        </w:rPr>
        <w:t xml:space="preserve">sight teams, </w:t>
      </w:r>
      <w:r w:rsidRPr="003D5FEC">
        <w:rPr>
          <w:i/>
          <w:color w:val="0000FF"/>
          <w:szCs w:val="20"/>
        </w:rPr>
        <w:t>steering committees</w:t>
      </w:r>
      <w:r>
        <w:rPr>
          <w:i/>
          <w:color w:val="0000FF"/>
          <w:szCs w:val="20"/>
        </w:rPr>
        <w:t>, and internal partners</w:t>
      </w:r>
      <w:r w:rsidRPr="003D5FEC">
        <w:rPr>
          <w:i/>
          <w:color w:val="0000FF"/>
          <w:szCs w:val="20"/>
        </w:rPr>
        <w:t xml:space="preserve"> – for example:</w:t>
      </w:r>
      <w:r>
        <w:rPr>
          <w:i/>
          <w:color w:val="0000FF"/>
          <w:szCs w:val="20"/>
        </w:rPr>
        <w:t>]</w:t>
      </w:r>
      <w:r w:rsidRPr="003D5FEC">
        <w:rPr>
          <w:i/>
          <w:color w:val="0000FF"/>
          <w:szCs w:val="20"/>
        </w:rPr>
        <w:t xml:space="preserve"> </w:t>
      </w:r>
    </w:p>
    <w:p w14:paraId="08FB3689" w14:textId="77777777" w:rsidR="003D5FEC" w:rsidRPr="003D5FEC" w:rsidRDefault="003D5FEC" w:rsidP="003D5FEC">
      <w:pPr>
        <w:rPr>
          <w:i/>
          <w:color w:val="0000FF"/>
          <w:szCs w:val="20"/>
        </w:rPr>
      </w:pPr>
    </w:p>
    <w:p w14:paraId="2867D2E1" w14:textId="77777777" w:rsidR="003D5FEC" w:rsidRDefault="003D5FEC" w:rsidP="003D5FEC">
      <w:pPr>
        <w:rPr>
          <w:color w:val="000000" w:themeColor="text1"/>
          <w:szCs w:val="20"/>
        </w:rPr>
      </w:pPr>
      <w:r w:rsidRPr="003D5FEC">
        <w:rPr>
          <w:i/>
          <w:color w:val="0000FF"/>
          <w:szCs w:val="20"/>
        </w:rPr>
        <w:t>&lt;Center&gt;</w:t>
      </w:r>
      <w:r w:rsidRPr="003D5FEC">
        <w:rPr>
          <w:color w:val="0000FF"/>
          <w:szCs w:val="20"/>
        </w:rPr>
        <w:t xml:space="preserve"> </w:t>
      </w:r>
      <w:r w:rsidRPr="003D5FEC">
        <w:rPr>
          <w:color w:val="000000" w:themeColor="text1"/>
          <w:szCs w:val="20"/>
        </w:rPr>
        <w:t xml:space="preserve">has an Open Access group with representation from </w:t>
      </w:r>
      <w:r w:rsidRPr="003D5FEC">
        <w:rPr>
          <w:i/>
          <w:color w:val="0000FF"/>
          <w:szCs w:val="20"/>
        </w:rPr>
        <w:t>&lt;the library, KM team, Communications Department, IT, and Legal&gt;</w:t>
      </w:r>
      <w:r w:rsidRPr="003D5FEC">
        <w:rPr>
          <w:color w:val="000000" w:themeColor="text1"/>
          <w:szCs w:val="20"/>
        </w:rPr>
        <w:t xml:space="preserve">. The group is chaired by </w:t>
      </w:r>
      <w:r w:rsidRPr="003D5FEC">
        <w:rPr>
          <w:i/>
          <w:color w:val="0000FF"/>
          <w:szCs w:val="20"/>
        </w:rPr>
        <w:t>&lt;name&gt;</w:t>
      </w:r>
      <w:r w:rsidRPr="003D5FEC">
        <w:rPr>
          <w:color w:val="0000FF"/>
          <w:szCs w:val="20"/>
        </w:rPr>
        <w:t xml:space="preserve"> </w:t>
      </w:r>
      <w:r w:rsidRPr="003D5FEC">
        <w:rPr>
          <w:color w:val="000000" w:themeColor="text1"/>
          <w:szCs w:val="20"/>
        </w:rPr>
        <w:t xml:space="preserve">from </w:t>
      </w:r>
      <w:r w:rsidRPr="003D5FEC">
        <w:rPr>
          <w:i/>
          <w:color w:val="0000FF"/>
          <w:szCs w:val="20"/>
        </w:rPr>
        <w:t>&lt;department/team&gt;</w:t>
      </w:r>
      <w:r w:rsidRPr="003D5FEC">
        <w:rPr>
          <w:color w:val="000000" w:themeColor="text1"/>
          <w:szCs w:val="20"/>
        </w:rPr>
        <w:t>.</w:t>
      </w:r>
      <w:r>
        <w:rPr>
          <w:color w:val="000000" w:themeColor="text1"/>
          <w:szCs w:val="20"/>
        </w:rPr>
        <w:t xml:space="preserve"> The full team includes: </w:t>
      </w:r>
    </w:p>
    <w:p w14:paraId="3211C28D" w14:textId="77777777" w:rsidR="003D5FEC" w:rsidRDefault="003D5FEC" w:rsidP="003D5FEC">
      <w:pPr>
        <w:rPr>
          <w:color w:val="000000" w:themeColor="text1"/>
          <w:szCs w:val="20"/>
        </w:rPr>
      </w:pPr>
    </w:p>
    <w:p w14:paraId="6E6179A1" w14:textId="77777777" w:rsidR="003D5FEC" w:rsidRPr="003D5FEC" w:rsidRDefault="003D5FEC" w:rsidP="003D5FEC">
      <w:pPr>
        <w:pStyle w:val="ListParagraph"/>
        <w:numPr>
          <w:ilvl w:val="0"/>
          <w:numId w:val="11"/>
        </w:numPr>
        <w:rPr>
          <w:i/>
          <w:color w:val="0000FF"/>
          <w:szCs w:val="20"/>
        </w:rPr>
      </w:pPr>
      <w:r w:rsidRPr="003D5FEC">
        <w:rPr>
          <w:i/>
          <w:color w:val="0000FF"/>
          <w:szCs w:val="20"/>
        </w:rPr>
        <w:t>&lt;name&gt;, &lt;department/team&gt;</w:t>
      </w:r>
    </w:p>
    <w:p w14:paraId="2C841099" w14:textId="77777777" w:rsidR="003D5FEC" w:rsidRPr="003D5FEC" w:rsidRDefault="003D5FEC" w:rsidP="003D5FEC">
      <w:pPr>
        <w:pStyle w:val="ListParagraph"/>
        <w:numPr>
          <w:ilvl w:val="0"/>
          <w:numId w:val="11"/>
        </w:numPr>
        <w:rPr>
          <w:i/>
          <w:color w:val="0000FF"/>
          <w:szCs w:val="20"/>
        </w:rPr>
      </w:pPr>
      <w:r w:rsidRPr="003D5FEC">
        <w:rPr>
          <w:i/>
          <w:color w:val="0000FF"/>
          <w:szCs w:val="20"/>
        </w:rPr>
        <w:t>&lt;name&gt;, &lt;department/team&gt;</w:t>
      </w:r>
    </w:p>
    <w:p w14:paraId="617D81D7" w14:textId="77777777" w:rsidR="003D5FEC" w:rsidRPr="003D5FEC" w:rsidRDefault="003D5FEC" w:rsidP="003D5FEC">
      <w:pPr>
        <w:pStyle w:val="ListParagraph"/>
        <w:numPr>
          <w:ilvl w:val="0"/>
          <w:numId w:val="11"/>
        </w:numPr>
        <w:rPr>
          <w:i/>
          <w:color w:val="0000FF"/>
          <w:szCs w:val="20"/>
        </w:rPr>
      </w:pPr>
      <w:r w:rsidRPr="003D5FEC">
        <w:rPr>
          <w:i/>
          <w:color w:val="0000FF"/>
          <w:szCs w:val="20"/>
        </w:rPr>
        <w:t>&lt;name&gt;, &lt;department/team&gt;</w:t>
      </w:r>
    </w:p>
    <w:p w14:paraId="26EB0127" w14:textId="77777777" w:rsidR="003D5FEC" w:rsidRPr="003D5FEC" w:rsidRDefault="003D5FEC" w:rsidP="003D5FEC">
      <w:pPr>
        <w:pStyle w:val="ListParagraph"/>
        <w:numPr>
          <w:ilvl w:val="0"/>
          <w:numId w:val="11"/>
        </w:numPr>
        <w:rPr>
          <w:i/>
          <w:color w:val="0000FF"/>
          <w:szCs w:val="20"/>
        </w:rPr>
      </w:pPr>
      <w:r w:rsidRPr="003D5FEC">
        <w:rPr>
          <w:i/>
          <w:color w:val="0000FF"/>
          <w:szCs w:val="20"/>
        </w:rPr>
        <w:t>&lt;name&gt;, &lt;department/team&gt;</w:t>
      </w:r>
    </w:p>
    <w:p w14:paraId="20980C29" w14:textId="77777777" w:rsidR="001B3F7A" w:rsidRDefault="001B3F7A" w:rsidP="00524C73"/>
    <w:p w14:paraId="04175651" w14:textId="77777777" w:rsidR="00524C73" w:rsidRDefault="00524C73" w:rsidP="00524C73"/>
    <w:p w14:paraId="0E57179A" w14:textId="77777777" w:rsidR="00524C73" w:rsidRDefault="00524C73" w:rsidP="00524C73">
      <w:r>
        <w:rPr>
          <w:noProof/>
          <w:szCs w:val="20"/>
        </w:rPr>
        <mc:AlternateContent>
          <mc:Choice Requires="wps">
            <w:drawing>
              <wp:anchor distT="0" distB="0" distL="114300" distR="114300" simplePos="0" relativeHeight="251661312" behindDoc="0" locked="0" layoutInCell="1" allowOverlap="1" wp14:anchorId="7C9FC088" wp14:editId="17AA152C">
                <wp:simplePos x="0" y="0"/>
                <wp:positionH relativeFrom="column">
                  <wp:posOffset>0</wp:posOffset>
                </wp:positionH>
                <wp:positionV relativeFrom="paragraph">
                  <wp:posOffset>19050</wp:posOffset>
                </wp:positionV>
                <wp:extent cx="5705856" cy="7315"/>
                <wp:effectExtent l="19050" t="19050" r="28575" b="31115"/>
                <wp:wrapNone/>
                <wp:docPr id="3" name="Straight Connector 3"/>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2F06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5pt" to="449.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" strokecolor="black [3213]" strokeweight="3pt">
                <v:stroke joinstyle="miter"/>
              </v:line>
            </w:pict>
          </mc:Fallback>
        </mc:AlternateContent>
      </w:r>
    </w:p>
    <w:p w14:paraId="3E312EEF" w14:textId="77777777" w:rsidR="001156BE" w:rsidRPr="00A34113" w:rsidRDefault="001156BE" w:rsidP="001156BE">
      <w:pPr>
        <w:pStyle w:val="Heading1"/>
      </w:pPr>
      <w:bookmarkStart w:id="30" w:name="_Toc416727098"/>
      <w:r w:rsidRPr="00A34113">
        <w:t xml:space="preserve">Section </w:t>
      </w:r>
      <w:r>
        <w:t>6</w:t>
      </w:r>
      <w:r w:rsidRPr="00A34113">
        <w:t xml:space="preserve">: </w:t>
      </w:r>
      <w:r w:rsidR="00AB5DE2">
        <w:t xml:space="preserve">Promoting and Supporting </w:t>
      </w:r>
      <w:r w:rsidR="00866ECF">
        <w:t xml:space="preserve">Researchers’ Implementation of </w:t>
      </w:r>
      <w:r w:rsidR="00AB5DE2">
        <w:t>OA for Publications</w:t>
      </w:r>
      <w:bookmarkEnd w:id="30"/>
    </w:p>
    <w:p w14:paraId="7FE2654E" w14:textId="77777777" w:rsidR="001156BE" w:rsidRDefault="001156BE" w:rsidP="001156BE">
      <w:pPr>
        <w:rPr>
          <w:szCs w:val="20"/>
        </w:rPr>
      </w:pPr>
    </w:p>
    <w:p w14:paraId="2B55636A" w14:textId="77777777" w:rsidR="001156BE" w:rsidRPr="00F77D3B" w:rsidRDefault="001156BE" w:rsidP="001156BE">
      <w:pPr>
        <w:rPr>
          <w:i/>
          <w:color w:val="0000FF"/>
          <w:szCs w:val="20"/>
        </w:rPr>
      </w:pPr>
      <w:r w:rsidRPr="00F77D3B">
        <w:rPr>
          <w:i/>
          <w:color w:val="0000FF"/>
          <w:szCs w:val="20"/>
        </w:rPr>
        <w:t>[Most of the information included in this section is not explicitly referenced in the Open Access and Data Management Policy or implementation guidelines; however, Centers/CRPs are highly encouraged to address these issues as part of the implementation planning process, and thus it is recommended that these subsections are included in implementation plans.</w:t>
      </w:r>
      <w:r w:rsidR="00AB5DE2">
        <w:rPr>
          <w:i/>
          <w:color w:val="0000FF"/>
          <w:szCs w:val="20"/>
        </w:rPr>
        <w:t xml:space="preserve"> Furthermore, the information captured in these sections will be useful for other CGIAR Centers to generate ideas and share best practices.</w:t>
      </w:r>
      <w:r w:rsidRPr="00F77D3B">
        <w:rPr>
          <w:i/>
          <w:color w:val="0000FF"/>
          <w:szCs w:val="20"/>
        </w:rPr>
        <w:t>]</w:t>
      </w:r>
    </w:p>
    <w:p w14:paraId="05D39993" w14:textId="77777777" w:rsidR="00F77D3B" w:rsidRDefault="00F77D3B" w:rsidP="00F77D3B"/>
    <w:p w14:paraId="21B75B7F" w14:textId="77777777" w:rsidR="00F77D3B" w:rsidRDefault="00F77D3B" w:rsidP="00F77D3B">
      <w:pPr>
        <w:pStyle w:val="Heading2"/>
      </w:pPr>
      <w:bookmarkStart w:id="31" w:name="_Toc416727099"/>
      <w:r>
        <w:t>6.1: Deposit Workflows for OA Publications Repository</w:t>
      </w:r>
      <w:bookmarkEnd w:id="31"/>
    </w:p>
    <w:p w14:paraId="123DC85E" w14:textId="77777777" w:rsidR="00F77D3B" w:rsidRDefault="00F77D3B" w:rsidP="00F77D3B"/>
    <w:p w14:paraId="673C7E96" w14:textId="77777777" w:rsidR="00F77D3B" w:rsidRPr="006618B6" w:rsidRDefault="00F77D3B" w:rsidP="00F77D3B">
      <w:pPr>
        <w:rPr>
          <w:i/>
          <w:color w:val="0000FF"/>
        </w:rPr>
      </w:pPr>
      <w:r w:rsidRPr="006618B6">
        <w:rPr>
          <w:i/>
          <w:color w:val="0000FF"/>
        </w:rPr>
        <w:t>[This subsection should be used to include a high-level overview of the process to deposit an item i</w:t>
      </w:r>
      <w:r w:rsidR="00CD3341">
        <w:rPr>
          <w:i/>
          <w:color w:val="0000FF"/>
        </w:rPr>
        <w:t>nto the publication repository. Describe in words or with a simple diagram, whichever is easier.]</w:t>
      </w:r>
    </w:p>
    <w:p w14:paraId="16D1226D" w14:textId="77777777" w:rsidR="00F77D3B" w:rsidRDefault="00F77D3B" w:rsidP="00F77D3B"/>
    <w:p w14:paraId="70227295" w14:textId="77777777" w:rsidR="00CD3341" w:rsidRPr="00CD3341" w:rsidRDefault="00CD3341" w:rsidP="00F77D3B">
      <w:pPr>
        <w:rPr>
          <w:i/>
        </w:rPr>
      </w:pPr>
      <w:r w:rsidRPr="00CD3341">
        <w:rPr>
          <w:i/>
          <w:color w:val="0000FF"/>
        </w:rPr>
        <w:t>[If the Center/CRP does not yet have an operational repository, it is important to indicate how materials are being captured, collected, and described as an interim step while the repository is being developed.]</w:t>
      </w:r>
    </w:p>
    <w:p w14:paraId="7492A6CD" w14:textId="77777777" w:rsidR="00CD3341" w:rsidRDefault="00CD3341" w:rsidP="00F77D3B">
      <w:pPr>
        <w:rPr>
          <w:szCs w:val="20"/>
        </w:rPr>
      </w:pPr>
    </w:p>
    <w:p w14:paraId="3915FD3C" w14:textId="77777777" w:rsidR="00AB5DE2" w:rsidRDefault="00AB5DE2" w:rsidP="006618B6">
      <w:pPr>
        <w:pStyle w:val="Heading2"/>
      </w:pPr>
      <w:bookmarkStart w:id="32" w:name="_Toc416727100"/>
      <w:r>
        <w:t>6.2: Author Guidance</w:t>
      </w:r>
      <w:bookmarkEnd w:id="32"/>
    </w:p>
    <w:p w14:paraId="1BA0BCE4" w14:textId="77777777" w:rsidR="0080274C" w:rsidRDefault="0080274C" w:rsidP="00AB5DE2">
      <w:pPr>
        <w:rPr>
          <w:i/>
          <w:color w:val="0000FF"/>
          <w:szCs w:val="20"/>
        </w:rPr>
      </w:pPr>
    </w:p>
    <w:p w14:paraId="007B455B" w14:textId="77777777" w:rsidR="00AB5DE2" w:rsidRPr="00AB5DE2" w:rsidRDefault="00AB5DE2" w:rsidP="00AB5DE2">
      <w:pPr>
        <w:rPr>
          <w:i/>
          <w:szCs w:val="20"/>
        </w:rPr>
      </w:pPr>
      <w:r w:rsidRPr="005C6936">
        <w:rPr>
          <w:i/>
          <w:color w:val="0000FF"/>
          <w:szCs w:val="20"/>
        </w:rPr>
        <w:t>[This subsection should capture and share current plans for dealing with issues specific to OA for publication such as guidance for author</w:t>
      </w:r>
      <w:r>
        <w:rPr>
          <w:i/>
          <w:color w:val="0000FF"/>
          <w:szCs w:val="20"/>
        </w:rPr>
        <w:t>s, using author addendum, information about Creative Commons licenses, guidance on where to publish, etc</w:t>
      </w:r>
      <w:r w:rsidRPr="005C6936">
        <w:rPr>
          <w:i/>
          <w:color w:val="0000FF"/>
          <w:szCs w:val="20"/>
        </w:rPr>
        <w:t xml:space="preserve">. If such materials are available as standalone documents, please include </w:t>
      </w:r>
      <w:proofErr w:type="spellStart"/>
      <w:r w:rsidRPr="005C6936">
        <w:rPr>
          <w:i/>
          <w:color w:val="0000FF"/>
          <w:szCs w:val="20"/>
        </w:rPr>
        <w:t>urls</w:t>
      </w:r>
      <w:proofErr w:type="spellEnd"/>
      <w:r w:rsidRPr="005C6936">
        <w:rPr>
          <w:i/>
          <w:color w:val="0000FF"/>
          <w:szCs w:val="20"/>
        </w:rPr>
        <w:t>. If such items are only available within a locked intranet, please attach as an annex.]</w:t>
      </w:r>
    </w:p>
    <w:p w14:paraId="14207553" w14:textId="77777777" w:rsidR="00AB5DE2" w:rsidRPr="00AB5DE2" w:rsidRDefault="00AB5DE2" w:rsidP="00AB5DE2"/>
    <w:p w14:paraId="3C41ACA6" w14:textId="77777777" w:rsidR="00F77D3B" w:rsidRDefault="00AB5DE2" w:rsidP="006618B6">
      <w:pPr>
        <w:pStyle w:val="Heading2"/>
      </w:pPr>
      <w:bookmarkStart w:id="33" w:name="_Toc416727101"/>
      <w:r>
        <w:t>6.3</w:t>
      </w:r>
      <w:r w:rsidR="00F77D3B">
        <w:t xml:space="preserve">: </w:t>
      </w:r>
      <w:r>
        <w:t>Funding for OA Fees</w:t>
      </w:r>
      <w:bookmarkEnd w:id="33"/>
    </w:p>
    <w:p w14:paraId="3E8923D3" w14:textId="77777777" w:rsidR="00F77D3B" w:rsidRDefault="00F77D3B" w:rsidP="00F77D3B">
      <w:pPr>
        <w:rPr>
          <w:szCs w:val="20"/>
        </w:rPr>
      </w:pPr>
    </w:p>
    <w:p w14:paraId="2E302AC6" w14:textId="77777777" w:rsidR="005C6936" w:rsidRPr="00AB5DE2" w:rsidRDefault="005C6936" w:rsidP="00F77D3B">
      <w:pPr>
        <w:rPr>
          <w:i/>
          <w:color w:val="0000FF"/>
          <w:szCs w:val="20"/>
        </w:rPr>
      </w:pPr>
      <w:r w:rsidRPr="005C6936">
        <w:rPr>
          <w:i/>
          <w:color w:val="0000FF"/>
          <w:szCs w:val="20"/>
        </w:rPr>
        <w:t>[This subsection should capture and share current plans for dealing with issues specific to</w:t>
      </w:r>
      <w:r w:rsidR="00AB5DE2">
        <w:rPr>
          <w:i/>
          <w:color w:val="0000FF"/>
          <w:szCs w:val="20"/>
        </w:rPr>
        <w:t xml:space="preserve"> expenses related to Open Access publishing fees – article-processing charges (APCs), hybrid OA journal fees (i.e. payments to allow authors to opt-in to publish with an OA license or gain permission to deposit in an OA repository), guidance for integrating OA into funding proposals, etc. </w:t>
      </w:r>
      <w:r w:rsidRPr="005C6936">
        <w:rPr>
          <w:i/>
          <w:color w:val="0000FF"/>
          <w:szCs w:val="20"/>
        </w:rPr>
        <w:t xml:space="preserve">If such materials are available as standalone documents, please include </w:t>
      </w:r>
      <w:proofErr w:type="spellStart"/>
      <w:r w:rsidRPr="005C6936">
        <w:rPr>
          <w:i/>
          <w:color w:val="0000FF"/>
          <w:szCs w:val="20"/>
        </w:rPr>
        <w:t>urls</w:t>
      </w:r>
      <w:proofErr w:type="spellEnd"/>
      <w:r w:rsidRPr="005C6936">
        <w:rPr>
          <w:i/>
          <w:color w:val="0000FF"/>
          <w:szCs w:val="20"/>
        </w:rPr>
        <w:t>. If such items are only available within a locked intranet, please attach as an annex.]</w:t>
      </w:r>
    </w:p>
    <w:p w14:paraId="08E5AE99" w14:textId="77777777" w:rsidR="00AB5DE2" w:rsidRDefault="00AB5DE2" w:rsidP="00F77D3B">
      <w:pPr>
        <w:rPr>
          <w:szCs w:val="20"/>
        </w:rPr>
      </w:pPr>
    </w:p>
    <w:p w14:paraId="6E67CDB0" w14:textId="77777777" w:rsidR="0080274C" w:rsidRPr="0080274C" w:rsidRDefault="0080274C" w:rsidP="00F77D3B">
      <w:pPr>
        <w:rPr>
          <w:i/>
          <w:szCs w:val="20"/>
        </w:rPr>
      </w:pPr>
      <w:r w:rsidRPr="0080274C">
        <w:rPr>
          <w:i/>
          <w:color w:val="0000FF"/>
          <w:szCs w:val="20"/>
        </w:rPr>
        <w:t>[If the Center/CRP has negotiated any Center-specific fees or arrangements with publishers, please explain here.]</w:t>
      </w:r>
    </w:p>
    <w:p w14:paraId="1F4ADC4A" w14:textId="77777777" w:rsidR="0080274C" w:rsidRDefault="0080274C" w:rsidP="00F77D3B">
      <w:pPr>
        <w:rPr>
          <w:szCs w:val="20"/>
        </w:rPr>
      </w:pPr>
    </w:p>
    <w:p w14:paraId="15F1C665" w14:textId="77777777" w:rsidR="00AB5DE2" w:rsidRDefault="00AB5DE2" w:rsidP="00AB5DE2">
      <w:pPr>
        <w:pStyle w:val="Heading2"/>
      </w:pPr>
      <w:bookmarkStart w:id="34" w:name="_Toc416727102"/>
      <w:r>
        <w:t>6.4: Internal Communication Strategy</w:t>
      </w:r>
      <w:bookmarkEnd w:id="34"/>
    </w:p>
    <w:p w14:paraId="7754DD6A" w14:textId="77777777" w:rsidR="00AB5DE2" w:rsidRPr="00A34113" w:rsidRDefault="00AB5DE2" w:rsidP="0080274C"/>
    <w:p w14:paraId="0DBF2BB7" w14:textId="77777777" w:rsidR="00AB5DE2" w:rsidRPr="00CA6801" w:rsidRDefault="00AB5DE2" w:rsidP="00AB5DE2">
      <w:pPr>
        <w:rPr>
          <w:i/>
          <w:szCs w:val="20"/>
        </w:rPr>
      </w:pPr>
      <w:r w:rsidRPr="006618B6">
        <w:rPr>
          <w:i/>
          <w:color w:val="0000FF"/>
          <w:szCs w:val="20"/>
        </w:rPr>
        <w:t>[Ove</w:t>
      </w:r>
      <w:r>
        <w:rPr>
          <w:i/>
          <w:color w:val="0000FF"/>
          <w:szCs w:val="20"/>
        </w:rPr>
        <w:t xml:space="preserve">rview of communication strategy and ways to raise awareness about implementation among researchers. The internal communication strategy or advocacy plan should be approached jointly for Open Access and Open Data </w:t>
      </w:r>
      <w:proofErr w:type="gramStart"/>
      <w:r>
        <w:rPr>
          <w:i/>
          <w:color w:val="0000FF"/>
          <w:szCs w:val="20"/>
        </w:rPr>
        <w:t>in order to</w:t>
      </w:r>
      <w:proofErr w:type="gramEnd"/>
      <w:r>
        <w:rPr>
          <w:i/>
          <w:color w:val="0000FF"/>
          <w:szCs w:val="20"/>
        </w:rPr>
        <w:t xml:space="preserve"> present a cohesive message.</w:t>
      </w:r>
      <w:r w:rsidRPr="006618B6">
        <w:rPr>
          <w:i/>
          <w:color w:val="0000FF"/>
          <w:szCs w:val="20"/>
        </w:rPr>
        <w:t>]</w:t>
      </w:r>
    </w:p>
    <w:p w14:paraId="79FCB6DC" w14:textId="77777777" w:rsidR="00AB5DE2" w:rsidRDefault="00AB5DE2" w:rsidP="00F77D3B">
      <w:pPr>
        <w:rPr>
          <w:szCs w:val="20"/>
        </w:rPr>
      </w:pPr>
    </w:p>
    <w:p w14:paraId="6F001CA4" w14:textId="77777777" w:rsidR="00AB5DE2" w:rsidRDefault="0080274C" w:rsidP="00F77D3B">
      <w:pPr>
        <w:rPr>
          <w:szCs w:val="20"/>
        </w:rPr>
      </w:pPr>
      <w:r>
        <w:rPr>
          <w:noProof/>
          <w:szCs w:val="20"/>
        </w:rPr>
        <mc:AlternateContent>
          <mc:Choice Requires="wps">
            <w:drawing>
              <wp:anchor distT="0" distB="0" distL="114300" distR="114300" simplePos="0" relativeHeight="251673600" behindDoc="0" locked="0" layoutInCell="1" allowOverlap="1" wp14:anchorId="72FB04E2" wp14:editId="22F75262">
                <wp:simplePos x="0" y="0"/>
                <wp:positionH relativeFrom="column">
                  <wp:posOffset>0</wp:posOffset>
                </wp:positionH>
                <wp:positionV relativeFrom="paragraph">
                  <wp:posOffset>19050</wp:posOffset>
                </wp:positionV>
                <wp:extent cx="5705856" cy="7315"/>
                <wp:effectExtent l="19050" t="19050" r="28575" b="31115"/>
                <wp:wrapNone/>
                <wp:docPr id="9" name="Straight Connector 9"/>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8B986"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1.5pt" to="449.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" strokecolor="black [3213]" strokeweight="3pt">
                <v:stroke joinstyle="miter"/>
              </v:line>
            </w:pict>
          </mc:Fallback>
        </mc:AlternateContent>
      </w:r>
    </w:p>
    <w:p w14:paraId="7257B031" w14:textId="77777777" w:rsidR="0080274C" w:rsidRPr="00A34113" w:rsidRDefault="0080274C" w:rsidP="0080274C">
      <w:pPr>
        <w:pStyle w:val="Heading1"/>
      </w:pPr>
      <w:bookmarkStart w:id="35" w:name="_Toc416727103"/>
      <w:r w:rsidRPr="00A34113">
        <w:t xml:space="preserve">Section </w:t>
      </w:r>
      <w:r>
        <w:t>7</w:t>
      </w:r>
      <w:r w:rsidRPr="00A34113">
        <w:t xml:space="preserve">: </w:t>
      </w:r>
      <w:r>
        <w:t>Promoting and Supporting Researchers’ Implementation of Open Data and Data Management</w:t>
      </w:r>
      <w:bookmarkEnd w:id="35"/>
    </w:p>
    <w:p w14:paraId="290F484E" w14:textId="77777777" w:rsidR="0080274C" w:rsidRDefault="0080274C" w:rsidP="00F77D3B">
      <w:pPr>
        <w:rPr>
          <w:szCs w:val="20"/>
        </w:rPr>
      </w:pPr>
    </w:p>
    <w:p w14:paraId="4A559F98" w14:textId="77777777" w:rsidR="00866ECF" w:rsidRDefault="00866ECF" w:rsidP="00866ECF">
      <w:pPr>
        <w:pStyle w:val="Heading2"/>
      </w:pPr>
      <w:bookmarkStart w:id="36" w:name="_Toc416727104"/>
      <w:r>
        <w:t>7.1: Deposit Workflow for Open Data Repository</w:t>
      </w:r>
      <w:bookmarkEnd w:id="36"/>
    </w:p>
    <w:p w14:paraId="51D85A17" w14:textId="77777777" w:rsidR="00866ECF" w:rsidRDefault="00866ECF" w:rsidP="00866ECF"/>
    <w:p w14:paraId="74051652" w14:textId="77777777" w:rsidR="00866ECF" w:rsidRPr="006618B6" w:rsidRDefault="00866ECF" w:rsidP="00866ECF">
      <w:pPr>
        <w:rPr>
          <w:i/>
          <w:color w:val="0000FF"/>
        </w:rPr>
      </w:pPr>
      <w:r w:rsidRPr="006618B6">
        <w:rPr>
          <w:i/>
          <w:color w:val="0000FF"/>
        </w:rPr>
        <w:t>[This subsection should be used to include a high-level overview of the process to deposit an item into the data repository.</w:t>
      </w:r>
      <w:r>
        <w:rPr>
          <w:i/>
          <w:color w:val="0000FF"/>
        </w:rPr>
        <w:t xml:space="preserve"> Describe in words or with a simple diagram, whichever is easier.</w:t>
      </w:r>
      <w:r w:rsidRPr="006618B6">
        <w:rPr>
          <w:i/>
          <w:color w:val="0000FF"/>
        </w:rPr>
        <w:t>]</w:t>
      </w:r>
    </w:p>
    <w:p w14:paraId="02362C32" w14:textId="77777777" w:rsidR="00866ECF" w:rsidRDefault="00866ECF" w:rsidP="00866ECF">
      <w:pPr>
        <w:rPr>
          <w:szCs w:val="20"/>
        </w:rPr>
      </w:pPr>
    </w:p>
    <w:p w14:paraId="734A3CEC" w14:textId="77777777" w:rsidR="00866ECF" w:rsidRDefault="00866ECF" w:rsidP="00F77D3B">
      <w:pPr>
        <w:rPr>
          <w:szCs w:val="20"/>
        </w:rPr>
      </w:pPr>
      <w:r w:rsidRPr="00CD3341">
        <w:rPr>
          <w:i/>
          <w:color w:val="0000FF"/>
        </w:rPr>
        <w:t>[If the Center/CRP does not yet have an operational repository, it is important to indicate how materials are being captured, collected, and described as an interim step while the</w:t>
      </w:r>
      <w:r w:rsidR="0080274C">
        <w:rPr>
          <w:i/>
          <w:color w:val="0000FF"/>
        </w:rPr>
        <w:t xml:space="preserve"> data</w:t>
      </w:r>
      <w:r w:rsidRPr="00CD3341">
        <w:rPr>
          <w:i/>
          <w:color w:val="0000FF"/>
        </w:rPr>
        <w:t xml:space="preserve"> repository is being developed.]</w:t>
      </w:r>
    </w:p>
    <w:p w14:paraId="021023E0" w14:textId="77777777" w:rsidR="00F77D3B" w:rsidRDefault="00F77D3B" w:rsidP="00F77D3B">
      <w:pPr>
        <w:ind w:left="720"/>
        <w:rPr>
          <w:szCs w:val="20"/>
        </w:rPr>
      </w:pPr>
    </w:p>
    <w:p w14:paraId="403CEF6A" w14:textId="77777777" w:rsidR="00F77D3B" w:rsidRDefault="00866ECF" w:rsidP="006618B6">
      <w:pPr>
        <w:pStyle w:val="Heading2"/>
      </w:pPr>
      <w:bookmarkStart w:id="37" w:name="_Toc416727105"/>
      <w:r>
        <w:t>7</w:t>
      </w:r>
      <w:r w:rsidR="00F77D3B">
        <w:t>.</w:t>
      </w:r>
      <w:r>
        <w:t>2</w:t>
      </w:r>
      <w:r w:rsidR="00F77D3B">
        <w:t>: Support for Data Management Practices</w:t>
      </w:r>
      <w:r w:rsidR="0080274C">
        <w:t xml:space="preserve"> and Data Quality</w:t>
      </w:r>
      <w:bookmarkEnd w:id="37"/>
    </w:p>
    <w:p w14:paraId="7CB98156" w14:textId="77777777" w:rsidR="00F77D3B" w:rsidRDefault="00F77D3B" w:rsidP="00F77D3B">
      <w:pPr>
        <w:rPr>
          <w:szCs w:val="20"/>
        </w:rPr>
      </w:pPr>
    </w:p>
    <w:p w14:paraId="65DDB6AB" w14:textId="2117A424" w:rsidR="0080274C" w:rsidRDefault="005C6936" w:rsidP="00F77D3B">
      <w:pPr>
        <w:rPr>
          <w:i/>
          <w:color w:val="0000FF"/>
          <w:szCs w:val="20"/>
        </w:rPr>
      </w:pPr>
      <w:r w:rsidRPr="005C6936">
        <w:rPr>
          <w:i/>
          <w:color w:val="0000FF"/>
          <w:szCs w:val="20"/>
        </w:rPr>
        <w:t xml:space="preserve">[This subsection should capture and share current plans for dealing with issues specific to </w:t>
      </w:r>
      <w:r>
        <w:rPr>
          <w:i/>
          <w:color w:val="0000FF"/>
          <w:szCs w:val="20"/>
        </w:rPr>
        <w:t>Open Data</w:t>
      </w:r>
      <w:r w:rsidRPr="005C6936">
        <w:rPr>
          <w:i/>
          <w:color w:val="0000FF"/>
          <w:szCs w:val="20"/>
        </w:rPr>
        <w:t xml:space="preserve"> such as </w:t>
      </w:r>
      <w:r>
        <w:rPr>
          <w:i/>
          <w:color w:val="0000FF"/>
          <w:szCs w:val="20"/>
        </w:rPr>
        <w:t>when to p</w:t>
      </w:r>
      <w:r w:rsidR="0080274C">
        <w:rPr>
          <w:i/>
          <w:color w:val="0000FF"/>
          <w:szCs w:val="20"/>
        </w:rPr>
        <w:t>ublish data in a repository or working with</w:t>
      </w:r>
      <w:r>
        <w:rPr>
          <w:i/>
          <w:color w:val="0000FF"/>
          <w:szCs w:val="20"/>
        </w:rPr>
        <w:t xml:space="preserve"> </w:t>
      </w:r>
      <w:r w:rsidR="007E152A">
        <w:rPr>
          <w:i/>
          <w:color w:val="0000FF"/>
          <w:szCs w:val="20"/>
        </w:rPr>
        <w:t>data citations</w:t>
      </w:r>
      <w:r>
        <w:rPr>
          <w:i/>
          <w:color w:val="0000FF"/>
          <w:szCs w:val="20"/>
        </w:rPr>
        <w:t xml:space="preserve">. </w:t>
      </w:r>
      <w:r w:rsidRPr="005C6936">
        <w:rPr>
          <w:i/>
          <w:color w:val="0000FF"/>
          <w:szCs w:val="20"/>
        </w:rPr>
        <w:t xml:space="preserve">If such materials are available as standalone documents, please include </w:t>
      </w:r>
      <w:proofErr w:type="spellStart"/>
      <w:r w:rsidRPr="005C6936">
        <w:rPr>
          <w:i/>
          <w:color w:val="0000FF"/>
          <w:szCs w:val="20"/>
        </w:rPr>
        <w:t>urls</w:t>
      </w:r>
      <w:proofErr w:type="spellEnd"/>
      <w:r w:rsidRPr="005C6936">
        <w:rPr>
          <w:i/>
          <w:color w:val="0000FF"/>
          <w:szCs w:val="20"/>
        </w:rPr>
        <w:t>. If such items are only available within a locked intranet, please attach as an annex.</w:t>
      </w:r>
      <w:r w:rsidR="00373DCB">
        <w:rPr>
          <w:i/>
          <w:color w:val="0000FF"/>
          <w:szCs w:val="20"/>
        </w:rPr>
        <w:t xml:space="preserve"> </w:t>
      </w:r>
      <w:r w:rsidR="0080274C" w:rsidRPr="0080274C">
        <w:rPr>
          <w:i/>
          <w:color w:val="0000FF"/>
          <w:szCs w:val="20"/>
        </w:rPr>
        <w:t>Please use this section to highlight how the Center/CRP is dealing with data quality.]</w:t>
      </w:r>
    </w:p>
    <w:p w14:paraId="2B783BE4" w14:textId="77777777" w:rsidR="009A0501" w:rsidRDefault="009A0501" w:rsidP="00F77D3B">
      <w:pPr>
        <w:rPr>
          <w:i/>
          <w:color w:val="0000FF"/>
          <w:szCs w:val="20"/>
        </w:rPr>
      </w:pPr>
    </w:p>
    <w:p w14:paraId="5D24C592" w14:textId="77777777" w:rsidR="009A0501" w:rsidRDefault="009A0501" w:rsidP="009A0501">
      <w:pPr>
        <w:pStyle w:val="Heading2"/>
      </w:pPr>
      <w:bookmarkStart w:id="38" w:name="_Toc415564946"/>
      <w:bookmarkStart w:id="39" w:name="_Toc416727106"/>
      <w:r>
        <w:t>7.3: Data Streams</w:t>
      </w:r>
      <w:bookmarkEnd w:id="38"/>
      <w:bookmarkEnd w:id="39"/>
    </w:p>
    <w:p w14:paraId="66BC4FFF" w14:textId="77777777" w:rsidR="009A0501" w:rsidRDefault="009A0501" w:rsidP="009A0501"/>
    <w:p w14:paraId="6155E14C" w14:textId="77777777" w:rsidR="009A0501" w:rsidRPr="00760EA5" w:rsidRDefault="009A0501" w:rsidP="009A0501">
      <w:pPr>
        <w:rPr>
          <w:i/>
          <w:color w:val="0000FF"/>
        </w:rPr>
      </w:pPr>
      <w:r w:rsidRPr="00760EA5">
        <w:rPr>
          <w:i/>
          <w:color w:val="0000FF"/>
        </w:rPr>
        <w:t xml:space="preserve">[CGIAR research covers a wide range of subject areas, sectors, and data streams, including but not limited to, data related to: genetics/genomics; </w:t>
      </w:r>
      <w:proofErr w:type="spellStart"/>
      <w:r w:rsidRPr="00760EA5">
        <w:rPr>
          <w:i/>
          <w:color w:val="0000FF"/>
        </w:rPr>
        <w:t>genebanks</w:t>
      </w:r>
      <w:proofErr w:type="spellEnd"/>
      <w:r w:rsidRPr="00760EA5">
        <w:rPr>
          <w:i/>
          <w:color w:val="0000FF"/>
        </w:rPr>
        <w:t>; agronomy; breeding; natural resource management – including soils, hydrology, climate, and more; socioeconomics – including surveys, food security, poverty, livelihoods, nutrition, and allied areas; geospatial information, and other sectors.]</w:t>
      </w:r>
    </w:p>
    <w:p w14:paraId="36B0FD85" w14:textId="77777777" w:rsidR="009A0501" w:rsidRPr="00760EA5" w:rsidRDefault="009A0501" w:rsidP="009A0501">
      <w:pPr>
        <w:rPr>
          <w:i/>
          <w:color w:val="0000FF"/>
        </w:rPr>
      </w:pPr>
    </w:p>
    <w:p w14:paraId="3EFABA26" w14:textId="71DA20E0" w:rsidR="009A0501" w:rsidRPr="00760EA5" w:rsidRDefault="009A0501" w:rsidP="009A0501">
      <w:pPr>
        <w:rPr>
          <w:i/>
          <w:color w:val="0000FF"/>
        </w:rPr>
      </w:pPr>
      <w:r w:rsidRPr="00760EA5">
        <w:rPr>
          <w:i/>
          <w:color w:val="0000FF"/>
        </w:rPr>
        <w:t xml:space="preserve">[Several of these data streams might require subject-specific support – for instance, different types of tools, services, systems, or metadata to further enhance discovery and usability of data from that stream and/or allied areas. Please use this section to highlight how the Center/CRP is dealing with nuances related </w:t>
      </w:r>
      <w:proofErr w:type="gramStart"/>
      <w:r w:rsidRPr="00760EA5">
        <w:rPr>
          <w:i/>
          <w:color w:val="0000FF"/>
        </w:rPr>
        <w:t>to  particul</w:t>
      </w:r>
      <w:r>
        <w:rPr>
          <w:i/>
          <w:color w:val="0000FF"/>
        </w:rPr>
        <w:t>ar</w:t>
      </w:r>
      <w:proofErr w:type="gramEnd"/>
      <w:r>
        <w:rPr>
          <w:i/>
          <w:color w:val="0000FF"/>
        </w:rPr>
        <w:t xml:space="preserve"> data stream</w:t>
      </w:r>
      <w:r w:rsidR="005830D2">
        <w:rPr>
          <w:i/>
          <w:color w:val="0000FF"/>
        </w:rPr>
        <w:t>s</w:t>
      </w:r>
      <w:r>
        <w:rPr>
          <w:i/>
          <w:color w:val="0000FF"/>
        </w:rPr>
        <w:t xml:space="preserve"> –ways in which a data stream is being supported in a different way or through any specialized services, tools, systems, or metadata.</w:t>
      </w:r>
      <w:r w:rsidRPr="00760EA5">
        <w:rPr>
          <w:i/>
          <w:color w:val="0000FF"/>
        </w:rPr>
        <w:t>]</w:t>
      </w:r>
    </w:p>
    <w:p w14:paraId="3E9E6210" w14:textId="77777777" w:rsidR="009A0501" w:rsidRDefault="009A0501" w:rsidP="00F77D3B">
      <w:pPr>
        <w:rPr>
          <w:i/>
          <w:color w:val="0000FF"/>
          <w:szCs w:val="20"/>
        </w:rPr>
      </w:pPr>
    </w:p>
    <w:p w14:paraId="05B5B543" w14:textId="77777777" w:rsidR="00E80A76" w:rsidRDefault="00E80A76" w:rsidP="00524C73"/>
    <w:p w14:paraId="26F77779" w14:textId="77777777" w:rsidR="00524C73" w:rsidRDefault="00524C73" w:rsidP="00524C73">
      <w:r>
        <w:rPr>
          <w:noProof/>
          <w:szCs w:val="20"/>
        </w:rPr>
        <mc:AlternateContent>
          <mc:Choice Requires="wps">
            <w:drawing>
              <wp:anchor distT="0" distB="0" distL="114300" distR="114300" simplePos="0" relativeHeight="251663360" behindDoc="0" locked="0" layoutInCell="1" allowOverlap="1" wp14:anchorId="05202BE2" wp14:editId="3E402C02">
                <wp:simplePos x="0" y="0"/>
                <wp:positionH relativeFrom="column">
                  <wp:posOffset>0</wp:posOffset>
                </wp:positionH>
                <wp:positionV relativeFrom="paragraph">
                  <wp:posOffset>19050</wp:posOffset>
                </wp:positionV>
                <wp:extent cx="5705856" cy="7315"/>
                <wp:effectExtent l="19050" t="19050" r="28575" b="31115"/>
                <wp:wrapNone/>
                <wp:docPr id="4" name="Straight Connector 4"/>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45C41"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5pt" to="449.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" strokecolor="black [3213]" strokeweight="3pt">
                <v:stroke joinstyle="miter"/>
              </v:line>
            </w:pict>
          </mc:Fallback>
        </mc:AlternateContent>
      </w:r>
    </w:p>
    <w:p w14:paraId="7EAF3645" w14:textId="77777777" w:rsidR="00C616A0" w:rsidRPr="00CC02F6" w:rsidRDefault="00866ECF" w:rsidP="00CC02F6">
      <w:pPr>
        <w:pStyle w:val="Heading1"/>
        <w:rPr>
          <w:b/>
          <w:szCs w:val="20"/>
        </w:rPr>
      </w:pPr>
      <w:bookmarkStart w:id="40" w:name="_Toc416727107"/>
      <w:r>
        <w:t>Section 8</w:t>
      </w:r>
      <w:r w:rsidR="00C616A0" w:rsidRPr="00A34113">
        <w:t>: Financial Administration</w:t>
      </w:r>
      <w:bookmarkEnd w:id="40"/>
    </w:p>
    <w:p w14:paraId="22C1E2B0" w14:textId="77777777" w:rsidR="00C616A0" w:rsidRDefault="00C616A0" w:rsidP="00C616A0">
      <w:pPr>
        <w:rPr>
          <w:szCs w:val="20"/>
        </w:rPr>
      </w:pPr>
    </w:p>
    <w:p w14:paraId="032249E4" w14:textId="77777777" w:rsidR="00816A65" w:rsidRDefault="00866ECF" w:rsidP="00816A65">
      <w:pPr>
        <w:pStyle w:val="Heading2"/>
      </w:pPr>
      <w:bookmarkStart w:id="41" w:name="_Toc416727108"/>
      <w:r>
        <w:t>8</w:t>
      </w:r>
      <w:r w:rsidR="00816A65">
        <w:t>.1: Major Expenses</w:t>
      </w:r>
      <w:bookmarkEnd w:id="41"/>
    </w:p>
    <w:p w14:paraId="55795C09" w14:textId="77777777" w:rsidR="00816A65" w:rsidRDefault="00816A65" w:rsidP="00C616A0">
      <w:pPr>
        <w:rPr>
          <w:szCs w:val="20"/>
        </w:rPr>
      </w:pPr>
    </w:p>
    <w:p w14:paraId="2BCCA58E" w14:textId="77777777" w:rsidR="00CA6801" w:rsidRDefault="00C837AD">
      <w:pPr>
        <w:rPr>
          <w:i/>
          <w:color w:val="0000FF"/>
          <w:szCs w:val="20"/>
        </w:rPr>
      </w:pPr>
      <w:r w:rsidRPr="00C837AD">
        <w:rPr>
          <w:i/>
          <w:color w:val="0000FF"/>
          <w:szCs w:val="20"/>
        </w:rPr>
        <w:t>[Use this section to present the budget for Open Access/Open Data. Identify any significant expenses.]</w:t>
      </w:r>
    </w:p>
    <w:p w14:paraId="64F812B9" w14:textId="77777777" w:rsidR="00CA6801" w:rsidRDefault="00CA6801">
      <w:pPr>
        <w:rPr>
          <w:i/>
          <w:color w:val="0000FF"/>
          <w:szCs w:val="20"/>
        </w:rPr>
      </w:pPr>
    </w:p>
    <w:p w14:paraId="1BF330C1" w14:textId="77777777" w:rsidR="00D5416E" w:rsidRPr="00C837AD" w:rsidRDefault="00C837AD" w:rsidP="00C837AD">
      <w:pPr>
        <w:jc w:val="center"/>
        <w:rPr>
          <w:b/>
          <w:szCs w:val="20"/>
        </w:rPr>
      </w:pPr>
      <w:r w:rsidRPr="00C837AD">
        <w:rPr>
          <w:b/>
          <w:szCs w:val="20"/>
        </w:rPr>
        <w:t>Table 2: Open Access/Open Data</w:t>
      </w:r>
      <w:r>
        <w:rPr>
          <w:b/>
          <w:szCs w:val="20"/>
        </w:rPr>
        <w:t xml:space="preserve"> Budget for 2015</w:t>
      </w:r>
    </w:p>
    <w:tbl>
      <w:tblPr>
        <w:tblStyle w:val="TableGrid"/>
        <w:tblW w:w="0" w:type="auto"/>
        <w:tblLook w:val="04A0" w:firstRow="1" w:lastRow="0" w:firstColumn="1" w:lastColumn="0" w:noHBand="0" w:noVBand="1"/>
      </w:tblPr>
      <w:tblGrid>
        <w:gridCol w:w="2875"/>
        <w:gridCol w:w="1260"/>
        <w:gridCol w:w="4680"/>
      </w:tblGrid>
      <w:tr w:rsidR="001A4CFC" w:rsidRPr="00246A7A" w14:paraId="593C1B9D" w14:textId="77777777" w:rsidTr="00ED3661">
        <w:tc>
          <w:tcPr>
            <w:tcW w:w="2875" w:type="dxa"/>
            <w:shd w:val="clear" w:color="auto" w:fill="808080" w:themeFill="background1" w:themeFillShade="80"/>
          </w:tcPr>
          <w:p w14:paraId="5BA22504" w14:textId="77777777" w:rsidR="001A4CFC" w:rsidRPr="00246A7A" w:rsidRDefault="001A4CFC" w:rsidP="00C616A0">
            <w:pPr>
              <w:rPr>
                <w:b/>
                <w:sz w:val="18"/>
                <w:szCs w:val="18"/>
              </w:rPr>
            </w:pPr>
            <w:r w:rsidRPr="00246A7A">
              <w:rPr>
                <w:b/>
                <w:sz w:val="18"/>
                <w:szCs w:val="18"/>
              </w:rPr>
              <w:t>Line Item</w:t>
            </w:r>
          </w:p>
        </w:tc>
        <w:tc>
          <w:tcPr>
            <w:tcW w:w="1260" w:type="dxa"/>
            <w:shd w:val="clear" w:color="auto" w:fill="808080" w:themeFill="background1" w:themeFillShade="80"/>
          </w:tcPr>
          <w:p w14:paraId="7673008A" w14:textId="77777777" w:rsidR="001A4CFC" w:rsidRPr="00246A7A" w:rsidRDefault="001A4CFC" w:rsidP="00C616A0">
            <w:pPr>
              <w:rPr>
                <w:b/>
                <w:sz w:val="18"/>
                <w:szCs w:val="18"/>
              </w:rPr>
            </w:pPr>
            <w:r w:rsidRPr="00246A7A">
              <w:rPr>
                <w:b/>
                <w:sz w:val="18"/>
                <w:szCs w:val="18"/>
              </w:rPr>
              <w:t>Amount</w:t>
            </w:r>
          </w:p>
        </w:tc>
        <w:tc>
          <w:tcPr>
            <w:tcW w:w="4680" w:type="dxa"/>
            <w:shd w:val="clear" w:color="auto" w:fill="808080" w:themeFill="background1" w:themeFillShade="80"/>
          </w:tcPr>
          <w:p w14:paraId="34E8922A" w14:textId="77777777" w:rsidR="001A4CFC" w:rsidRPr="00246A7A" w:rsidRDefault="001A4CFC" w:rsidP="00C616A0">
            <w:pPr>
              <w:rPr>
                <w:b/>
                <w:sz w:val="18"/>
                <w:szCs w:val="18"/>
              </w:rPr>
            </w:pPr>
            <w:r w:rsidRPr="00246A7A">
              <w:rPr>
                <w:b/>
                <w:sz w:val="18"/>
                <w:szCs w:val="18"/>
              </w:rPr>
              <w:t>Explanatory Notes</w:t>
            </w:r>
          </w:p>
        </w:tc>
      </w:tr>
      <w:tr w:rsidR="001A4CFC" w:rsidRPr="00246A7A" w14:paraId="75FE70ED" w14:textId="77777777" w:rsidTr="001A4CFC">
        <w:tc>
          <w:tcPr>
            <w:tcW w:w="8815" w:type="dxa"/>
            <w:gridSpan w:val="3"/>
            <w:shd w:val="clear" w:color="auto" w:fill="D9D9D9" w:themeFill="background1" w:themeFillShade="D9"/>
          </w:tcPr>
          <w:p w14:paraId="71FC4560" w14:textId="77777777" w:rsidR="001A4CFC" w:rsidRPr="00246A7A" w:rsidRDefault="001A4CFC" w:rsidP="00C616A0">
            <w:pPr>
              <w:rPr>
                <w:b/>
                <w:i/>
                <w:sz w:val="18"/>
                <w:szCs w:val="18"/>
              </w:rPr>
            </w:pPr>
            <w:r w:rsidRPr="00246A7A">
              <w:rPr>
                <w:b/>
                <w:i/>
                <w:sz w:val="18"/>
                <w:szCs w:val="18"/>
              </w:rPr>
              <w:t xml:space="preserve">IT/Infrastructure: </w:t>
            </w:r>
          </w:p>
        </w:tc>
      </w:tr>
      <w:tr w:rsidR="001A4CFC" w:rsidRPr="00246A7A" w14:paraId="1D7483A0" w14:textId="77777777" w:rsidTr="00ED3661">
        <w:tc>
          <w:tcPr>
            <w:tcW w:w="2875" w:type="dxa"/>
          </w:tcPr>
          <w:p w14:paraId="3D3F3A72" w14:textId="77777777" w:rsidR="001A4CFC" w:rsidRPr="00246A7A" w:rsidRDefault="001A4CFC" w:rsidP="00C616A0">
            <w:pPr>
              <w:rPr>
                <w:sz w:val="18"/>
                <w:szCs w:val="18"/>
              </w:rPr>
            </w:pPr>
            <w:r w:rsidRPr="00246A7A">
              <w:rPr>
                <w:sz w:val="18"/>
                <w:szCs w:val="18"/>
              </w:rPr>
              <w:t>Data Repository</w:t>
            </w:r>
          </w:p>
        </w:tc>
        <w:tc>
          <w:tcPr>
            <w:tcW w:w="1260" w:type="dxa"/>
          </w:tcPr>
          <w:p w14:paraId="3DB1F51D" w14:textId="77777777" w:rsidR="001A4CFC" w:rsidRPr="00246A7A" w:rsidRDefault="001A4CFC" w:rsidP="00C616A0">
            <w:pPr>
              <w:rPr>
                <w:sz w:val="18"/>
                <w:szCs w:val="18"/>
              </w:rPr>
            </w:pPr>
          </w:p>
        </w:tc>
        <w:tc>
          <w:tcPr>
            <w:tcW w:w="4680" w:type="dxa"/>
          </w:tcPr>
          <w:p w14:paraId="6F15413C" w14:textId="77777777" w:rsidR="001A4CFC" w:rsidRPr="00246A7A" w:rsidRDefault="001A4CFC" w:rsidP="00C616A0">
            <w:pPr>
              <w:rPr>
                <w:sz w:val="18"/>
                <w:szCs w:val="18"/>
              </w:rPr>
            </w:pPr>
          </w:p>
        </w:tc>
      </w:tr>
      <w:tr w:rsidR="001A4CFC" w:rsidRPr="00246A7A" w14:paraId="6629AEC6" w14:textId="77777777" w:rsidTr="00ED3661">
        <w:tc>
          <w:tcPr>
            <w:tcW w:w="2875" w:type="dxa"/>
          </w:tcPr>
          <w:p w14:paraId="19EA4919" w14:textId="77777777" w:rsidR="001A4CFC" w:rsidRPr="00246A7A" w:rsidRDefault="001A4CFC" w:rsidP="00C616A0">
            <w:pPr>
              <w:rPr>
                <w:sz w:val="18"/>
                <w:szCs w:val="18"/>
              </w:rPr>
            </w:pPr>
            <w:r w:rsidRPr="00246A7A">
              <w:rPr>
                <w:sz w:val="18"/>
                <w:szCs w:val="18"/>
              </w:rPr>
              <w:t>Publications Repository</w:t>
            </w:r>
          </w:p>
        </w:tc>
        <w:tc>
          <w:tcPr>
            <w:tcW w:w="1260" w:type="dxa"/>
          </w:tcPr>
          <w:p w14:paraId="4C0311DB" w14:textId="77777777" w:rsidR="001A4CFC" w:rsidRPr="00246A7A" w:rsidRDefault="001A4CFC" w:rsidP="00C616A0">
            <w:pPr>
              <w:rPr>
                <w:sz w:val="18"/>
                <w:szCs w:val="18"/>
              </w:rPr>
            </w:pPr>
          </w:p>
        </w:tc>
        <w:tc>
          <w:tcPr>
            <w:tcW w:w="4680" w:type="dxa"/>
          </w:tcPr>
          <w:p w14:paraId="2CD0ED3B" w14:textId="77777777" w:rsidR="001A4CFC" w:rsidRPr="00246A7A" w:rsidRDefault="001A4CFC" w:rsidP="00C616A0">
            <w:pPr>
              <w:rPr>
                <w:sz w:val="18"/>
                <w:szCs w:val="18"/>
              </w:rPr>
            </w:pPr>
          </w:p>
        </w:tc>
      </w:tr>
      <w:tr w:rsidR="001A4CFC" w:rsidRPr="00246A7A" w14:paraId="53FFDB6D" w14:textId="77777777" w:rsidTr="00ED3661">
        <w:tc>
          <w:tcPr>
            <w:tcW w:w="2875" w:type="dxa"/>
          </w:tcPr>
          <w:p w14:paraId="6822C090" w14:textId="77777777" w:rsidR="001A4CFC" w:rsidRPr="00246A7A" w:rsidRDefault="001A4CFC" w:rsidP="00C616A0">
            <w:pPr>
              <w:rPr>
                <w:sz w:val="18"/>
                <w:szCs w:val="18"/>
              </w:rPr>
            </w:pPr>
            <w:r w:rsidRPr="00246A7A">
              <w:rPr>
                <w:sz w:val="18"/>
                <w:szCs w:val="18"/>
              </w:rPr>
              <w:t>Hardware</w:t>
            </w:r>
          </w:p>
        </w:tc>
        <w:tc>
          <w:tcPr>
            <w:tcW w:w="1260" w:type="dxa"/>
          </w:tcPr>
          <w:p w14:paraId="18423DF7" w14:textId="77777777" w:rsidR="001A4CFC" w:rsidRPr="00246A7A" w:rsidRDefault="001A4CFC" w:rsidP="00C616A0">
            <w:pPr>
              <w:rPr>
                <w:sz w:val="18"/>
                <w:szCs w:val="18"/>
              </w:rPr>
            </w:pPr>
          </w:p>
        </w:tc>
        <w:tc>
          <w:tcPr>
            <w:tcW w:w="4680" w:type="dxa"/>
          </w:tcPr>
          <w:p w14:paraId="404FE48D" w14:textId="77777777" w:rsidR="001A4CFC" w:rsidRPr="00246A7A" w:rsidRDefault="001A4CFC" w:rsidP="00C616A0">
            <w:pPr>
              <w:rPr>
                <w:i/>
                <w:sz w:val="18"/>
                <w:szCs w:val="18"/>
              </w:rPr>
            </w:pPr>
            <w:r w:rsidRPr="00246A7A">
              <w:rPr>
                <w:i/>
                <w:color w:val="0000FF"/>
                <w:sz w:val="18"/>
                <w:szCs w:val="18"/>
              </w:rPr>
              <w:t>&lt;Computers, servers, other equipment&gt;</w:t>
            </w:r>
          </w:p>
        </w:tc>
      </w:tr>
      <w:tr w:rsidR="001A4CFC" w:rsidRPr="00246A7A" w14:paraId="50269AA5" w14:textId="77777777" w:rsidTr="00ED3661">
        <w:tc>
          <w:tcPr>
            <w:tcW w:w="2875" w:type="dxa"/>
          </w:tcPr>
          <w:p w14:paraId="1991B526" w14:textId="77777777" w:rsidR="001A4CFC" w:rsidRPr="00246A7A" w:rsidRDefault="001A4CFC" w:rsidP="00C616A0">
            <w:pPr>
              <w:rPr>
                <w:sz w:val="18"/>
                <w:szCs w:val="18"/>
              </w:rPr>
            </w:pPr>
            <w:r w:rsidRPr="00246A7A">
              <w:rPr>
                <w:sz w:val="18"/>
                <w:szCs w:val="18"/>
              </w:rPr>
              <w:t>Programming/development</w:t>
            </w:r>
          </w:p>
        </w:tc>
        <w:tc>
          <w:tcPr>
            <w:tcW w:w="1260" w:type="dxa"/>
          </w:tcPr>
          <w:p w14:paraId="05DF3066" w14:textId="77777777" w:rsidR="001A4CFC" w:rsidRPr="00246A7A" w:rsidRDefault="001A4CFC" w:rsidP="00C616A0">
            <w:pPr>
              <w:rPr>
                <w:sz w:val="18"/>
                <w:szCs w:val="18"/>
              </w:rPr>
            </w:pPr>
          </w:p>
        </w:tc>
        <w:tc>
          <w:tcPr>
            <w:tcW w:w="4680" w:type="dxa"/>
          </w:tcPr>
          <w:p w14:paraId="5E50785E" w14:textId="77777777" w:rsidR="001A4CFC" w:rsidRPr="00246A7A" w:rsidRDefault="001A4CFC" w:rsidP="001A4CFC">
            <w:pPr>
              <w:rPr>
                <w:i/>
                <w:color w:val="0000FF"/>
                <w:sz w:val="18"/>
                <w:szCs w:val="18"/>
              </w:rPr>
            </w:pPr>
            <w:r w:rsidRPr="00246A7A">
              <w:rPr>
                <w:i/>
                <w:color w:val="0000FF"/>
                <w:sz w:val="18"/>
                <w:szCs w:val="18"/>
              </w:rPr>
              <w:t>&lt;identify which repository&gt;</w:t>
            </w:r>
          </w:p>
        </w:tc>
      </w:tr>
      <w:tr w:rsidR="001A4CFC" w:rsidRPr="00246A7A" w14:paraId="391759DF" w14:textId="77777777" w:rsidTr="00ED3661">
        <w:tc>
          <w:tcPr>
            <w:tcW w:w="2875" w:type="dxa"/>
          </w:tcPr>
          <w:p w14:paraId="74078661" w14:textId="77777777" w:rsidR="001A4CFC" w:rsidRPr="00246A7A" w:rsidRDefault="001A4CFC" w:rsidP="00C616A0">
            <w:pPr>
              <w:rPr>
                <w:sz w:val="18"/>
                <w:szCs w:val="18"/>
              </w:rPr>
            </w:pPr>
            <w:r w:rsidRPr="00246A7A">
              <w:rPr>
                <w:sz w:val="18"/>
                <w:szCs w:val="18"/>
              </w:rPr>
              <w:t>Annual maintenance fees</w:t>
            </w:r>
          </w:p>
        </w:tc>
        <w:tc>
          <w:tcPr>
            <w:tcW w:w="1260" w:type="dxa"/>
          </w:tcPr>
          <w:p w14:paraId="5FBB1A4B" w14:textId="77777777" w:rsidR="001A4CFC" w:rsidRPr="00246A7A" w:rsidRDefault="001A4CFC" w:rsidP="00C616A0">
            <w:pPr>
              <w:rPr>
                <w:sz w:val="18"/>
                <w:szCs w:val="18"/>
              </w:rPr>
            </w:pPr>
          </w:p>
        </w:tc>
        <w:tc>
          <w:tcPr>
            <w:tcW w:w="4680" w:type="dxa"/>
          </w:tcPr>
          <w:p w14:paraId="27EC8E2F" w14:textId="77777777" w:rsidR="001A4CFC" w:rsidRPr="00246A7A" w:rsidRDefault="001A4CFC" w:rsidP="001A4CFC">
            <w:pPr>
              <w:rPr>
                <w:i/>
                <w:color w:val="0000FF"/>
                <w:sz w:val="18"/>
                <w:szCs w:val="18"/>
              </w:rPr>
            </w:pPr>
            <w:r w:rsidRPr="00246A7A">
              <w:rPr>
                <w:i/>
                <w:color w:val="0000FF"/>
                <w:sz w:val="18"/>
                <w:szCs w:val="18"/>
              </w:rPr>
              <w:t>&lt;identify which repository&gt;</w:t>
            </w:r>
          </w:p>
        </w:tc>
      </w:tr>
      <w:tr w:rsidR="00C837AD" w:rsidRPr="00246A7A" w14:paraId="0620CC03" w14:textId="77777777" w:rsidTr="00ED3661">
        <w:tc>
          <w:tcPr>
            <w:tcW w:w="2875" w:type="dxa"/>
          </w:tcPr>
          <w:p w14:paraId="4FDF8DB6" w14:textId="77777777" w:rsidR="00C837AD" w:rsidRPr="00246A7A" w:rsidRDefault="00C837AD" w:rsidP="00C616A0">
            <w:pPr>
              <w:rPr>
                <w:color w:val="0000FF"/>
                <w:sz w:val="18"/>
                <w:szCs w:val="18"/>
              </w:rPr>
            </w:pPr>
            <w:r w:rsidRPr="00246A7A">
              <w:rPr>
                <w:color w:val="0000FF"/>
                <w:sz w:val="18"/>
                <w:szCs w:val="18"/>
              </w:rPr>
              <w:t>Website development related to repositories</w:t>
            </w:r>
          </w:p>
        </w:tc>
        <w:tc>
          <w:tcPr>
            <w:tcW w:w="1260" w:type="dxa"/>
          </w:tcPr>
          <w:p w14:paraId="4E4C66D1" w14:textId="77777777" w:rsidR="00C837AD" w:rsidRPr="00246A7A" w:rsidRDefault="00C837AD" w:rsidP="00C616A0">
            <w:pPr>
              <w:rPr>
                <w:sz w:val="18"/>
                <w:szCs w:val="18"/>
              </w:rPr>
            </w:pPr>
          </w:p>
        </w:tc>
        <w:tc>
          <w:tcPr>
            <w:tcW w:w="4680" w:type="dxa"/>
          </w:tcPr>
          <w:p w14:paraId="641148C0" w14:textId="77777777" w:rsidR="00C837AD" w:rsidRPr="00246A7A" w:rsidRDefault="00C837AD" w:rsidP="001A4CFC">
            <w:pPr>
              <w:rPr>
                <w:i/>
                <w:color w:val="0000FF"/>
                <w:sz w:val="18"/>
                <w:szCs w:val="18"/>
              </w:rPr>
            </w:pPr>
            <w:r w:rsidRPr="00246A7A">
              <w:rPr>
                <w:i/>
                <w:color w:val="0000FF"/>
                <w:sz w:val="18"/>
                <w:szCs w:val="18"/>
              </w:rPr>
              <w:t>&lt;identify which repository/website&gt;</w:t>
            </w:r>
          </w:p>
        </w:tc>
      </w:tr>
      <w:tr w:rsidR="001A4CFC" w:rsidRPr="00246A7A" w14:paraId="3ED6A4BF" w14:textId="77777777" w:rsidTr="00ED3661">
        <w:tc>
          <w:tcPr>
            <w:tcW w:w="2875" w:type="dxa"/>
          </w:tcPr>
          <w:p w14:paraId="333F55E6" w14:textId="77777777" w:rsidR="001A4CFC" w:rsidRPr="00246A7A" w:rsidRDefault="001A4CFC" w:rsidP="00C616A0">
            <w:pPr>
              <w:rPr>
                <w:i/>
                <w:sz w:val="18"/>
                <w:szCs w:val="18"/>
              </w:rPr>
            </w:pPr>
            <w:r w:rsidRPr="00246A7A">
              <w:rPr>
                <w:i/>
                <w:color w:val="0000FF"/>
                <w:sz w:val="18"/>
                <w:szCs w:val="18"/>
              </w:rPr>
              <w:t>&lt;Other&gt;</w:t>
            </w:r>
          </w:p>
        </w:tc>
        <w:tc>
          <w:tcPr>
            <w:tcW w:w="1260" w:type="dxa"/>
          </w:tcPr>
          <w:p w14:paraId="1FCF24FC" w14:textId="77777777" w:rsidR="001A4CFC" w:rsidRPr="00246A7A" w:rsidRDefault="001A4CFC" w:rsidP="00C616A0">
            <w:pPr>
              <w:rPr>
                <w:sz w:val="18"/>
                <w:szCs w:val="18"/>
              </w:rPr>
            </w:pPr>
          </w:p>
        </w:tc>
        <w:tc>
          <w:tcPr>
            <w:tcW w:w="4680" w:type="dxa"/>
          </w:tcPr>
          <w:p w14:paraId="68CA9583" w14:textId="77777777" w:rsidR="001A4CFC" w:rsidRPr="00246A7A" w:rsidRDefault="00C837AD" w:rsidP="001A4CFC">
            <w:pPr>
              <w:rPr>
                <w:i/>
                <w:color w:val="0000FF"/>
                <w:sz w:val="18"/>
                <w:szCs w:val="18"/>
              </w:rPr>
            </w:pPr>
            <w:r w:rsidRPr="00246A7A">
              <w:rPr>
                <w:i/>
                <w:color w:val="0000FF"/>
                <w:sz w:val="18"/>
                <w:szCs w:val="18"/>
              </w:rPr>
              <w:t>&lt;Ex: DOIs or other types of persistent identifiers&gt;</w:t>
            </w:r>
          </w:p>
        </w:tc>
      </w:tr>
      <w:tr w:rsidR="001A4CFC" w:rsidRPr="00246A7A" w14:paraId="4A6C7F1B" w14:textId="77777777" w:rsidTr="001A4CFC">
        <w:tc>
          <w:tcPr>
            <w:tcW w:w="8815" w:type="dxa"/>
            <w:gridSpan w:val="3"/>
            <w:shd w:val="clear" w:color="auto" w:fill="D9D9D9" w:themeFill="background1" w:themeFillShade="D9"/>
          </w:tcPr>
          <w:p w14:paraId="4B7B0B47" w14:textId="77777777" w:rsidR="001A4CFC" w:rsidRPr="00246A7A" w:rsidRDefault="001A4CFC" w:rsidP="001A4CFC">
            <w:pPr>
              <w:rPr>
                <w:i/>
                <w:color w:val="0000FF"/>
                <w:sz w:val="18"/>
                <w:szCs w:val="18"/>
              </w:rPr>
            </w:pPr>
            <w:r w:rsidRPr="00246A7A">
              <w:rPr>
                <w:b/>
                <w:i/>
                <w:sz w:val="18"/>
                <w:szCs w:val="18"/>
              </w:rPr>
              <w:t>Staffing:</w:t>
            </w:r>
          </w:p>
        </w:tc>
      </w:tr>
      <w:tr w:rsidR="001A4CFC" w:rsidRPr="00246A7A" w14:paraId="79070021" w14:textId="77777777" w:rsidTr="00ED3661">
        <w:tc>
          <w:tcPr>
            <w:tcW w:w="2875" w:type="dxa"/>
          </w:tcPr>
          <w:p w14:paraId="3F550042" w14:textId="77777777" w:rsidR="001A4CFC" w:rsidRPr="00246A7A" w:rsidRDefault="001A4CFC" w:rsidP="001A4CFC">
            <w:pPr>
              <w:rPr>
                <w:sz w:val="18"/>
                <w:szCs w:val="18"/>
              </w:rPr>
            </w:pPr>
            <w:r w:rsidRPr="00246A7A">
              <w:rPr>
                <w:sz w:val="18"/>
                <w:szCs w:val="18"/>
              </w:rPr>
              <w:t>Staff salaries – open data</w:t>
            </w:r>
          </w:p>
        </w:tc>
        <w:tc>
          <w:tcPr>
            <w:tcW w:w="1260" w:type="dxa"/>
          </w:tcPr>
          <w:p w14:paraId="3AF7A876" w14:textId="77777777" w:rsidR="001A4CFC" w:rsidRPr="00246A7A" w:rsidRDefault="001A4CFC" w:rsidP="00C616A0">
            <w:pPr>
              <w:rPr>
                <w:sz w:val="18"/>
                <w:szCs w:val="18"/>
              </w:rPr>
            </w:pPr>
          </w:p>
        </w:tc>
        <w:tc>
          <w:tcPr>
            <w:tcW w:w="4680" w:type="dxa"/>
          </w:tcPr>
          <w:p w14:paraId="4A069175" w14:textId="77777777" w:rsidR="001A4CFC" w:rsidRPr="00246A7A" w:rsidRDefault="001A4CFC" w:rsidP="001A4CFC">
            <w:pPr>
              <w:rPr>
                <w:i/>
                <w:color w:val="0000FF"/>
                <w:sz w:val="18"/>
                <w:szCs w:val="18"/>
              </w:rPr>
            </w:pPr>
            <w:r w:rsidRPr="00246A7A">
              <w:rPr>
                <w:i/>
                <w:color w:val="0000FF"/>
                <w:sz w:val="18"/>
                <w:szCs w:val="18"/>
              </w:rPr>
              <w:t>&lt;Indicate approx. FTE for Open Data&gt;</w:t>
            </w:r>
          </w:p>
        </w:tc>
      </w:tr>
      <w:tr w:rsidR="001A4CFC" w:rsidRPr="00246A7A" w14:paraId="49FFDF87" w14:textId="77777777" w:rsidTr="00ED3661">
        <w:tc>
          <w:tcPr>
            <w:tcW w:w="2875" w:type="dxa"/>
          </w:tcPr>
          <w:p w14:paraId="1C9CEEE5" w14:textId="77777777" w:rsidR="001A4CFC" w:rsidRPr="00246A7A" w:rsidRDefault="001A4CFC" w:rsidP="001A4CFC">
            <w:pPr>
              <w:rPr>
                <w:sz w:val="18"/>
                <w:szCs w:val="18"/>
              </w:rPr>
            </w:pPr>
            <w:r w:rsidRPr="00246A7A">
              <w:rPr>
                <w:sz w:val="18"/>
                <w:szCs w:val="18"/>
              </w:rPr>
              <w:t xml:space="preserve">Staff salaries – OA publications </w:t>
            </w:r>
          </w:p>
        </w:tc>
        <w:tc>
          <w:tcPr>
            <w:tcW w:w="1260" w:type="dxa"/>
          </w:tcPr>
          <w:p w14:paraId="4B85993D" w14:textId="77777777" w:rsidR="001A4CFC" w:rsidRPr="00246A7A" w:rsidRDefault="001A4CFC" w:rsidP="00C616A0">
            <w:pPr>
              <w:rPr>
                <w:sz w:val="18"/>
                <w:szCs w:val="18"/>
              </w:rPr>
            </w:pPr>
          </w:p>
        </w:tc>
        <w:tc>
          <w:tcPr>
            <w:tcW w:w="4680" w:type="dxa"/>
          </w:tcPr>
          <w:p w14:paraId="5F548F07" w14:textId="77777777" w:rsidR="001A4CFC" w:rsidRPr="00246A7A" w:rsidRDefault="001A4CFC" w:rsidP="001A4CFC">
            <w:pPr>
              <w:rPr>
                <w:i/>
                <w:color w:val="0000FF"/>
                <w:sz w:val="18"/>
                <w:szCs w:val="18"/>
              </w:rPr>
            </w:pPr>
            <w:r w:rsidRPr="00246A7A">
              <w:rPr>
                <w:i/>
                <w:color w:val="0000FF"/>
                <w:sz w:val="18"/>
                <w:szCs w:val="18"/>
              </w:rPr>
              <w:t>&lt;Indicate approx. FTE for Open Access for Pubs&gt;</w:t>
            </w:r>
          </w:p>
        </w:tc>
      </w:tr>
      <w:tr w:rsidR="001A4CFC" w:rsidRPr="00246A7A" w14:paraId="277311D6" w14:textId="77777777" w:rsidTr="00ED3661">
        <w:tc>
          <w:tcPr>
            <w:tcW w:w="2875" w:type="dxa"/>
          </w:tcPr>
          <w:p w14:paraId="782F0BAA" w14:textId="77777777" w:rsidR="001A4CFC" w:rsidRPr="00246A7A" w:rsidRDefault="001A4CFC" w:rsidP="001A4CFC">
            <w:pPr>
              <w:rPr>
                <w:sz w:val="18"/>
                <w:szCs w:val="18"/>
              </w:rPr>
            </w:pPr>
            <w:r w:rsidRPr="00246A7A">
              <w:rPr>
                <w:sz w:val="18"/>
                <w:szCs w:val="18"/>
              </w:rPr>
              <w:t>Professional development for OA/DM</w:t>
            </w:r>
          </w:p>
        </w:tc>
        <w:tc>
          <w:tcPr>
            <w:tcW w:w="1260" w:type="dxa"/>
          </w:tcPr>
          <w:p w14:paraId="3FDF7FDB" w14:textId="77777777" w:rsidR="001A4CFC" w:rsidRPr="00246A7A" w:rsidRDefault="001A4CFC" w:rsidP="00C616A0">
            <w:pPr>
              <w:rPr>
                <w:sz w:val="18"/>
                <w:szCs w:val="18"/>
              </w:rPr>
            </w:pPr>
          </w:p>
        </w:tc>
        <w:tc>
          <w:tcPr>
            <w:tcW w:w="4680" w:type="dxa"/>
          </w:tcPr>
          <w:p w14:paraId="7C38BB36" w14:textId="77777777" w:rsidR="001A4CFC" w:rsidRPr="00246A7A" w:rsidRDefault="001A4CFC" w:rsidP="001A4CFC">
            <w:pPr>
              <w:rPr>
                <w:i/>
                <w:color w:val="0000FF"/>
                <w:sz w:val="18"/>
                <w:szCs w:val="18"/>
              </w:rPr>
            </w:pPr>
          </w:p>
        </w:tc>
      </w:tr>
      <w:tr w:rsidR="001A4CFC" w:rsidRPr="00246A7A" w14:paraId="3E507F6D" w14:textId="77777777" w:rsidTr="001A4CFC">
        <w:tc>
          <w:tcPr>
            <w:tcW w:w="8815" w:type="dxa"/>
            <w:gridSpan w:val="3"/>
            <w:shd w:val="clear" w:color="auto" w:fill="D9D9D9" w:themeFill="background1" w:themeFillShade="D9"/>
          </w:tcPr>
          <w:p w14:paraId="0480051B" w14:textId="77777777" w:rsidR="001A4CFC" w:rsidRPr="00246A7A" w:rsidRDefault="001A4CFC" w:rsidP="001A4CFC">
            <w:pPr>
              <w:rPr>
                <w:b/>
                <w:i/>
                <w:color w:val="0000FF"/>
                <w:sz w:val="18"/>
                <w:szCs w:val="18"/>
              </w:rPr>
            </w:pPr>
            <w:r w:rsidRPr="00246A7A">
              <w:rPr>
                <w:b/>
                <w:i/>
                <w:sz w:val="18"/>
                <w:szCs w:val="18"/>
              </w:rPr>
              <w:t>Membership Fees:</w:t>
            </w:r>
          </w:p>
        </w:tc>
      </w:tr>
      <w:tr w:rsidR="001A4CFC" w:rsidRPr="00246A7A" w14:paraId="1C6A2F46" w14:textId="77777777" w:rsidTr="00ED3661">
        <w:tc>
          <w:tcPr>
            <w:tcW w:w="2875" w:type="dxa"/>
          </w:tcPr>
          <w:p w14:paraId="31354F4A" w14:textId="77777777" w:rsidR="001A4CFC" w:rsidRPr="00246A7A" w:rsidRDefault="001A4CFC" w:rsidP="001A4CFC">
            <w:pPr>
              <w:rPr>
                <w:sz w:val="18"/>
                <w:szCs w:val="18"/>
              </w:rPr>
            </w:pPr>
            <w:proofErr w:type="spellStart"/>
            <w:r w:rsidRPr="00246A7A">
              <w:rPr>
                <w:sz w:val="18"/>
                <w:szCs w:val="18"/>
              </w:rPr>
              <w:t>Altmetrics</w:t>
            </w:r>
            <w:proofErr w:type="spellEnd"/>
            <w:r w:rsidRPr="00246A7A">
              <w:rPr>
                <w:sz w:val="18"/>
                <w:szCs w:val="18"/>
              </w:rPr>
              <w:t xml:space="preserve"> provider(s)</w:t>
            </w:r>
          </w:p>
        </w:tc>
        <w:tc>
          <w:tcPr>
            <w:tcW w:w="1260" w:type="dxa"/>
          </w:tcPr>
          <w:p w14:paraId="652FA9CA" w14:textId="77777777" w:rsidR="001A4CFC" w:rsidRPr="00246A7A" w:rsidRDefault="001A4CFC" w:rsidP="00C616A0">
            <w:pPr>
              <w:rPr>
                <w:sz w:val="18"/>
                <w:szCs w:val="18"/>
              </w:rPr>
            </w:pPr>
          </w:p>
        </w:tc>
        <w:tc>
          <w:tcPr>
            <w:tcW w:w="4680" w:type="dxa"/>
          </w:tcPr>
          <w:p w14:paraId="70919767" w14:textId="77777777" w:rsidR="001A4CFC" w:rsidRPr="00246A7A" w:rsidRDefault="001A4CFC" w:rsidP="001A4CFC">
            <w:pPr>
              <w:rPr>
                <w:i/>
                <w:color w:val="0000FF"/>
                <w:sz w:val="18"/>
                <w:szCs w:val="18"/>
              </w:rPr>
            </w:pPr>
            <w:r w:rsidRPr="00246A7A">
              <w:rPr>
                <w:i/>
                <w:color w:val="0000FF"/>
                <w:sz w:val="18"/>
                <w:szCs w:val="18"/>
              </w:rPr>
              <w:t>&lt;Indicate which companies/services&gt;</w:t>
            </w:r>
          </w:p>
        </w:tc>
      </w:tr>
      <w:tr w:rsidR="001A4CFC" w:rsidRPr="00246A7A" w14:paraId="35C6C23B" w14:textId="77777777" w:rsidTr="00ED3661">
        <w:tc>
          <w:tcPr>
            <w:tcW w:w="2875" w:type="dxa"/>
          </w:tcPr>
          <w:p w14:paraId="30A456CA" w14:textId="77777777" w:rsidR="001A4CFC" w:rsidRPr="00246A7A" w:rsidRDefault="001A4CFC" w:rsidP="001A4CFC">
            <w:pPr>
              <w:rPr>
                <w:sz w:val="18"/>
                <w:szCs w:val="18"/>
              </w:rPr>
            </w:pPr>
            <w:r w:rsidRPr="00246A7A">
              <w:rPr>
                <w:sz w:val="18"/>
                <w:szCs w:val="18"/>
              </w:rPr>
              <w:t>Publisher-based institutional memberships</w:t>
            </w:r>
          </w:p>
        </w:tc>
        <w:tc>
          <w:tcPr>
            <w:tcW w:w="1260" w:type="dxa"/>
          </w:tcPr>
          <w:p w14:paraId="2BA24C5D" w14:textId="77777777" w:rsidR="001A4CFC" w:rsidRPr="00246A7A" w:rsidRDefault="001A4CFC" w:rsidP="00C616A0">
            <w:pPr>
              <w:rPr>
                <w:sz w:val="18"/>
                <w:szCs w:val="18"/>
              </w:rPr>
            </w:pPr>
          </w:p>
        </w:tc>
        <w:tc>
          <w:tcPr>
            <w:tcW w:w="4680" w:type="dxa"/>
          </w:tcPr>
          <w:p w14:paraId="0C58627B" w14:textId="77777777" w:rsidR="001A4CFC" w:rsidRPr="00246A7A" w:rsidRDefault="001A4CFC" w:rsidP="001A4CFC">
            <w:pPr>
              <w:rPr>
                <w:i/>
                <w:color w:val="0000FF"/>
                <w:sz w:val="18"/>
                <w:szCs w:val="18"/>
              </w:rPr>
            </w:pPr>
            <w:r w:rsidRPr="00246A7A">
              <w:rPr>
                <w:i/>
                <w:color w:val="0000FF"/>
                <w:sz w:val="18"/>
                <w:szCs w:val="18"/>
              </w:rPr>
              <w:t>&lt;Indicate which – ex: PLOS Institutional Account, Springer OA Membership&gt;</w:t>
            </w:r>
          </w:p>
        </w:tc>
      </w:tr>
      <w:tr w:rsidR="001A4CFC" w:rsidRPr="00246A7A" w14:paraId="07CC9010" w14:textId="77777777" w:rsidTr="00ED3661">
        <w:tc>
          <w:tcPr>
            <w:tcW w:w="2875" w:type="dxa"/>
          </w:tcPr>
          <w:p w14:paraId="25161818" w14:textId="77777777" w:rsidR="001A4CFC" w:rsidRPr="00246A7A" w:rsidRDefault="001A4CFC" w:rsidP="001A4CFC">
            <w:pPr>
              <w:rPr>
                <w:i/>
                <w:sz w:val="18"/>
                <w:szCs w:val="18"/>
              </w:rPr>
            </w:pPr>
            <w:r w:rsidRPr="00246A7A">
              <w:rPr>
                <w:i/>
                <w:color w:val="0000FF"/>
                <w:sz w:val="18"/>
                <w:szCs w:val="18"/>
              </w:rPr>
              <w:t>&lt;Other&gt;</w:t>
            </w:r>
          </w:p>
        </w:tc>
        <w:tc>
          <w:tcPr>
            <w:tcW w:w="1260" w:type="dxa"/>
          </w:tcPr>
          <w:p w14:paraId="5BA70F35" w14:textId="77777777" w:rsidR="001A4CFC" w:rsidRPr="00246A7A" w:rsidRDefault="001A4CFC" w:rsidP="00C616A0">
            <w:pPr>
              <w:rPr>
                <w:sz w:val="18"/>
                <w:szCs w:val="18"/>
              </w:rPr>
            </w:pPr>
          </w:p>
        </w:tc>
        <w:tc>
          <w:tcPr>
            <w:tcW w:w="4680" w:type="dxa"/>
          </w:tcPr>
          <w:p w14:paraId="32FF50D3" w14:textId="77777777" w:rsidR="001A4CFC" w:rsidRPr="00246A7A" w:rsidRDefault="001A4CFC" w:rsidP="001A4CFC">
            <w:pPr>
              <w:rPr>
                <w:i/>
                <w:color w:val="0000FF"/>
                <w:sz w:val="18"/>
                <w:szCs w:val="18"/>
              </w:rPr>
            </w:pPr>
            <w:r w:rsidRPr="00246A7A">
              <w:rPr>
                <w:i/>
                <w:color w:val="0000FF"/>
                <w:sz w:val="18"/>
                <w:szCs w:val="18"/>
              </w:rPr>
              <w:t xml:space="preserve">&lt;Indicate which – ex: </w:t>
            </w:r>
            <w:proofErr w:type="spellStart"/>
            <w:r w:rsidRPr="00246A7A">
              <w:rPr>
                <w:i/>
                <w:color w:val="0000FF"/>
                <w:sz w:val="18"/>
                <w:szCs w:val="18"/>
              </w:rPr>
              <w:t>DataCite</w:t>
            </w:r>
            <w:proofErr w:type="spellEnd"/>
            <w:r w:rsidRPr="00246A7A">
              <w:rPr>
                <w:i/>
                <w:color w:val="0000FF"/>
                <w:sz w:val="18"/>
                <w:szCs w:val="18"/>
              </w:rPr>
              <w:t xml:space="preserve"> membership, RDA membership, COAR membership&gt;</w:t>
            </w:r>
          </w:p>
        </w:tc>
      </w:tr>
      <w:tr w:rsidR="001A4CFC" w:rsidRPr="00246A7A" w14:paraId="43FA84C3" w14:textId="77777777" w:rsidTr="001A4CFC">
        <w:tc>
          <w:tcPr>
            <w:tcW w:w="8815" w:type="dxa"/>
            <w:gridSpan w:val="3"/>
            <w:shd w:val="clear" w:color="auto" w:fill="D9D9D9" w:themeFill="background1" w:themeFillShade="D9"/>
          </w:tcPr>
          <w:p w14:paraId="4DBF6E62" w14:textId="77777777" w:rsidR="001A4CFC" w:rsidRPr="00246A7A" w:rsidRDefault="001A4CFC" w:rsidP="001A4CFC">
            <w:pPr>
              <w:rPr>
                <w:i/>
                <w:color w:val="0000FF"/>
                <w:sz w:val="18"/>
                <w:szCs w:val="18"/>
              </w:rPr>
            </w:pPr>
            <w:r w:rsidRPr="00246A7A">
              <w:rPr>
                <w:b/>
                <w:i/>
                <w:sz w:val="18"/>
                <w:szCs w:val="18"/>
              </w:rPr>
              <w:t>Other Expenses:</w:t>
            </w:r>
          </w:p>
        </w:tc>
      </w:tr>
      <w:tr w:rsidR="001A4CFC" w:rsidRPr="00246A7A" w14:paraId="7E588C26" w14:textId="77777777" w:rsidTr="00ED3661">
        <w:tc>
          <w:tcPr>
            <w:tcW w:w="2875" w:type="dxa"/>
          </w:tcPr>
          <w:p w14:paraId="7CC3FA89" w14:textId="77777777" w:rsidR="001A4CFC" w:rsidRPr="00246A7A" w:rsidRDefault="001A4CFC" w:rsidP="001A4CFC">
            <w:pPr>
              <w:rPr>
                <w:sz w:val="18"/>
                <w:szCs w:val="18"/>
              </w:rPr>
            </w:pPr>
            <w:r w:rsidRPr="00246A7A">
              <w:rPr>
                <w:sz w:val="18"/>
                <w:szCs w:val="18"/>
              </w:rPr>
              <w:t>Marketing/promotion materials</w:t>
            </w:r>
          </w:p>
        </w:tc>
        <w:tc>
          <w:tcPr>
            <w:tcW w:w="1260" w:type="dxa"/>
          </w:tcPr>
          <w:p w14:paraId="056F67D6" w14:textId="77777777" w:rsidR="001A4CFC" w:rsidRPr="00246A7A" w:rsidRDefault="001A4CFC" w:rsidP="00C616A0">
            <w:pPr>
              <w:rPr>
                <w:sz w:val="18"/>
                <w:szCs w:val="18"/>
              </w:rPr>
            </w:pPr>
          </w:p>
        </w:tc>
        <w:tc>
          <w:tcPr>
            <w:tcW w:w="4680" w:type="dxa"/>
          </w:tcPr>
          <w:p w14:paraId="1DEF3F35" w14:textId="77777777" w:rsidR="001A4CFC" w:rsidRPr="00246A7A" w:rsidRDefault="001A4CFC" w:rsidP="001A4CFC">
            <w:pPr>
              <w:rPr>
                <w:i/>
                <w:color w:val="0000FF"/>
                <w:sz w:val="18"/>
                <w:szCs w:val="18"/>
              </w:rPr>
            </w:pPr>
          </w:p>
        </w:tc>
      </w:tr>
      <w:tr w:rsidR="001A4CFC" w:rsidRPr="00246A7A" w14:paraId="376F6807" w14:textId="77777777" w:rsidTr="00ED3661">
        <w:tc>
          <w:tcPr>
            <w:tcW w:w="2875" w:type="dxa"/>
          </w:tcPr>
          <w:p w14:paraId="26057AFA" w14:textId="77777777" w:rsidR="001A4CFC" w:rsidRPr="00246A7A" w:rsidRDefault="00C837AD" w:rsidP="001A4CFC">
            <w:pPr>
              <w:rPr>
                <w:color w:val="0000FF"/>
                <w:sz w:val="18"/>
                <w:szCs w:val="18"/>
              </w:rPr>
            </w:pPr>
            <w:r w:rsidRPr="00246A7A">
              <w:rPr>
                <w:sz w:val="18"/>
                <w:szCs w:val="18"/>
              </w:rPr>
              <w:t>OA Fees for Articles</w:t>
            </w:r>
          </w:p>
        </w:tc>
        <w:tc>
          <w:tcPr>
            <w:tcW w:w="1260" w:type="dxa"/>
          </w:tcPr>
          <w:p w14:paraId="3B4B9553" w14:textId="77777777" w:rsidR="001A4CFC" w:rsidRPr="00246A7A" w:rsidRDefault="001A4CFC" w:rsidP="00C616A0">
            <w:pPr>
              <w:rPr>
                <w:sz w:val="18"/>
                <w:szCs w:val="18"/>
              </w:rPr>
            </w:pPr>
          </w:p>
        </w:tc>
        <w:tc>
          <w:tcPr>
            <w:tcW w:w="4680" w:type="dxa"/>
          </w:tcPr>
          <w:p w14:paraId="5DAC5616" w14:textId="77777777" w:rsidR="001A4CFC" w:rsidRPr="00246A7A" w:rsidRDefault="00C837AD" w:rsidP="001A4CFC">
            <w:pPr>
              <w:rPr>
                <w:i/>
                <w:color w:val="0000FF"/>
                <w:sz w:val="18"/>
                <w:szCs w:val="18"/>
              </w:rPr>
            </w:pPr>
            <w:r w:rsidRPr="00246A7A">
              <w:rPr>
                <w:i/>
                <w:color w:val="0000FF"/>
                <w:sz w:val="18"/>
                <w:szCs w:val="18"/>
              </w:rPr>
              <w:t>&lt;Article-processing charges – total if the Center is paying for these fees vs. authors incorporating into grant funding or waived fees&gt;</w:t>
            </w:r>
          </w:p>
        </w:tc>
      </w:tr>
      <w:tr w:rsidR="001A4CFC" w:rsidRPr="00246A7A" w14:paraId="03BE9F43" w14:textId="77777777" w:rsidTr="00ED3661">
        <w:tc>
          <w:tcPr>
            <w:tcW w:w="2875" w:type="dxa"/>
          </w:tcPr>
          <w:p w14:paraId="47F6ACCF" w14:textId="77777777" w:rsidR="001A4CFC" w:rsidRPr="00246A7A" w:rsidRDefault="001A4CFC" w:rsidP="001A4CFC">
            <w:pPr>
              <w:rPr>
                <w:i/>
                <w:color w:val="0000FF"/>
                <w:sz w:val="18"/>
                <w:szCs w:val="18"/>
              </w:rPr>
            </w:pPr>
            <w:r w:rsidRPr="00246A7A">
              <w:rPr>
                <w:i/>
                <w:color w:val="0000FF"/>
                <w:sz w:val="18"/>
                <w:szCs w:val="18"/>
              </w:rPr>
              <w:t>&lt;Other&gt;</w:t>
            </w:r>
          </w:p>
        </w:tc>
        <w:tc>
          <w:tcPr>
            <w:tcW w:w="1260" w:type="dxa"/>
          </w:tcPr>
          <w:p w14:paraId="5D5059FD" w14:textId="77777777" w:rsidR="001A4CFC" w:rsidRPr="00246A7A" w:rsidRDefault="001A4CFC" w:rsidP="00C616A0">
            <w:pPr>
              <w:rPr>
                <w:sz w:val="18"/>
                <w:szCs w:val="18"/>
              </w:rPr>
            </w:pPr>
          </w:p>
        </w:tc>
        <w:tc>
          <w:tcPr>
            <w:tcW w:w="4680" w:type="dxa"/>
          </w:tcPr>
          <w:p w14:paraId="6E99221D" w14:textId="77777777" w:rsidR="001A4CFC" w:rsidRPr="00246A7A" w:rsidRDefault="001A4CFC" w:rsidP="001A4CFC">
            <w:pPr>
              <w:rPr>
                <w:i/>
                <w:color w:val="0000FF"/>
                <w:sz w:val="18"/>
                <w:szCs w:val="18"/>
              </w:rPr>
            </w:pPr>
          </w:p>
        </w:tc>
      </w:tr>
    </w:tbl>
    <w:p w14:paraId="42F07008" w14:textId="77777777" w:rsidR="00ED3661" w:rsidRDefault="00ED3661" w:rsidP="001A4CFC">
      <w:pPr>
        <w:rPr>
          <w:szCs w:val="20"/>
        </w:rPr>
      </w:pPr>
    </w:p>
    <w:p w14:paraId="1D06C092" w14:textId="77777777" w:rsidR="00C837AD" w:rsidRPr="00C837AD" w:rsidRDefault="00C837AD" w:rsidP="001A4CFC">
      <w:pPr>
        <w:rPr>
          <w:i/>
          <w:szCs w:val="20"/>
        </w:rPr>
      </w:pPr>
      <w:r w:rsidRPr="00C837AD">
        <w:rPr>
          <w:i/>
          <w:color w:val="0000FF"/>
          <w:szCs w:val="20"/>
        </w:rPr>
        <w:t>[In addition to the budget for 2015, please indicate any major upcoming expenses for 2016-2018 -- for example, development work leading up to a system migration or costs associated with starting up a new repository.]</w:t>
      </w:r>
    </w:p>
    <w:p w14:paraId="27165677" w14:textId="77777777" w:rsidR="006618B6" w:rsidRDefault="006618B6" w:rsidP="00524C73"/>
    <w:p w14:paraId="1EFFDA44" w14:textId="77777777" w:rsidR="00524C73" w:rsidRDefault="00524C73" w:rsidP="00524C73">
      <w:r>
        <w:rPr>
          <w:noProof/>
          <w:szCs w:val="20"/>
        </w:rPr>
        <mc:AlternateContent>
          <mc:Choice Requires="wps">
            <w:drawing>
              <wp:anchor distT="0" distB="0" distL="114300" distR="114300" simplePos="0" relativeHeight="251665408" behindDoc="0" locked="0" layoutInCell="1" allowOverlap="1" wp14:anchorId="3EE51754" wp14:editId="75BCB9BE">
                <wp:simplePos x="0" y="0"/>
                <wp:positionH relativeFrom="column">
                  <wp:posOffset>0</wp:posOffset>
                </wp:positionH>
                <wp:positionV relativeFrom="paragraph">
                  <wp:posOffset>19050</wp:posOffset>
                </wp:positionV>
                <wp:extent cx="5705856" cy="7315"/>
                <wp:effectExtent l="19050" t="19050" r="28575" b="31115"/>
                <wp:wrapNone/>
                <wp:docPr id="5" name="Straight Connector 5"/>
                <wp:cNvGraphicFramePr/>
                <a:graphic xmlns:a="http://schemas.openxmlformats.org/drawingml/2006/main">
                  <a:graphicData uri="http://schemas.microsoft.com/office/word/2010/wordprocessingShape">
                    <wps:wsp>
                      <wps:cNvCnPr/>
                      <wps:spPr>
                        <a:xfrm>
                          <a:off x="0" y="0"/>
                          <a:ext cx="5705856" cy="73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1ED5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5pt" to="449.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" strokecolor="black [3213]" strokeweight="3pt">
                <v:stroke joinstyle="miter"/>
              </v:line>
            </w:pict>
          </mc:Fallback>
        </mc:AlternateContent>
      </w:r>
    </w:p>
    <w:p w14:paraId="58651DAC" w14:textId="77777777" w:rsidR="00C616A0" w:rsidRPr="00CC02F6" w:rsidRDefault="006618B6" w:rsidP="00CC02F6">
      <w:pPr>
        <w:pStyle w:val="Heading1"/>
        <w:rPr>
          <w:b/>
          <w:szCs w:val="20"/>
        </w:rPr>
      </w:pPr>
      <w:bookmarkStart w:id="42" w:name="_Toc416727109"/>
      <w:r>
        <w:t xml:space="preserve">Section </w:t>
      </w:r>
      <w:r w:rsidR="00866ECF">
        <w:t>9</w:t>
      </w:r>
      <w:r w:rsidR="00C616A0" w:rsidRPr="00A34113">
        <w:t>: Assessment, Impact, Review</w:t>
      </w:r>
      <w:bookmarkEnd w:id="42"/>
    </w:p>
    <w:p w14:paraId="3A302773" w14:textId="77777777" w:rsidR="00C616A0" w:rsidRDefault="00C616A0" w:rsidP="00C616A0">
      <w:pPr>
        <w:rPr>
          <w:szCs w:val="20"/>
        </w:rPr>
      </w:pPr>
    </w:p>
    <w:p w14:paraId="64664A0E" w14:textId="77777777" w:rsidR="000D2206" w:rsidRPr="000D2206" w:rsidRDefault="000D2206" w:rsidP="00C616A0">
      <w:pPr>
        <w:rPr>
          <w:i/>
          <w:color w:val="0000FF"/>
          <w:szCs w:val="20"/>
        </w:rPr>
      </w:pPr>
      <w:r w:rsidRPr="000D2206">
        <w:rPr>
          <w:i/>
          <w:color w:val="0000FF"/>
          <w:szCs w:val="20"/>
        </w:rPr>
        <w:t>[This section should be used to address any Cent</w:t>
      </w:r>
      <w:r w:rsidR="00E91A54">
        <w:rPr>
          <w:i/>
          <w:color w:val="0000FF"/>
          <w:szCs w:val="20"/>
        </w:rPr>
        <w:t xml:space="preserve">er-specific plans for tracking </w:t>
      </w:r>
      <w:r w:rsidRPr="000D2206">
        <w:rPr>
          <w:i/>
          <w:color w:val="0000FF"/>
          <w:szCs w:val="20"/>
        </w:rPr>
        <w:t>and assessing impact of Open Access and Open Data</w:t>
      </w:r>
      <w:r w:rsidR="00E91A54">
        <w:rPr>
          <w:i/>
          <w:color w:val="0000FF"/>
          <w:szCs w:val="20"/>
        </w:rPr>
        <w:t xml:space="preserve"> and their measures of success</w:t>
      </w:r>
      <w:r w:rsidRPr="000D2206">
        <w:rPr>
          <w:i/>
          <w:color w:val="0000FF"/>
          <w:szCs w:val="20"/>
        </w:rPr>
        <w:t>. It is recommended that Centers/CRPs review progress, compliance, and uptake at multiple levels: at the highest level, by looking at the repository itself; gauging usage and/or uptake for content within repositories (item/article level); and examining individuals’ compliance. Furthermore, please indicate any specific steps in place to maximize visibility of the Open Access/Open Data initiative, reposi</w:t>
      </w:r>
      <w:r>
        <w:rPr>
          <w:i/>
          <w:color w:val="0000FF"/>
          <w:szCs w:val="20"/>
        </w:rPr>
        <w:t>tories, and repository content.]</w:t>
      </w:r>
    </w:p>
    <w:p w14:paraId="4333EEC6" w14:textId="77777777" w:rsidR="000D2206" w:rsidRDefault="000D2206" w:rsidP="00C616A0">
      <w:pPr>
        <w:rPr>
          <w:szCs w:val="20"/>
        </w:rPr>
      </w:pPr>
    </w:p>
    <w:p w14:paraId="3A5C0D27" w14:textId="77777777" w:rsidR="000D2206" w:rsidRPr="00CA6801" w:rsidRDefault="00CA6801" w:rsidP="00C616A0">
      <w:pPr>
        <w:rPr>
          <w:i/>
          <w:szCs w:val="20"/>
        </w:rPr>
      </w:pPr>
      <w:r w:rsidRPr="00CA6801">
        <w:rPr>
          <w:i/>
          <w:color w:val="0000FF"/>
          <w:szCs w:val="20"/>
        </w:rPr>
        <w:t xml:space="preserve">[Plans should address which metrics are being collected and how they are interpreted </w:t>
      </w:r>
      <w:proofErr w:type="gramStart"/>
      <w:r w:rsidRPr="00CA6801">
        <w:rPr>
          <w:i/>
          <w:color w:val="0000FF"/>
          <w:szCs w:val="20"/>
        </w:rPr>
        <w:t>in order to</w:t>
      </w:r>
      <w:proofErr w:type="gramEnd"/>
      <w:r w:rsidRPr="00CA6801">
        <w:rPr>
          <w:i/>
          <w:color w:val="0000FF"/>
          <w:szCs w:val="20"/>
        </w:rPr>
        <w:t xml:space="preserve"> understand usage, impact, and uptake of materials disseminated via open repositories. </w:t>
      </w:r>
      <w:r w:rsidR="000D2206" w:rsidRPr="00CA6801">
        <w:rPr>
          <w:i/>
          <w:color w:val="0000FF"/>
          <w:szCs w:val="20"/>
        </w:rPr>
        <w:t xml:space="preserve">Input from these sections will inform system-level </w:t>
      </w:r>
      <w:r w:rsidR="00897649" w:rsidRPr="00CA6801">
        <w:rPr>
          <w:i/>
          <w:color w:val="0000FF"/>
          <w:szCs w:val="20"/>
        </w:rPr>
        <w:t xml:space="preserve">recommendations for assessment. Further recommendations related to metrics, </w:t>
      </w:r>
      <w:proofErr w:type="spellStart"/>
      <w:r w:rsidR="00897649" w:rsidRPr="00CA6801">
        <w:rPr>
          <w:i/>
          <w:color w:val="0000FF"/>
          <w:szCs w:val="20"/>
        </w:rPr>
        <w:t>altmetrics</w:t>
      </w:r>
      <w:proofErr w:type="spellEnd"/>
      <w:r w:rsidR="00897649" w:rsidRPr="00CA6801">
        <w:rPr>
          <w:i/>
          <w:color w:val="0000FF"/>
          <w:szCs w:val="20"/>
        </w:rPr>
        <w:t>, quantitative and qualitative measurements are expected later in 2015</w:t>
      </w:r>
      <w:r w:rsidR="00081613" w:rsidRPr="00CA6801">
        <w:rPr>
          <w:i/>
          <w:color w:val="0000FF"/>
          <w:szCs w:val="20"/>
        </w:rPr>
        <w:t xml:space="preserve"> based on input from Centers, CRPs, the OAIWG, and DMTF</w:t>
      </w:r>
      <w:r w:rsidR="00897649" w:rsidRPr="00CA6801">
        <w:rPr>
          <w:i/>
          <w:color w:val="0000FF"/>
          <w:szCs w:val="20"/>
        </w:rPr>
        <w:t>.]</w:t>
      </w:r>
    </w:p>
    <w:p w14:paraId="7871683B" w14:textId="77777777" w:rsidR="00E91A54" w:rsidRDefault="00E91A54" w:rsidP="00C616A0">
      <w:pPr>
        <w:rPr>
          <w:szCs w:val="20"/>
        </w:rPr>
      </w:pPr>
    </w:p>
    <w:p w14:paraId="31B8A22F" w14:textId="77777777" w:rsidR="006618B6" w:rsidRDefault="00866ECF" w:rsidP="006618B6">
      <w:pPr>
        <w:pStyle w:val="Heading2"/>
      </w:pPr>
      <w:bookmarkStart w:id="43" w:name="_Toc416727110"/>
      <w:r>
        <w:t>9</w:t>
      </w:r>
      <w:r w:rsidR="006618B6">
        <w:t>.1: &lt;Center/CRP&gt; Repository-Level Metrics</w:t>
      </w:r>
      <w:bookmarkEnd w:id="43"/>
    </w:p>
    <w:p w14:paraId="1332BD91" w14:textId="77777777" w:rsidR="006618B6" w:rsidRDefault="006618B6" w:rsidP="00C616A0">
      <w:pPr>
        <w:rPr>
          <w:szCs w:val="20"/>
        </w:rPr>
      </w:pPr>
    </w:p>
    <w:p w14:paraId="1C9F2B03" w14:textId="77777777" w:rsidR="00897649" w:rsidRDefault="00897649" w:rsidP="00C616A0">
      <w:pPr>
        <w:rPr>
          <w:i/>
          <w:color w:val="0000FF"/>
          <w:szCs w:val="20"/>
        </w:rPr>
      </w:pPr>
      <w:r w:rsidRPr="00897649">
        <w:rPr>
          <w:i/>
          <w:color w:val="0000FF"/>
          <w:szCs w:val="20"/>
        </w:rPr>
        <w:t>[Management of OA/OD efforts should include repository-level metrics to track and measure growth of repository content, who is adding records, how much repository items are downloaded, country-level information about who is making downloads, and how users are finding reposito</w:t>
      </w:r>
      <w:r>
        <w:rPr>
          <w:i/>
          <w:color w:val="0000FF"/>
          <w:szCs w:val="20"/>
        </w:rPr>
        <w:t>ries.]</w:t>
      </w:r>
    </w:p>
    <w:p w14:paraId="2141C292" w14:textId="77777777" w:rsidR="00897649" w:rsidRDefault="00897649" w:rsidP="00C616A0">
      <w:pPr>
        <w:rPr>
          <w:i/>
          <w:color w:val="0000FF"/>
          <w:szCs w:val="20"/>
        </w:rPr>
      </w:pPr>
    </w:p>
    <w:p w14:paraId="72D22285" w14:textId="77777777" w:rsidR="00586C8F" w:rsidRDefault="00866ECF" w:rsidP="00586C8F">
      <w:pPr>
        <w:pStyle w:val="Heading2"/>
      </w:pPr>
      <w:bookmarkStart w:id="44" w:name="_Toc416727111"/>
      <w:r>
        <w:t>9</w:t>
      </w:r>
      <w:r w:rsidR="00586C8F">
        <w:t>.</w:t>
      </w:r>
      <w:r w:rsidR="006618B6">
        <w:t>2</w:t>
      </w:r>
      <w:r w:rsidR="00586C8F">
        <w:t xml:space="preserve">: Measuring </w:t>
      </w:r>
      <w:r w:rsidR="00897649">
        <w:t xml:space="preserve">Item-Level </w:t>
      </w:r>
      <w:r w:rsidR="00586C8F">
        <w:t>Usage/Uptake</w:t>
      </w:r>
      <w:bookmarkEnd w:id="44"/>
    </w:p>
    <w:p w14:paraId="02832D19" w14:textId="77777777" w:rsidR="00586C8F" w:rsidRDefault="00586C8F" w:rsidP="00C616A0">
      <w:pPr>
        <w:rPr>
          <w:szCs w:val="20"/>
        </w:rPr>
      </w:pPr>
    </w:p>
    <w:p w14:paraId="7D65D765" w14:textId="77777777" w:rsidR="00586C8F" w:rsidRDefault="000542AF" w:rsidP="00C616A0">
      <w:pPr>
        <w:rPr>
          <w:i/>
          <w:color w:val="0000FF"/>
          <w:szCs w:val="20"/>
        </w:rPr>
      </w:pPr>
      <w:r w:rsidRPr="000542AF">
        <w:rPr>
          <w:i/>
          <w:color w:val="0000FF"/>
          <w:szCs w:val="20"/>
        </w:rPr>
        <w:t xml:space="preserve">[This subsection should include statements about </w:t>
      </w:r>
      <w:proofErr w:type="spellStart"/>
      <w:r w:rsidRPr="000542AF">
        <w:rPr>
          <w:i/>
          <w:color w:val="0000FF"/>
          <w:szCs w:val="20"/>
        </w:rPr>
        <w:t>altmetrics</w:t>
      </w:r>
      <w:proofErr w:type="spellEnd"/>
      <w:r w:rsidRPr="000542AF">
        <w:rPr>
          <w:i/>
          <w:color w:val="0000FF"/>
          <w:szCs w:val="20"/>
        </w:rPr>
        <w:t xml:space="preserve">, article-level metrics, data citations, and </w:t>
      </w:r>
      <w:r>
        <w:rPr>
          <w:i/>
          <w:color w:val="0000FF"/>
          <w:szCs w:val="20"/>
        </w:rPr>
        <w:t>metrics for data</w:t>
      </w:r>
      <w:r w:rsidR="00E53317">
        <w:rPr>
          <w:i/>
          <w:color w:val="0000FF"/>
          <w:szCs w:val="20"/>
        </w:rPr>
        <w:t xml:space="preserve">. Indicate any </w:t>
      </w:r>
      <w:proofErr w:type="spellStart"/>
      <w:r w:rsidR="00E53317">
        <w:rPr>
          <w:i/>
          <w:color w:val="0000FF"/>
          <w:szCs w:val="20"/>
        </w:rPr>
        <w:t>altmetrics</w:t>
      </w:r>
      <w:proofErr w:type="spellEnd"/>
      <w:r w:rsidR="00E53317">
        <w:rPr>
          <w:i/>
          <w:color w:val="0000FF"/>
          <w:szCs w:val="20"/>
        </w:rPr>
        <w:t xml:space="preserve"> providers the Center/CRP is using such as Plum Analytics, Impact Story, Altmetric.com. </w:t>
      </w:r>
      <w:proofErr w:type="gramStart"/>
      <w:r w:rsidR="00E53317">
        <w:rPr>
          <w:i/>
          <w:color w:val="0000FF"/>
          <w:szCs w:val="20"/>
        </w:rPr>
        <w:t>Also</w:t>
      </w:r>
      <w:proofErr w:type="gramEnd"/>
      <w:r w:rsidR="00E53317">
        <w:rPr>
          <w:i/>
          <w:color w:val="0000FF"/>
          <w:szCs w:val="20"/>
        </w:rPr>
        <w:t xml:space="preserve"> how those </w:t>
      </w:r>
      <w:proofErr w:type="spellStart"/>
      <w:r w:rsidR="00E53317">
        <w:rPr>
          <w:i/>
          <w:color w:val="0000FF"/>
          <w:szCs w:val="20"/>
        </w:rPr>
        <w:t>altmetrics</w:t>
      </w:r>
      <w:proofErr w:type="spellEnd"/>
      <w:r w:rsidR="00E53317">
        <w:rPr>
          <w:i/>
          <w:color w:val="0000FF"/>
          <w:szCs w:val="20"/>
        </w:rPr>
        <w:t xml:space="preserve"> are being used and how they are shared with researchers.] </w:t>
      </w:r>
    </w:p>
    <w:p w14:paraId="47052A31" w14:textId="77777777" w:rsidR="00E53317" w:rsidRDefault="00E53317" w:rsidP="00C616A0">
      <w:pPr>
        <w:rPr>
          <w:i/>
          <w:color w:val="0000FF"/>
          <w:szCs w:val="20"/>
        </w:rPr>
      </w:pPr>
    </w:p>
    <w:p w14:paraId="2C3064F5" w14:textId="77777777" w:rsidR="00E53317" w:rsidRPr="000542AF" w:rsidRDefault="00E53317" w:rsidP="00C616A0">
      <w:pPr>
        <w:rPr>
          <w:i/>
          <w:szCs w:val="20"/>
        </w:rPr>
      </w:pPr>
      <w:r>
        <w:rPr>
          <w:i/>
          <w:color w:val="0000FF"/>
          <w:szCs w:val="20"/>
        </w:rPr>
        <w:t>[Include a statement about Impact Factor – if it is being used for any purpose, how so.]</w:t>
      </w:r>
    </w:p>
    <w:p w14:paraId="579DC599" w14:textId="77777777" w:rsidR="00586C8F" w:rsidRDefault="00586C8F" w:rsidP="00C616A0">
      <w:pPr>
        <w:rPr>
          <w:szCs w:val="20"/>
        </w:rPr>
      </w:pPr>
    </w:p>
    <w:p w14:paraId="5AB25A11" w14:textId="77777777" w:rsidR="00586C8F" w:rsidRDefault="00866ECF" w:rsidP="00586C8F">
      <w:pPr>
        <w:pStyle w:val="Heading2"/>
      </w:pPr>
      <w:bookmarkStart w:id="45" w:name="_Toc416727112"/>
      <w:r>
        <w:t>9</w:t>
      </w:r>
      <w:r w:rsidR="00586C8F">
        <w:t>.</w:t>
      </w:r>
      <w:r w:rsidR="006618B6">
        <w:t>3</w:t>
      </w:r>
      <w:r w:rsidR="00586C8F">
        <w:t>: Measuring Individuals’ Compliance</w:t>
      </w:r>
      <w:bookmarkEnd w:id="45"/>
    </w:p>
    <w:p w14:paraId="07363611" w14:textId="77777777" w:rsidR="00586C8F" w:rsidRDefault="00586C8F" w:rsidP="00C616A0">
      <w:pPr>
        <w:rPr>
          <w:szCs w:val="20"/>
        </w:rPr>
      </w:pPr>
    </w:p>
    <w:p w14:paraId="45C4CF44" w14:textId="77777777" w:rsidR="000D2206" w:rsidRDefault="000D2206" w:rsidP="00C616A0">
      <w:pPr>
        <w:rPr>
          <w:i/>
          <w:color w:val="0000FF"/>
          <w:szCs w:val="20"/>
        </w:rPr>
      </w:pPr>
      <w:r w:rsidRPr="000D2206">
        <w:rPr>
          <w:i/>
          <w:color w:val="0000FF"/>
          <w:szCs w:val="20"/>
        </w:rPr>
        <w:t>[Plans should address ways in which individuals’ compliance is t</w:t>
      </w:r>
      <w:r>
        <w:rPr>
          <w:i/>
          <w:color w:val="0000FF"/>
          <w:szCs w:val="20"/>
        </w:rPr>
        <w:t>racked, measured, and reviewed. If the Center/CRP has mechanisms in place to push compliance, it should be noted here. For instance, the University of Liege in Belgium only recognizes those item</w:t>
      </w:r>
      <w:r w:rsidR="00897649">
        <w:rPr>
          <w:i/>
          <w:color w:val="0000FF"/>
          <w:szCs w:val="20"/>
        </w:rPr>
        <w:t>s deposited into repositories as part of the annual review process.]</w:t>
      </w:r>
    </w:p>
    <w:p w14:paraId="2A503A2C" w14:textId="77777777" w:rsidR="000D2206" w:rsidRDefault="000D2206" w:rsidP="00C616A0">
      <w:pPr>
        <w:rPr>
          <w:i/>
          <w:color w:val="0000FF"/>
          <w:szCs w:val="20"/>
        </w:rPr>
      </w:pPr>
    </w:p>
    <w:p w14:paraId="62D474FC" w14:textId="77777777" w:rsidR="000D2206" w:rsidRPr="000D2206" w:rsidRDefault="000D2206" w:rsidP="00C616A0">
      <w:pPr>
        <w:rPr>
          <w:i/>
          <w:color w:val="0000FF"/>
          <w:szCs w:val="20"/>
        </w:rPr>
      </w:pPr>
      <w:r w:rsidRPr="000D2206">
        <w:rPr>
          <w:i/>
          <w:color w:val="0000FF"/>
          <w:szCs w:val="20"/>
        </w:rPr>
        <w:t xml:space="preserve">[Some research-funding organizations like the U.S. National Institutes of Health (NIH) policy and the </w:t>
      </w:r>
      <w:proofErr w:type="spellStart"/>
      <w:r w:rsidRPr="000D2206">
        <w:rPr>
          <w:i/>
          <w:color w:val="0000FF"/>
          <w:szCs w:val="20"/>
        </w:rPr>
        <w:t>Wellcome</w:t>
      </w:r>
      <w:proofErr w:type="spellEnd"/>
      <w:r w:rsidRPr="000D2206">
        <w:rPr>
          <w:i/>
          <w:color w:val="0000FF"/>
          <w:szCs w:val="20"/>
        </w:rPr>
        <w:t xml:space="preserve"> Trust are beginning to penalize researchers who do not comply with OA/OD policies, resulting in withholding or delayed payment of funds.</w:t>
      </w:r>
      <w:r>
        <w:rPr>
          <w:rStyle w:val="FootnoteReference"/>
          <w:i/>
          <w:color w:val="0000FF"/>
          <w:szCs w:val="20"/>
        </w:rPr>
        <w:footnoteReference w:id="7"/>
      </w:r>
      <w:r w:rsidRPr="000D2206">
        <w:rPr>
          <w:i/>
          <w:color w:val="0000FF"/>
          <w:szCs w:val="20"/>
        </w:rPr>
        <w:t>]</w:t>
      </w:r>
    </w:p>
    <w:p w14:paraId="0B98E0EF" w14:textId="77777777" w:rsidR="00586C8F" w:rsidRDefault="00586C8F" w:rsidP="00C616A0">
      <w:pPr>
        <w:rPr>
          <w:szCs w:val="20"/>
        </w:rPr>
      </w:pPr>
    </w:p>
    <w:p w14:paraId="02F9EE32" w14:textId="77777777" w:rsidR="00897649" w:rsidRPr="00897649" w:rsidRDefault="00897649" w:rsidP="00C616A0">
      <w:pPr>
        <w:rPr>
          <w:i/>
          <w:szCs w:val="20"/>
        </w:rPr>
      </w:pPr>
      <w:r w:rsidRPr="00897649">
        <w:rPr>
          <w:i/>
          <w:color w:val="0000FF"/>
          <w:szCs w:val="20"/>
        </w:rPr>
        <w:t xml:space="preserve">[Employment contracts should be updated to include reference to the OA/OD policy and appropriate methods of assessment.] </w:t>
      </w:r>
    </w:p>
    <w:p w14:paraId="49339E93" w14:textId="77777777" w:rsidR="00897649" w:rsidRDefault="00897649" w:rsidP="00C616A0">
      <w:pPr>
        <w:rPr>
          <w:szCs w:val="20"/>
        </w:rPr>
      </w:pPr>
    </w:p>
    <w:p w14:paraId="5C573FE6" w14:textId="77777777" w:rsidR="00897649" w:rsidRDefault="00897649" w:rsidP="00C616A0">
      <w:pPr>
        <w:rPr>
          <w:szCs w:val="20"/>
        </w:rPr>
      </w:pPr>
      <w:r>
        <w:rPr>
          <w:szCs w:val="20"/>
        </w:rPr>
        <w:t xml:space="preserve">Credit should be given to researchers for efforts to disseminate their information products in openly-accessible ways (i.e. via depositing into the &lt;Center’s/CRP’s&gt; repositories). Employment contracts now include the following language to include reference to the OA/OD Policy and how it will be tied to assessment: </w:t>
      </w:r>
    </w:p>
    <w:p w14:paraId="1A3B4AE0" w14:textId="77777777" w:rsidR="00897649" w:rsidRDefault="00897649" w:rsidP="00C616A0">
      <w:pPr>
        <w:rPr>
          <w:szCs w:val="20"/>
        </w:rPr>
      </w:pPr>
    </w:p>
    <w:p w14:paraId="6FB43190" w14:textId="77777777" w:rsidR="00897649" w:rsidRPr="00897649" w:rsidRDefault="00897649" w:rsidP="00C616A0">
      <w:pPr>
        <w:rPr>
          <w:i/>
          <w:szCs w:val="20"/>
        </w:rPr>
      </w:pPr>
      <w:r w:rsidRPr="00897649">
        <w:rPr>
          <w:i/>
          <w:color w:val="0000FF"/>
          <w:szCs w:val="20"/>
        </w:rPr>
        <w:tab/>
      </w:r>
      <w:r w:rsidR="00B366FC">
        <w:rPr>
          <w:i/>
          <w:color w:val="0000FF"/>
          <w:szCs w:val="20"/>
        </w:rPr>
        <w:t>[</w:t>
      </w:r>
      <w:r w:rsidRPr="00897649">
        <w:rPr>
          <w:i/>
          <w:color w:val="0000FF"/>
          <w:szCs w:val="20"/>
        </w:rPr>
        <w:t>Insert language here.]</w:t>
      </w:r>
    </w:p>
    <w:p w14:paraId="6EDE585F" w14:textId="77777777" w:rsidR="000D2206" w:rsidRDefault="000D2206" w:rsidP="00C616A0">
      <w:pPr>
        <w:rPr>
          <w:szCs w:val="20"/>
        </w:rPr>
      </w:pPr>
    </w:p>
    <w:p w14:paraId="62F1267A" w14:textId="77777777" w:rsidR="00586C8F" w:rsidRDefault="00866ECF" w:rsidP="00586C8F">
      <w:pPr>
        <w:pStyle w:val="Heading2"/>
      </w:pPr>
      <w:bookmarkStart w:id="46" w:name="_Toc416727113"/>
      <w:r>
        <w:t>9</w:t>
      </w:r>
      <w:r w:rsidR="006618B6">
        <w:t>.4</w:t>
      </w:r>
      <w:r w:rsidR="00586C8F">
        <w:t xml:space="preserve"> Assessing and Reviewing &lt;Center/CRP&gt;-Level Progress and Impact</w:t>
      </w:r>
      <w:bookmarkEnd w:id="46"/>
    </w:p>
    <w:p w14:paraId="585DFACC" w14:textId="77777777" w:rsidR="00586C8F" w:rsidRDefault="00586C8F" w:rsidP="00C616A0">
      <w:pPr>
        <w:rPr>
          <w:szCs w:val="20"/>
        </w:rPr>
      </w:pPr>
    </w:p>
    <w:p w14:paraId="286B5434" w14:textId="77777777" w:rsidR="00CA6801" w:rsidRPr="00183EDA" w:rsidRDefault="00CA6801" w:rsidP="00C616A0">
      <w:pPr>
        <w:rPr>
          <w:i/>
          <w:color w:val="0000FF"/>
          <w:szCs w:val="20"/>
        </w:rPr>
      </w:pPr>
      <w:r w:rsidRPr="00183EDA">
        <w:rPr>
          <w:i/>
          <w:color w:val="0000FF"/>
          <w:szCs w:val="20"/>
        </w:rPr>
        <w:t>[This subsection should indicate how progress at the Center/CRP-level is being tracked and how it will be interpreted. Some metrics to consider: % of full-text articles vs. metadata-only records; the number of full-text articles submitted within 1 month of publication, within 3 months of publication, within 6 months o</w:t>
      </w:r>
      <w:r w:rsidR="00183EDA" w:rsidRPr="00183EDA">
        <w:rPr>
          <w:i/>
          <w:color w:val="0000FF"/>
          <w:szCs w:val="20"/>
        </w:rPr>
        <w:t>f publication; etc.]</w:t>
      </w:r>
    </w:p>
    <w:p w14:paraId="388A1E8A" w14:textId="77777777" w:rsidR="00866ECF" w:rsidRDefault="00866ECF" w:rsidP="00866ECF"/>
    <w:p w14:paraId="25C27132" w14:textId="77777777" w:rsidR="005C632B" w:rsidRDefault="00866ECF" w:rsidP="005C632B">
      <w:pPr>
        <w:pStyle w:val="Heading2"/>
      </w:pPr>
      <w:bookmarkStart w:id="47" w:name="_Toc416727114"/>
      <w:r>
        <w:t>9</w:t>
      </w:r>
      <w:r w:rsidR="006618B6">
        <w:t>.5</w:t>
      </w:r>
      <w:r w:rsidR="005C632B">
        <w:t>: Increasing Visibility – Additional Steps</w:t>
      </w:r>
      <w:bookmarkEnd w:id="47"/>
    </w:p>
    <w:p w14:paraId="2F7D5592" w14:textId="77777777" w:rsidR="005C632B" w:rsidRDefault="005C632B" w:rsidP="00C616A0">
      <w:pPr>
        <w:rPr>
          <w:szCs w:val="20"/>
        </w:rPr>
      </w:pPr>
    </w:p>
    <w:p w14:paraId="764883AC" w14:textId="77777777" w:rsidR="00183EDA" w:rsidRPr="00183EDA" w:rsidRDefault="00183EDA" w:rsidP="00C616A0">
      <w:pPr>
        <w:rPr>
          <w:i/>
          <w:color w:val="0000FF"/>
          <w:szCs w:val="20"/>
        </w:rPr>
      </w:pPr>
      <w:r w:rsidRPr="00183EDA">
        <w:rPr>
          <w:i/>
          <w:color w:val="0000FF"/>
          <w:szCs w:val="20"/>
        </w:rPr>
        <w:t xml:space="preserve">[Use this section to describe any other ways in which the repository, repository contents, and CGIAR Open Access/Open Data are being promoted </w:t>
      </w:r>
      <w:proofErr w:type="gramStart"/>
      <w:r w:rsidRPr="00183EDA">
        <w:rPr>
          <w:i/>
          <w:color w:val="0000FF"/>
          <w:szCs w:val="20"/>
        </w:rPr>
        <w:t>in order to</w:t>
      </w:r>
      <w:proofErr w:type="gramEnd"/>
      <w:r w:rsidRPr="00183EDA">
        <w:rPr>
          <w:i/>
          <w:color w:val="0000FF"/>
          <w:szCs w:val="20"/>
        </w:rPr>
        <w:t xml:space="preserve"> increase visibility and uptake of research. For example, list any directories and registries in which the repository is listed, any known harvesters that are harvesting and aggregating contents, suggestions offered to researchers on increasing visibility of their materials, etc.]</w:t>
      </w:r>
    </w:p>
    <w:p w14:paraId="56F0622E" w14:textId="77777777" w:rsidR="00183EDA" w:rsidRDefault="00183EDA" w:rsidP="00C616A0">
      <w:pPr>
        <w:rPr>
          <w:szCs w:val="20"/>
          <w:highlight w:val="yellow"/>
        </w:rPr>
      </w:pPr>
    </w:p>
    <w:p w14:paraId="5EF372EC" w14:textId="450AC77E" w:rsidR="00824020" w:rsidRDefault="00824020">
      <w:pPr>
        <w:rPr>
          <w:szCs w:val="20"/>
        </w:rPr>
      </w:pPr>
      <w:r>
        <w:rPr>
          <w:szCs w:val="20"/>
        </w:rPr>
        <w:br w:type="page"/>
      </w:r>
    </w:p>
    <w:p w14:paraId="4D787619" w14:textId="77777777" w:rsidR="00824020" w:rsidRDefault="00824020" w:rsidP="00824020">
      <w:pPr>
        <w:rPr>
          <w:b/>
          <w:sz w:val="28"/>
          <w:szCs w:val="28"/>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24020" w:rsidRPr="00C45B57" w14:paraId="07A89AA3" w14:textId="77777777" w:rsidTr="00A43D77">
        <w:tc>
          <w:tcPr>
            <w:tcW w:w="9017" w:type="dxa"/>
          </w:tcPr>
          <w:p w14:paraId="21576E28" w14:textId="77777777" w:rsidR="00824020" w:rsidRPr="00C45B57" w:rsidRDefault="00824020" w:rsidP="00A43D77">
            <w:pPr>
              <w:rPr>
                <w:b/>
                <w:color w:val="000000" w:themeColor="text1"/>
                <w:sz w:val="28"/>
                <w:szCs w:val="28"/>
              </w:rPr>
            </w:pPr>
          </w:p>
          <w:p w14:paraId="3229BC8A" w14:textId="77777777" w:rsidR="00824020" w:rsidRPr="00C45B57" w:rsidRDefault="00824020" w:rsidP="00A43D77">
            <w:pPr>
              <w:jc w:val="center"/>
              <w:rPr>
                <w:b/>
                <w:color w:val="000000" w:themeColor="text1"/>
                <w:sz w:val="44"/>
                <w:szCs w:val="44"/>
              </w:rPr>
            </w:pPr>
          </w:p>
          <w:p w14:paraId="0632C2F8" w14:textId="77777777" w:rsidR="00824020" w:rsidRPr="00C45B57" w:rsidRDefault="00824020" w:rsidP="00A43D77">
            <w:pPr>
              <w:jc w:val="center"/>
              <w:rPr>
                <w:b/>
                <w:color w:val="000000" w:themeColor="text1"/>
                <w:sz w:val="44"/>
                <w:szCs w:val="44"/>
              </w:rPr>
            </w:pPr>
            <w:r w:rsidRPr="00C45B57">
              <w:rPr>
                <w:b/>
                <w:color w:val="000000" w:themeColor="text1"/>
                <w:sz w:val="44"/>
                <w:szCs w:val="44"/>
              </w:rPr>
              <w:t>Open Access/Open Data Implementation Plan</w:t>
            </w:r>
          </w:p>
          <w:p w14:paraId="646E467C" w14:textId="77777777" w:rsidR="00824020" w:rsidRPr="00C45B57" w:rsidRDefault="00824020" w:rsidP="00A43D77">
            <w:pPr>
              <w:jc w:val="center"/>
              <w:rPr>
                <w:b/>
                <w:color w:val="000000" w:themeColor="text1"/>
                <w:sz w:val="28"/>
                <w:szCs w:val="28"/>
              </w:rPr>
            </w:pPr>
          </w:p>
          <w:p w14:paraId="7592EB32" w14:textId="77777777" w:rsidR="00824020" w:rsidRPr="00C45B57" w:rsidRDefault="00824020" w:rsidP="00A43D77">
            <w:pPr>
              <w:jc w:val="center"/>
              <w:rPr>
                <w:b/>
                <w:color w:val="000000" w:themeColor="text1"/>
                <w:sz w:val="40"/>
                <w:szCs w:val="40"/>
              </w:rPr>
            </w:pPr>
            <w:r w:rsidRPr="00C45B57">
              <w:rPr>
                <w:b/>
                <w:color w:val="000000" w:themeColor="text1"/>
                <w:sz w:val="40"/>
                <w:szCs w:val="40"/>
              </w:rPr>
              <w:t>Template Annex</w:t>
            </w:r>
          </w:p>
          <w:p w14:paraId="2055C970" w14:textId="77777777" w:rsidR="00824020" w:rsidRPr="00C45B57" w:rsidRDefault="00824020" w:rsidP="00A43D77">
            <w:pPr>
              <w:rPr>
                <w:b/>
                <w:color w:val="000000" w:themeColor="text1"/>
                <w:sz w:val="28"/>
                <w:szCs w:val="28"/>
              </w:rPr>
            </w:pPr>
          </w:p>
          <w:p w14:paraId="161D934C" w14:textId="77777777" w:rsidR="00824020" w:rsidRPr="00C45B57" w:rsidRDefault="00824020" w:rsidP="00A43D77">
            <w:pPr>
              <w:rPr>
                <w:b/>
                <w:color w:val="000000" w:themeColor="text1"/>
                <w:sz w:val="28"/>
                <w:szCs w:val="28"/>
              </w:rPr>
            </w:pPr>
          </w:p>
        </w:tc>
      </w:tr>
    </w:tbl>
    <w:p w14:paraId="6A411263" w14:textId="77777777" w:rsidR="00824020" w:rsidRPr="00C45B57" w:rsidRDefault="00824020" w:rsidP="00824020">
      <w:pPr>
        <w:rPr>
          <w:b/>
          <w:color w:val="000000" w:themeColor="text1"/>
          <w:sz w:val="28"/>
          <w:szCs w:val="28"/>
        </w:rPr>
      </w:pPr>
    </w:p>
    <w:p w14:paraId="5D6B627D" w14:textId="77777777" w:rsidR="00824020" w:rsidRPr="00C45B57" w:rsidRDefault="00824020" w:rsidP="00824020">
      <w:pPr>
        <w:rPr>
          <w:b/>
          <w:color w:val="000000" w:themeColor="text1"/>
          <w:sz w:val="28"/>
          <w:szCs w:val="28"/>
        </w:rPr>
      </w:pPr>
    </w:p>
    <w:p w14:paraId="7BAE3F48" w14:textId="77777777" w:rsidR="00824020" w:rsidRDefault="00824020" w:rsidP="00824020">
      <w:pPr>
        <w:jc w:val="center"/>
        <w:rPr>
          <w:b/>
          <w:sz w:val="28"/>
          <w:szCs w:val="28"/>
        </w:rPr>
      </w:pPr>
      <w:r w:rsidRPr="00C45B57">
        <w:rPr>
          <w:b/>
          <w:color w:val="000000" w:themeColor="text1"/>
          <w:sz w:val="28"/>
          <w:szCs w:val="28"/>
        </w:rPr>
        <w:t>11 May 2015</w:t>
      </w:r>
    </w:p>
    <w:p w14:paraId="66BEA03E" w14:textId="77777777" w:rsidR="00824020" w:rsidRDefault="00824020" w:rsidP="00824020">
      <w:pPr>
        <w:jc w:val="center"/>
        <w:rPr>
          <w:b/>
          <w:sz w:val="28"/>
          <w:szCs w:val="28"/>
        </w:rPr>
      </w:pPr>
    </w:p>
    <w:p w14:paraId="3A166ABA" w14:textId="77777777" w:rsidR="00824020" w:rsidRDefault="00824020" w:rsidP="00824020"/>
    <w:p w14:paraId="0909333F" w14:textId="77777777" w:rsidR="00824020" w:rsidRDefault="00824020" w:rsidP="00824020"/>
    <w:tbl>
      <w:tblPr>
        <w:tblStyle w:val="TableGrid"/>
        <w:tblW w:w="0" w:type="auto"/>
        <w:tblLook w:val="04A0" w:firstRow="1" w:lastRow="0" w:firstColumn="1" w:lastColumn="0" w:noHBand="0" w:noVBand="1"/>
      </w:tblPr>
      <w:tblGrid>
        <w:gridCol w:w="9017"/>
      </w:tblGrid>
      <w:tr w:rsidR="00824020" w14:paraId="794C79B2" w14:textId="77777777" w:rsidTr="00A43D77">
        <w:tc>
          <w:tcPr>
            <w:tcW w:w="9017" w:type="dxa"/>
          </w:tcPr>
          <w:p w14:paraId="40FFAAEA" w14:textId="77777777" w:rsidR="00824020" w:rsidRDefault="00824020" w:rsidP="00A43D77"/>
          <w:p w14:paraId="2B4CA13C" w14:textId="77777777" w:rsidR="00824020" w:rsidRPr="00C45B57" w:rsidRDefault="00824020" w:rsidP="00A43D77">
            <w:pPr>
              <w:rPr>
                <w:i/>
              </w:rPr>
            </w:pPr>
            <w:r>
              <w:rPr>
                <w:i/>
              </w:rPr>
              <w:t xml:space="preserve">About the Template Annex: </w:t>
            </w:r>
          </w:p>
          <w:p w14:paraId="35D2468D" w14:textId="77777777" w:rsidR="00824020" w:rsidRDefault="00824020" w:rsidP="00A43D77"/>
          <w:p w14:paraId="5EE95B33" w14:textId="77777777" w:rsidR="00824020" w:rsidRDefault="00824020" w:rsidP="00A43D77">
            <w:pPr>
              <w:ind w:left="720"/>
            </w:pPr>
            <w:r>
              <w:t xml:space="preserve">Additional suggested text and tables that were requested during the Asia and MENA Open Access/Open Data Implementation Workshops are included in this document. </w:t>
            </w:r>
          </w:p>
          <w:p w14:paraId="395C9469" w14:textId="77777777" w:rsidR="00824020" w:rsidRDefault="00824020" w:rsidP="00A43D77">
            <w:pPr>
              <w:ind w:left="720"/>
            </w:pPr>
          </w:p>
          <w:p w14:paraId="2FB654AA" w14:textId="77777777" w:rsidR="00824020" w:rsidRDefault="00824020" w:rsidP="00A43D77">
            <w:pPr>
              <w:ind w:left="720"/>
            </w:pPr>
            <w:r>
              <w:t xml:space="preserve">The notes in this Annex are intended to provide supplemental guidance, clarifications, or revised tables to include in Centers’/CRPs’ Implementation Plans based on the feedback and input received from participants during these two workshops. </w:t>
            </w:r>
          </w:p>
          <w:p w14:paraId="00DAD368" w14:textId="77777777" w:rsidR="00824020" w:rsidRDefault="00824020" w:rsidP="00A43D77">
            <w:pPr>
              <w:ind w:left="720"/>
            </w:pPr>
          </w:p>
          <w:p w14:paraId="65ECE17E" w14:textId="77777777" w:rsidR="00824020" w:rsidRDefault="00824020" w:rsidP="00A43D77">
            <w:pPr>
              <w:ind w:left="720"/>
            </w:pPr>
            <w:r>
              <w:t xml:space="preserve">Materials included in this annex are not intended to replace any content in the Template, but rather to offer additional language to consider incorporating into implementation plans. </w:t>
            </w:r>
          </w:p>
          <w:p w14:paraId="4B939F20" w14:textId="77777777" w:rsidR="00824020" w:rsidRDefault="00824020" w:rsidP="00A43D77"/>
        </w:tc>
      </w:tr>
    </w:tbl>
    <w:p w14:paraId="05E59129" w14:textId="77777777" w:rsidR="00824020" w:rsidRDefault="00824020" w:rsidP="00824020"/>
    <w:p w14:paraId="52FE9029" w14:textId="77777777" w:rsidR="00824020" w:rsidRDefault="00824020" w:rsidP="00824020"/>
    <w:p w14:paraId="0AED4C90" w14:textId="77777777" w:rsidR="00824020" w:rsidRDefault="00824020" w:rsidP="00824020"/>
    <w:p w14:paraId="4C9EF7B8" w14:textId="77777777" w:rsidR="00824020" w:rsidRDefault="00824020" w:rsidP="00824020"/>
    <w:tbl>
      <w:tblPr>
        <w:tblStyle w:val="TableGrid"/>
        <w:tblW w:w="0" w:type="auto"/>
        <w:tblLook w:val="04A0" w:firstRow="1" w:lastRow="0" w:firstColumn="1" w:lastColumn="0" w:noHBand="0" w:noVBand="1"/>
      </w:tblPr>
      <w:tblGrid>
        <w:gridCol w:w="9017"/>
      </w:tblGrid>
      <w:tr w:rsidR="00824020" w14:paraId="25EB3CD6" w14:textId="77777777" w:rsidTr="00A43D77">
        <w:tc>
          <w:tcPr>
            <w:tcW w:w="9017" w:type="dxa"/>
          </w:tcPr>
          <w:p w14:paraId="09922BA8" w14:textId="77777777" w:rsidR="00824020" w:rsidRDefault="00824020" w:rsidP="00A43D77"/>
          <w:p w14:paraId="47A18F64" w14:textId="77777777" w:rsidR="00824020" w:rsidRDefault="00824020" w:rsidP="00A43D77">
            <w:r>
              <w:t xml:space="preserve">Change log: </w:t>
            </w:r>
          </w:p>
          <w:p w14:paraId="1C06D47C" w14:textId="77777777" w:rsidR="00824020" w:rsidRDefault="00824020" w:rsidP="00A43D77"/>
          <w:p w14:paraId="4D1254C4" w14:textId="77777777" w:rsidR="00824020" w:rsidRDefault="00824020" w:rsidP="00824020">
            <w:pPr>
              <w:pStyle w:val="ListParagraph"/>
              <w:numPr>
                <w:ilvl w:val="0"/>
                <w:numId w:val="18"/>
              </w:numPr>
            </w:pPr>
            <w:r>
              <w:t>Section 1.1 – Additional text added May 2015</w:t>
            </w:r>
          </w:p>
          <w:p w14:paraId="534AB420" w14:textId="77777777" w:rsidR="00824020" w:rsidRDefault="00824020" w:rsidP="00824020">
            <w:pPr>
              <w:pStyle w:val="ListParagraph"/>
              <w:numPr>
                <w:ilvl w:val="0"/>
                <w:numId w:val="18"/>
              </w:numPr>
            </w:pPr>
            <w:r>
              <w:t>Section 1.7 – Additional text added May 2015</w:t>
            </w:r>
          </w:p>
          <w:p w14:paraId="73ED100E" w14:textId="77777777" w:rsidR="00824020" w:rsidRDefault="00824020" w:rsidP="00824020">
            <w:pPr>
              <w:pStyle w:val="ListParagraph"/>
              <w:numPr>
                <w:ilvl w:val="0"/>
                <w:numId w:val="18"/>
              </w:numPr>
            </w:pPr>
            <w:r>
              <w:t>Section 8.1 – Additional text added May 2015</w:t>
            </w:r>
          </w:p>
          <w:p w14:paraId="688DE085" w14:textId="77777777" w:rsidR="00824020" w:rsidRDefault="00824020" w:rsidP="00A43D77"/>
        </w:tc>
      </w:tr>
    </w:tbl>
    <w:p w14:paraId="4C89B482" w14:textId="77777777" w:rsidR="00824020" w:rsidRDefault="00824020" w:rsidP="00824020">
      <w:r>
        <w:br w:type="page"/>
      </w:r>
    </w:p>
    <w:p w14:paraId="59DEC61A" w14:textId="77777777" w:rsidR="00824020" w:rsidRDefault="00824020" w:rsidP="00824020">
      <w:pPr>
        <w:pStyle w:val="Heading1"/>
      </w:pPr>
      <w:r>
        <w:t>Section 1: Introduction</w:t>
      </w:r>
    </w:p>
    <w:p w14:paraId="5262BC58" w14:textId="77777777" w:rsidR="00824020" w:rsidRDefault="00824020" w:rsidP="00824020">
      <w:r>
        <w:t xml:space="preserve"> </w:t>
      </w:r>
    </w:p>
    <w:p w14:paraId="30E06133" w14:textId="77777777" w:rsidR="00824020" w:rsidRDefault="00824020" w:rsidP="00824020">
      <w:pPr>
        <w:pStyle w:val="Heading2"/>
      </w:pPr>
      <w:r>
        <w:t>1.1: Purpose of the OA/OD Implementation Plan</w:t>
      </w:r>
    </w:p>
    <w:p w14:paraId="2AFDA437" w14:textId="77777777" w:rsidR="00824020" w:rsidRDefault="00824020" w:rsidP="00824020"/>
    <w:p w14:paraId="5F919EC8" w14:textId="2D437E09" w:rsidR="00824020" w:rsidRPr="00A23CEC" w:rsidRDefault="00824020" w:rsidP="00824020">
      <w:pPr>
        <w:rPr>
          <w:i/>
          <w:color w:val="0000FF"/>
          <w:szCs w:val="20"/>
        </w:rPr>
      </w:pPr>
      <w:r w:rsidRPr="00A23CEC">
        <w:rPr>
          <w:i/>
          <w:color w:val="0000FF"/>
          <w:szCs w:val="20"/>
        </w:rPr>
        <w:t>[This subsection presents a brief introduction to &lt;Center/CR</w:t>
      </w:r>
      <w:r w:rsidR="00FB57A7">
        <w:rPr>
          <w:i/>
          <w:color w:val="0000FF"/>
          <w:szCs w:val="20"/>
        </w:rPr>
        <w:t>P</w:t>
      </w:r>
      <w:r w:rsidRPr="00A23CEC">
        <w:rPr>
          <w:i/>
          <w:color w:val="0000FF"/>
          <w:szCs w:val="20"/>
        </w:rPr>
        <w:t>&gt; implementation of Open Access and Open Data</w:t>
      </w:r>
      <w:r>
        <w:rPr>
          <w:i/>
          <w:color w:val="0000FF"/>
          <w:szCs w:val="20"/>
        </w:rPr>
        <w:t xml:space="preserve">. Some Centers requested additional sample text to incorporate </w:t>
      </w:r>
      <w:r w:rsidR="00FB57A7">
        <w:rPr>
          <w:i/>
          <w:color w:val="0000FF"/>
          <w:szCs w:val="20"/>
        </w:rPr>
        <w:t>referring</w:t>
      </w:r>
      <w:r>
        <w:rPr>
          <w:i/>
          <w:color w:val="0000FF"/>
          <w:szCs w:val="20"/>
        </w:rPr>
        <w:t xml:space="preserve"> to Open Access policies by key donors.]</w:t>
      </w:r>
    </w:p>
    <w:p w14:paraId="70853F76" w14:textId="77777777" w:rsidR="00824020" w:rsidRDefault="00824020" w:rsidP="00824020"/>
    <w:p w14:paraId="42E085C8" w14:textId="77777777" w:rsidR="00824020" w:rsidRDefault="00824020" w:rsidP="00824020">
      <w:r>
        <w:t xml:space="preserve">Over the past five years, major research funders around the world have begun to mandate Open Access to outputs of the research they fund. In late 2014, the Bill and Melinda Gates Foundation instituted an important policy which, after a two-year transition period, will require immediate, unrestricted access and reuse to all research outputs – including data – funded in part or in whole by the foundation. Other major funders of CGIAR research such as DFID, USAID, and USDA also have their own policies which push for open access to research outputs, including data. </w:t>
      </w:r>
    </w:p>
    <w:p w14:paraId="3A79237F" w14:textId="77777777" w:rsidR="00824020" w:rsidRDefault="00824020" w:rsidP="00824020"/>
    <w:p w14:paraId="545390CF" w14:textId="77777777" w:rsidR="00824020" w:rsidRDefault="00824020" w:rsidP="00824020">
      <w:pPr>
        <w:pStyle w:val="Heading2"/>
      </w:pPr>
      <w:r>
        <w:t>1.7: Exceptions and Exemptions to the Deposit Schedule</w:t>
      </w:r>
    </w:p>
    <w:p w14:paraId="24E72E97" w14:textId="77777777" w:rsidR="00824020" w:rsidRDefault="00824020" w:rsidP="00824020"/>
    <w:p w14:paraId="53F32514" w14:textId="77777777" w:rsidR="00824020" w:rsidRDefault="00824020" w:rsidP="00824020">
      <w:pPr>
        <w:rPr>
          <w:i/>
          <w:color w:val="0000FF"/>
        </w:rPr>
      </w:pPr>
      <w:r>
        <w:rPr>
          <w:i/>
          <w:color w:val="0000FF"/>
        </w:rPr>
        <w:t>[Several Centers requested further clarification and sample text to use as a starting point for this section. Further clarification and a suggested work flow is provided below. The workflow should be revised based on the actual workflow in place at each Center.</w:t>
      </w:r>
    </w:p>
    <w:p w14:paraId="31E26262" w14:textId="77777777" w:rsidR="00824020" w:rsidRDefault="00824020" w:rsidP="00824020"/>
    <w:p w14:paraId="54E51594" w14:textId="77777777" w:rsidR="00824020" w:rsidRPr="00B36AF4" w:rsidRDefault="00824020" w:rsidP="00824020">
      <w:pPr>
        <w:rPr>
          <w:i/>
          <w:color w:val="0000FF"/>
        </w:rPr>
      </w:pPr>
      <w:r w:rsidRPr="00B36AF4">
        <w:rPr>
          <w:i/>
          <w:color w:val="0000FF"/>
        </w:rPr>
        <w:t>CGIAR Centers have a general legal obligation to promptly and broadly disseminate research results (as per Article 6, CGIAR IA Principles) and specifically, to make information products Open Access in accordance with the deposit schedules</w:t>
      </w:r>
      <w:r w:rsidRPr="00995802">
        <w:rPr>
          <w:i/>
          <w:color w:val="0000FF"/>
        </w:rPr>
        <w:t xml:space="preserve"> contained in</w:t>
      </w:r>
      <w:r w:rsidRPr="00B36AF4">
        <w:rPr>
          <w:i/>
          <w:color w:val="0000FF"/>
        </w:rPr>
        <w:t xml:space="preserve"> the Open Access Implementation Guidelines (covering the transition period until October 2018)</w:t>
      </w:r>
      <w:r>
        <w:rPr>
          <w:i/>
          <w:color w:val="0000FF"/>
        </w:rPr>
        <w:t xml:space="preserve"> and the </w:t>
      </w:r>
      <w:r w:rsidRPr="003144BF">
        <w:rPr>
          <w:i/>
          <w:color w:val="0000FF"/>
        </w:rPr>
        <w:t xml:space="preserve">Open Access Policy (binding as from October </w:t>
      </w:r>
      <w:r>
        <w:rPr>
          <w:i/>
          <w:color w:val="0000FF"/>
        </w:rPr>
        <w:t>2018)</w:t>
      </w:r>
      <w:r w:rsidRPr="00B36AF4">
        <w:rPr>
          <w:i/>
          <w:color w:val="0000FF"/>
        </w:rPr>
        <w:t xml:space="preserve">. To facilitate legal compliance and to minimize reputational risk to the CGIAR </w:t>
      </w:r>
      <w:proofErr w:type="gramStart"/>
      <w:r w:rsidRPr="00B36AF4">
        <w:rPr>
          <w:i/>
          <w:color w:val="0000FF"/>
        </w:rPr>
        <w:t>as a whole that</w:t>
      </w:r>
      <w:proofErr w:type="gramEnd"/>
      <w:r w:rsidRPr="00B36AF4">
        <w:rPr>
          <w:i/>
          <w:color w:val="0000FF"/>
        </w:rPr>
        <w:t xml:space="preserve"> can arise from instances of non-compliance</w:t>
      </w:r>
      <w:r>
        <w:rPr>
          <w:i/>
          <w:color w:val="0000FF"/>
        </w:rPr>
        <w:t>,</w:t>
      </w:r>
      <w:r w:rsidRPr="00B36AF4">
        <w:rPr>
          <w:i/>
          <w:color w:val="0000FF"/>
        </w:rPr>
        <w:t xml:space="preserve"> all requests for exceptions and/or exemptions to the Policy should be made in writing and follow a clear internal procedure for review on a case-by-case basis. Additionally, good faith compliance with the Open Access Policy during the transition period should ensure internal tracking of instances in which the deposit schedule timeframes specified in the Implementation Guidelines cannot be achieved. This includes instances in which the long-stop date of 24 months is relied upon as an automated deposit extension, as well as exceptional instances during the transition period in which despite best efforts, the long-stop date of 24 months cannot be achieved. This evidence collection will help inform evaluation during the transition period and any future review of the Open Access Policy and its Implementation Guidelines.</w:t>
      </w:r>
      <w:r>
        <w:rPr>
          <w:i/>
          <w:color w:val="0000FF"/>
        </w:rPr>
        <w:t>]</w:t>
      </w:r>
    </w:p>
    <w:p w14:paraId="7379AFA5" w14:textId="77777777" w:rsidR="00824020" w:rsidRDefault="00824020" w:rsidP="00824020"/>
    <w:p w14:paraId="1E5447D4" w14:textId="77777777" w:rsidR="00824020" w:rsidRPr="00652C13" w:rsidRDefault="00824020" w:rsidP="00824020">
      <w:pPr>
        <w:rPr>
          <w:rFonts w:asciiTheme="minorHAnsi" w:hAnsiTheme="minorHAnsi"/>
        </w:rPr>
      </w:pPr>
      <w:r w:rsidRPr="00652C13">
        <w:rPr>
          <w:rFonts w:asciiTheme="minorHAnsi" w:hAnsiTheme="minorHAnsi" w:cs="Arial"/>
        </w:rPr>
        <w:t>Any determination that research outputs (i.e., publications, data, or other types of information products resulting from research) should not be made openly accessible because it is subject to confidentiality or is of a highly sensitive nature, should be submitted in writing for approval by &lt;Deputy Director General&gt; and &lt;IP Focal Point/Legal Department&gt;. For instance, exceptions to the policy may be made for materials that might adversely affect farmers' rights, have privacy implications for individuals, are politically sensitive in nature, or contain pricing details that could negatively impact farmers. </w:t>
      </w:r>
    </w:p>
    <w:p w14:paraId="22543F4C" w14:textId="77777777" w:rsidR="00824020" w:rsidRDefault="00824020" w:rsidP="00824020"/>
    <w:p w14:paraId="26B571B5" w14:textId="04051923" w:rsidR="00824020" w:rsidRPr="00652C13" w:rsidRDefault="00824020" w:rsidP="00824020">
      <w:pPr>
        <w:rPr>
          <w:rFonts w:asciiTheme="minorHAnsi" w:hAnsiTheme="minorHAnsi"/>
        </w:rPr>
      </w:pPr>
      <w:r w:rsidRPr="00652C13">
        <w:rPr>
          <w:rFonts w:asciiTheme="minorHAnsi" w:hAnsiTheme="minorHAnsi" w:cs="Arial"/>
        </w:rPr>
        <w:t xml:space="preserve">For instances in which the deposit timeframes specified in Section 1.5 cannot be achieved, researchers should notify in writing the &lt;Data Manager, KM Focal Point, or appropriate member of OA/DM team&gt;. Notification should be sent upon the lapsing of the deposit schedule or sooner if known in </w:t>
      </w:r>
      <w:proofErr w:type="gramStart"/>
      <w:r w:rsidRPr="00652C13">
        <w:rPr>
          <w:rFonts w:asciiTheme="minorHAnsi" w:hAnsiTheme="minorHAnsi" w:cs="Arial"/>
        </w:rPr>
        <w:t>advance, and</w:t>
      </w:r>
      <w:proofErr w:type="gramEnd"/>
      <w:r w:rsidRPr="00652C13">
        <w:rPr>
          <w:rFonts w:asciiTheme="minorHAnsi" w:hAnsiTheme="minorHAnsi" w:cs="Arial"/>
        </w:rPr>
        <w:t xml:space="preserve"> should include an explanation of the challenges which have delayed or prevented deposit as well as any other relevant information to facilitate internal follow-up and assistance. Likewise, when the long-stop date of 24 months cannot be achieved, researchers should notify in writing the &lt;IP Focal Point/Legal Department&gt; </w:t>
      </w:r>
      <w:r w:rsidRPr="00652C13">
        <w:rPr>
          <w:rFonts w:asciiTheme="minorHAnsi" w:hAnsiTheme="minorHAnsi" w:cs="Arial"/>
          <w:b/>
          <w:bCs/>
          <w:i/>
          <w:iCs/>
          <w:u w:val="single"/>
        </w:rPr>
        <w:t xml:space="preserve">and </w:t>
      </w:r>
      <w:r w:rsidRPr="00652C13">
        <w:rPr>
          <w:rFonts w:asciiTheme="minorHAnsi" w:hAnsiTheme="minorHAnsi" w:cs="Arial"/>
        </w:rPr>
        <w:t xml:space="preserve">the &lt;Data Manager, KM Focal Point, or appropriate member of OA/DM team&gt;. The notice is to be given upon the lapsing of the 24 months or earlier if delays are anticipated in advance. The notice should include an explanation </w:t>
      </w:r>
      <w:r>
        <w:rPr>
          <w:rFonts w:asciiTheme="minorHAnsi" w:hAnsiTheme="minorHAnsi" w:cs="Arial"/>
        </w:rPr>
        <w:t>of</w:t>
      </w:r>
      <w:r w:rsidRPr="00652C13">
        <w:rPr>
          <w:rFonts w:asciiTheme="minorHAnsi" w:hAnsiTheme="minorHAnsi" w:cs="Arial"/>
        </w:rPr>
        <w:t xml:space="preserve"> challenges experienced which have delayed or prevented the deposit and any other pertinent information which may facilitate inte</w:t>
      </w:r>
      <w:r>
        <w:rPr>
          <w:rFonts w:asciiTheme="minorHAnsi" w:hAnsiTheme="minorHAnsi" w:cs="Arial"/>
        </w:rPr>
        <w:t>rnal follow up and assistance. </w:t>
      </w:r>
      <w:r w:rsidRPr="00652C13">
        <w:rPr>
          <w:rFonts w:asciiTheme="minorHAnsi" w:hAnsiTheme="minorHAnsi" w:cs="Arial"/>
        </w:rPr>
        <w:t>The information collected in these notices will serve as evidence to inform evaluation during the transition period and any future review of the Open Access Policy and Implementation Guidelines. </w:t>
      </w:r>
    </w:p>
    <w:p w14:paraId="19D7FDE7" w14:textId="77777777" w:rsidR="00824020" w:rsidRDefault="00824020" w:rsidP="00824020">
      <w:pPr>
        <w:pStyle w:val="Heading1"/>
      </w:pPr>
      <w:r>
        <w:t>Section 8: Financial Administration</w:t>
      </w:r>
    </w:p>
    <w:p w14:paraId="0E3455E5" w14:textId="77777777" w:rsidR="00824020" w:rsidRPr="002723DC" w:rsidRDefault="00824020" w:rsidP="00824020"/>
    <w:p w14:paraId="08CFF6E8" w14:textId="77777777" w:rsidR="00824020" w:rsidRDefault="00824020" w:rsidP="00824020">
      <w:pPr>
        <w:pStyle w:val="Heading2"/>
      </w:pPr>
      <w:r>
        <w:t>8.1: Major Expenses</w:t>
      </w:r>
    </w:p>
    <w:p w14:paraId="2D3FC50D" w14:textId="77777777" w:rsidR="00824020" w:rsidRPr="00976584" w:rsidRDefault="00824020" w:rsidP="00824020">
      <w:pPr>
        <w:rPr>
          <w:i/>
          <w:color w:val="0000FF"/>
        </w:rPr>
      </w:pPr>
      <w:r w:rsidRPr="00976584">
        <w:rPr>
          <w:i/>
          <w:color w:val="0000FF"/>
        </w:rPr>
        <w:t>[Researchers are encouraged to incorporate the cost of dissemination into project proposals and funding requests. Likewise, CGIAR CRPs should include the cost of research dissemination into their planning efforts, particularly as part of the 2</w:t>
      </w:r>
      <w:r w:rsidRPr="00976584">
        <w:rPr>
          <w:i/>
          <w:color w:val="0000FF"/>
          <w:vertAlign w:val="superscript"/>
        </w:rPr>
        <w:t>nd</w:t>
      </w:r>
      <w:r w:rsidRPr="00976584">
        <w:rPr>
          <w:i/>
          <w:color w:val="0000FF"/>
        </w:rPr>
        <w:t xml:space="preserve"> round of CRP requests. However, for the next few years, we will be in a transition period </w:t>
      </w:r>
      <w:r>
        <w:rPr>
          <w:i/>
          <w:color w:val="0000FF"/>
        </w:rPr>
        <w:t>while r</w:t>
      </w:r>
      <w:r w:rsidRPr="00976584">
        <w:rPr>
          <w:i/>
          <w:color w:val="0000FF"/>
        </w:rPr>
        <w:t>esearch that has already been funded and did not include dissemination costs or data management into projects still need</w:t>
      </w:r>
      <w:r>
        <w:rPr>
          <w:i/>
          <w:color w:val="0000FF"/>
        </w:rPr>
        <w:t>s</w:t>
      </w:r>
      <w:r w:rsidRPr="00976584">
        <w:rPr>
          <w:i/>
          <w:color w:val="0000FF"/>
        </w:rPr>
        <w:t xml:space="preserve"> to be made openly accessible.] </w:t>
      </w:r>
    </w:p>
    <w:p w14:paraId="027741FE" w14:textId="77777777" w:rsidR="00824020" w:rsidRPr="00976584" w:rsidRDefault="00824020" w:rsidP="00824020">
      <w:pPr>
        <w:rPr>
          <w:i/>
          <w:color w:val="0000FF"/>
        </w:rPr>
      </w:pPr>
    </w:p>
    <w:p w14:paraId="342B5E94" w14:textId="77777777" w:rsidR="00824020" w:rsidRPr="00976584" w:rsidRDefault="00824020" w:rsidP="00824020">
      <w:pPr>
        <w:rPr>
          <w:i/>
          <w:color w:val="0000FF"/>
        </w:rPr>
      </w:pPr>
      <w:r w:rsidRPr="00976584">
        <w:rPr>
          <w:i/>
          <w:color w:val="0000FF"/>
        </w:rPr>
        <w:t xml:space="preserve">[In order to separate initial costs and one-time fees to operationalize Open Access, particularly during this transition period, Centers/CRPs are encouraged to consider their budgets for the transition period </w:t>
      </w:r>
      <w:proofErr w:type="gramStart"/>
      <w:r w:rsidRPr="00976584">
        <w:rPr>
          <w:i/>
          <w:color w:val="0000FF"/>
        </w:rPr>
        <w:t>and also</w:t>
      </w:r>
      <w:proofErr w:type="gramEnd"/>
      <w:r w:rsidRPr="00976584">
        <w:rPr>
          <w:i/>
          <w:color w:val="0000FF"/>
        </w:rPr>
        <w:t xml:space="preserve"> after the second round of CRPs are put into effect. A </w:t>
      </w:r>
      <w:r>
        <w:rPr>
          <w:i/>
          <w:color w:val="0000FF"/>
        </w:rPr>
        <w:t>sample table is provided below. One-time costs should be noted – for instance, repository start-up fees, content migration into suitable repositories, or one-time metadata enhancements to align with CG Core.]</w:t>
      </w:r>
    </w:p>
    <w:p w14:paraId="7ED81B2C" w14:textId="77777777" w:rsidR="00824020" w:rsidRDefault="00824020" w:rsidP="00824020"/>
    <w:tbl>
      <w:tblPr>
        <w:tblStyle w:val="TableGrid"/>
        <w:tblW w:w="9625" w:type="dxa"/>
        <w:tblLook w:val="04A0" w:firstRow="1" w:lastRow="0" w:firstColumn="1" w:lastColumn="0" w:noHBand="0" w:noVBand="1"/>
      </w:tblPr>
      <w:tblGrid>
        <w:gridCol w:w="2515"/>
        <w:gridCol w:w="1800"/>
        <w:gridCol w:w="2070"/>
        <w:gridCol w:w="3240"/>
      </w:tblGrid>
      <w:tr w:rsidR="00824020" w:rsidRPr="00516AFC" w14:paraId="7CD6DA07" w14:textId="77777777" w:rsidTr="00824020">
        <w:tc>
          <w:tcPr>
            <w:tcW w:w="2515" w:type="dxa"/>
            <w:shd w:val="clear" w:color="auto" w:fill="D9E2F3" w:themeFill="accent5" w:themeFillTint="33"/>
            <w:vAlign w:val="bottom"/>
          </w:tcPr>
          <w:p w14:paraId="43975BCC" w14:textId="77777777" w:rsidR="00824020" w:rsidRPr="00EF6C2B" w:rsidRDefault="00824020" w:rsidP="00A43D77">
            <w:pPr>
              <w:rPr>
                <w:rFonts w:asciiTheme="minorHAnsi" w:hAnsiTheme="minorHAnsi"/>
                <w:b/>
                <w:szCs w:val="20"/>
              </w:rPr>
            </w:pPr>
            <w:r w:rsidRPr="00EF6C2B">
              <w:rPr>
                <w:rFonts w:asciiTheme="minorHAnsi" w:hAnsiTheme="minorHAnsi"/>
                <w:b/>
                <w:szCs w:val="20"/>
              </w:rPr>
              <w:t>Line Item</w:t>
            </w:r>
          </w:p>
        </w:tc>
        <w:tc>
          <w:tcPr>
            <w:tcW w:w="1800" w:type="dxa"/>
            <w:shd w:val="clear" w:color="auto" w:fill="D9E2F3" w:themeFill="accent5" w:themeFillTint="33"/>
            <w:vAlign w:val="bottom"/>
          </w:tcPr>
          <w:p w14:paraId="20A981D8" w14:textId="77777777" w:rsidR="00824020" w:rsidRPr="00EF6C2B" w:rsidRDefault="00824020" w:rsidP="00A43D77">
            <w:pPr>
              <w:jc w:val="center"/>
              <w:rPr>
                <w:rFonts w:asciiTheme="minorHAnsi" w:hAnsiTheme="minorHAnsi"/>
                <w:b/>
                <w:szCs w:val="20"/>
              </w:rPr>
            </w:pPr>
            <w:r w:rsidRPr="00EF6C2B">
              <w:rPr>
                <w:rFonts w:asciiTheme="minorHAnsi" w:hAnsiTheme="minorHAnsi"/>
                <w:b/>
                <w:szCs w:val="20"/>
              </w:rPr>
              <w:t>Annual amount 2015 – 2017 (transition period)</w:t>
            </w:r>
          </w:p>
        </w:tc>
        <w:tc>
          <w:tcPr>
            <w:tcW w:w="2070" w:type="dxa"/>
            <w:shd w:val="clear" w:color="auto" w:fill="D9E2F3" w:themeFill="accent5" w:themeFillTint="33"/>
            <w:vAlign w:val="bottom"/>
          </w:tcPr>
          <w:p w14:paraId="21E7020E" w14:textId="77777777" w:rsidR="00824020" w:rsidRPr="00EF6C2B" w:rsidRDefault="00824020" w:rsidP="00A43D77">
            <w:pPr>
              <w:jc w:val="center"/>
              <w:rPr>
                <w:rFonts w:asciiTheme="minorHAnsi" w:hAnsiTheme="minorHAnsi"/>
                <w:b/>
                <w:szCs w:val="20"/>
              </w:rPr>
            </w:pPr>
            <w:r w:rsidRPr="00EF6C2B">
              <w:rPr>
                <w:rFonts w:asciiTheme="minorHAnsi" w:hAnsiTheme="minorHAnsi"/>
                <w:b/>
                <w:szCs w:val="20"/>
              </w:rPr>
              <w:t>Annual amount</w:t>
            </w:r>
          </w:p>
          <w:p w14:paraId="36468A9C" w14:textId="77777777" w:rsidR="00824020" w:rsidRPr="00EF6C2B" w:rsidRDefault="00824020" w:rsidP="00A43D77">
            <w:pPr>
              <w:jc w:val="center"/>
              <w:rPr>
                <w:rFonts w:asciiTheme="minorHAnsi" w:hAnsiTheme="minorHAnsi"/>
                <w:b/>
                <w:szCs w:val="20"/>
              </w:rPr>
            </w:pPr>
            <w:r w:rsidRPr="00EF6C2B">
              <w:rPr>
                <w:rFonts w:asciiTheme="minorHAnsi" w:hAnsiTheme="minorHAnsi"/>
                <w:b/>
                <w:szCs w:val="20"/>
              </w:rPr>
              <w:t>2018+ (after 2</w:t>
            </w:r>
            <w:r w:rsidRPr="00EF6C2B">
              <w:rPr>
                <w:rFonts w:asciiTheme="minorHAnsi" w:hAnsiTheme="minorHAnsi"/>
                <w:b/>
                <w:szCs w:val="20"/>
                <w:vertAlign w:val="superscript"/>
              </w:rPr>
              <w:t>nd</w:t>
            </w:r>
            <w:r w:rsidRPr="00EF6C2B">
              <w:rPr>
                <w:rFonts w:asciiTheme="minorHAnsi" w:hAnsiTheme="minorHAnsi"/>
                <w:b/>
                <w:szCs w:val="20"/>
              </w:rPr>
              <w:t xml:space="preserve"> round of CRPs in effect)</w:t>
            </w:r>
          </w:p>
        </w:tc>
        <w:tc>
          <w:tcPr>
            <w:tcW w:w="3240" w:type="dxa"/>
            <w:shd w:val="clear" w:color="auto" w:fill="D9E2F3" w:themeFill="accent5" w:themeFillTint="33"/>
            <w:vAlign w:val="bottom"/>
          </w:tcPr>
          <w:p w14:paraId="4B404D00" w14:textId="77777777" w:rsidR="00824020" w:rsidRPr="00EF6C2B" w:rsidRDefault="00824020" w:rsidP="00A43D77">
            <w:pPr>
              <w:rPr>
                <w:rFonts w:asciiTheme="minorHAnsi" w:hAnsiTheme="minorHAnsi"/>
                <w:b/>
                <w:szCs w:val="20"/>
              </w:rPr>
            </w:pPr>
            <w:r w:rsidRPr="00EF6C2B">
              <w:rPr>
                <w:rFonts w:asciiTheme="minorHAnsi" w:hAnsiTheme="minorHAnsi"/>
                <w:b/>
                <w:szCs w:val="20"/>
              </w:rPr>
              <w:t>Explanatory Notes</w:t>
            </w:r>
          </w:p>
        </w:tc>
      </w:tr>
      <w:tr w:rsidR="00824020" w:rsidRPr="00516AFC" w14:paraId="4526C179" w14:textId="77777777" w:rsidTr="00824020">
        <w:tc>
          <w:tcPr>
            <w:tcW w:w="2515" w:type="dxa"/>
            <w:shd w:val="clear" w:color="auto" w:fill="E7E6E6" w:themeFill="background2"/>
          </w:tcPr>
          <w:p w14:paraId="5977475C" w14:textId="77777777" w:rsidR="00824020" w:rsidRPr="00B44990" w:rsidRDefault="00824020" w:rsidP="00A43D77">
            <w:pPr>
              <w:pStyle w:val="NormalWeb"/>
              <w:spacing w:before="0" w:beforeAutospacing="0" w:after="0" w:afterAutospacing="0"/>
              <w:rPr>
                <w:rFonts w:asciiTheme="minorHAnsi" w:hAnsiTheme="minorHAnsi" w:cs="Arial"/>
                <w:b/>
                <w:bCs/>
                <w:color w:val="000000" w:themeColor="text1"/>
                <w:kern w:val="24"/>
                <w:sz w:val="20"/>
                <w:szCs w:val="20"/>
              </w:rPr>
            </w:pPr>
            <w:r w:rsidRPr="00B44990">
              <w:rPr>
                <w:rFonts w:asciiTheme="minorHAnsi" w:hAnsiTheme="minorHAnsi" w:cs="Arial"/>
                <w:b/>
                <w:bCs/>
                <w:color w:val="000000" w:themeColor="text1"/>
                <w:kern w:val="24"/>
                <w:sz w:val="20"/>
                <w:szCs w:val="20"/>
              </w:rPr>
              <w:t>Technology</w:t>
            </w:r>
          </w:p>
        </w:tc>
        <w:tc>
          <w:tcPr>
            <w:tcW w:w="1800" w:type="dxa"/>
            <w:shd w:val="clear" w:color="auto" w:fill="E7E6E6" w:themeFill="background2"/>
          </w:tcPr>
          <w:p w14:paraId="4FF98856" w14:textId="77777777" w:rsidR="00824020" w:rsidRPr="00516AFC" w:rsidRDefault="00824020" w:rsidP="00A43D77">
            <w:pPr>
              <w:rPr>
                <w:rFonts w:asciiTheme="minorHAnsi" w:hAnsiTheme="minorHAnsi"/>
                <w:szCs w:val="20"/>
              </w:rPr>
            </w:pPr>
          </w:p>
        </w:tc>
        <w:tc>
          <w:tcPr>
            <w:tcW w:w="2070" w:type="dxa"/>
            <w:shd w:val="clear" w:color="auto" w:fill="E7E6E6" w:themeFill="background2"/>
          </w:tcPr>
          <w:p w14:paraId="32F02502" w14:textId="77777777" w:rsidR="00824020" w:rsidRPr="00516AFC" w:rsidRDefault="00824020" w:rsidP="00A43D77">
            <w:pPr>
              <w:rPr>
                <w:rFonts w:asciiTheme="minorHAnsi" w:hAnsiTheme="minorHAnsi"/>
                <w:szCs w:val="20"/>
              </w:rPr>
            </w:pPr>
          </w:p>
        </w:tc>
        <w:tc>
          <w:tcPr>
            <w:tcW w:w="3240" w:type="dxa"/>
            <w:shd w:val="clear" w:color="auto" w:fill="E7E6E6" w:themeFill="background2"/>
          </w:tcPr>
          <w:p w14:paraId="41C8886E" w14:textId="77777777" w:rsidR="00824020" w:rsidRPr="00516AFC" w:rsidRDefault="00824020" w:rsidP="00A43D77">
            <w:pPr>
              <w:rPr>
                <w:rFonts w:asciiTheme="minorHAnsi" w:hAnsiTheme="minorHAnsi"/>
                <w:szCs w:val="20"/>
              </w:rPr>
            </w:pPr>
          </w:p>
        </w:tc>
      </w:tr>
      <w:tr w:rsidR="00824020" w:rsidRPr="00516AFC" w14:paraId="1C14B9DC" w14:textId="77777777" w:rsidTr="00824020">
        <w:tc>
          <w:tcPr>
            <w:tcW w:w="2515" w:type="dxa"/>
          </w:tcPr>
          <w:p w14:paraId="7AD90CCE"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Data Repository</w:t>
            </w:r>
          </w:p>
        </w:tc>
        <w:tc>
          <w:tcPr>
            <w:tcW w:w="1800" w:type="dxa"/>
          </w:tcPr>
          <w:p w14:paraId="73CD3078" w14:textId="77777777" w:rsidR="00824020" w:rsidRPr="00516AFC" w:rsidRDefault="00824020" w:rsidP="00A43D77">
            <w:pPr>
              <w:rPr>
                <w:rFonts w:asciiTheme="minorHAnsi" w:hAnsiTheme="minorHAnsi"/>
                <w:szCs w:val="20"/>
              </w:rPr>
            </w:pPr>
          </w:p>
        </w:tc>
        <w:tc>
          <w:tcPr>
            <w:tcW w:w="2070" w:type="dxa"/>
          </w:tcPr>
          <w:p w14:paraId="21C972B1" w14:textId="77777777" w:rsidR="00824020" w:rsidRPr="00516AFC" w:rsidRDefault="00824020" w:rsidP="00A43D77">
            <w:pPr>
              <w:rPr>
                <w:rFonts w:asciiTheme="minorHAnsi" w:hAnsiTheme="minorHAnsi"/>
                <w:szCs w:val="20"/>
              </w:rPr>
            </w:pPr>
          </w:p>
        </w:tc>
        <w:tc>
          <w:tcPr>
            <w:tcW w:w="3240" w:type="dxa"/>
          </w:tcPr>
          <w:p w14:paraId="4841B6F5" w14:textId="77777777" w:rsidR="00824020" w:rsidRPr="00516AFC" w:rsidRDefault="00824020" w:rsidP="00A43D77">
            <w:pPr>
              <w:rPr>
                <w:rFonts w:asciiTheme="minorHAnsi" w:hAnsiTheme="minorHAnsi"/>
                <w:szCs w:val="20"/>
              </w:rPr>
            </w:pPr>
          </w:p>
        </w:tc>
      </w:tr>
      <w:tr w:rsidR="00824020" w:rsidRPr="00516AFC" w14:paraId="4E70DE38" w14:textId="77777777" w:rsidTr="00824020">
        <w:tc>
          <w:tcPr>
            <w:tcW w:w="2515" w:type="dxa"/>
          </w:tcPr>
          <w:p w14:paraId="622AF321"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Publications Repository</w:t>
            </w:r>
          </w:p>
        </w:tc>
        <w:tc>
          <w:tcPr>
            <w:tcW w:w="1800" w:type="dxa"/>
          </w:tcPr>
          <w:p w14:paraId="24BE1A66" w14:textId="77777777" w:rsidR="00824020" w:rsidRPr="00516AFC" w:rsidRDefault="00824020" w:rsidP="00A43D77">
            <w:pPr>
              <w:rPr>
                <w:rFonts w:asciiTheme="minorHAnsi" w:hAnsiTheme="minorHAnsi"/>
                <w:szCs w:val="20"/>
              </w:rPr>
            </w:pPr>
          </w:p>
        </w:tc>
        <w:tc>
          <w:tcPr>
            <w:tcW w:w="2070" w:type="dxa"/>
          </w:tcPr>
          <w:p w14:paraId="2C0773A1" w14:textId="77777777" w:rsidR="00824020" w:rsidRPr="00516AFC" w:rsidRDefault="00824020" w:rsidP="00A43D77">
            <w:pPr>
              <w:rPr>
                <w:rFonts w:asciiTheme="minorHAnsi" w:hAnsiTheme="minorHAnsi"/>
                <w:szCs w:val="20"/>
              </w:rPr>
            </w:pPr>
          </w:p>
        </w:tc>
        <w:tc>
          <w:tcPr>
            <w:tcW w:w="3240" w:type="dxa"/>
          </w:tcPr>
          <w:p w14:paraId="34EBA049" w14:textId="77777777" w:rsidR="00824020" w:rsidRPr="00516AFC" w:rsidRDefault="00824020" w:rsidP="00A43D77">
            <w:pPr>
              <w:rPr>
                <w:rFonts w:asciiTheme="minorHAnsi" w:hAnsiTheme="minorHAnsi"/>
                <w:szCs w:val="20"/>
              </w:rPr>
            </w:pPr>
          </w:p>
        </w:tc>
      </w:tr>
      <w:tr w:rsidR="00824020" w:rsidRPr="00516AFC" w14:paraId="3DD22569" w14:textId="77777777" w:rsidTr="00824020">
        <w:tc>
          <w:tcPr>
            <w:tcW w:w="2515" w:type="dxa"/>
          </w:tcPr>
          <w:p w14:paraId="5B09F20B"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Hardware</w:t>
            </w:r>
          </w:p>
        </w:tc>
        <w:tc>
          <w:tcPr>
            <w:tcW w:w="1800" w:type="dxa"/>
          </w:tcPr>
          <w:p w14:paraId="279778D3" w14:textId="77777777" w:rsidR="00824020" w:rsidRPr="00516AFC" w:rsidRDefault="00824020" w:rsidP="00A43D77">
            <w:pPr>
              <w:rPr>
                <w:rFonts w:asciiTheme="minorHAnsi" w:hAnsiTheme="minorHAnsi"/>
                <w:szCs w:val="20"/>
              </w:rPr>
            </w:pPr>
          </w:p>
        </w:tc>
        <w:tc>
          <w:tcPr>
            <w:tcW w:w="2070" w:type="dxa"/>
          </w:tcPr>
          <w:p w14:paraId="7902EE8C" w14:textId="77777777" w:rsidR="00824020" w:rsidRPr="00516AFC" w:rsidRDefault="00824020" w:rsidP="00A43D77">
            <w:pPr>
              <w:rPr>
                <w:rFonts w:asciiTheme="minorHAnsi" w:hAnsiTheme="minorHAnsi"/>
                <w:szCs w:val="20"/>
              </w:rPr>
            </w:pPr>
          </w:p>
        </w:tc>
        <w:tc>
          <w:tcPr>
            <w:tcW w:w="3240" w:type="dxa"/>
          </w:tcPr>
          <w:p w14:paraId="00865E09" w14:textId="0527EC6A" w:rsidR="00824020" w:rsidRPr="00516AFC" w:rsidRDefault="00824020" w:rsidP="00824020">
            <w:pPr>
              <w:pStyle w:val="NormalWeb"/>
              <w:spacing w:before="0" w:beforeAutospacing="0" w:after="0" w:afterAutospacing="0"/>
              <w:rPr>
                <w:rFonts w:asciiTheme="minorHAnsi" w:hAnsiTheme="minorHAnsi" w:cs="Arial"/>
                <w:sz w:val="20"/>
                <w:szCs w:val="20"/>
              </w:rPr>
            </w:pPr>
            <w:r>
              <w:rPr>
                <w:rFonts w:asciiTheme="minorHAnsi" w:hAnsiTheme="minorHAnsi" w:cs="Arial"/>
                <w:bCs/>
                <w:color w:val="000000" w:themeColor="text1"/>
                <w:kern w:val="24"/>
                <w:sz w:val="20"/>
                <w:szCs w:val="20"/>
              </w:rPr>
              <w:t>&lt;Computers, servers, etc.</w:t>
            </w:r>
            <w:r w:rsidRPr="00516AFC">
              <w:rPr>
                <w:rFonts w:asciiTheme="minorHAnsi" w:hAnsiTheme="minorHAnsi" w:cs="Arial"/>
                <w:bCs/>
                <w:color w:val="000000" w:themeColor="text1"/>
                <w:kern w:val="24"/>
                <w:sz w:val="20"/>
                <w:szCs w:val="20"/>
              </w:rPr>
              <w:t>&gt;</w:t>
            </w:r>
          </w:p>
        </w:tc>
      </w:tr>
      <w:tr w:rsidR="00824020" w:rsidRPr="00516AFC" w14:paraId="148F7D61" w14:textId="77777777" w:rsidTr="00824020">
        <w:tc>
          <w:tcPr>
            <w:tcW w:w="2515" w:type="dxa"/>
          </w:tcPr>
          <w:p w14:paraId="41F1F214"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Programming/development</w:t>
            </w:r>
          </w:p>
        </w:tc>
        <w:tc>
          <w:tcPr>
            <w:tcW w:w="1800" w:type="dxa"/>
          </w:tcPr>
          <w:p w14:paraId="79E0D2C3" w14:textId="77777777" w:rsidR="00824020" w:rsidRPr="00516AFC" w:rsidRDefault="00824020" w:rsidP="00A43D77">
            <w:pPr>
              <w:rPr>
                <w:rFonts w:asciiTheme="minorHAnsi" w:hAnsiTheme="minorHAnsi"/>
                <w:szCs w:val="20"/>
              </w:rPr>
            </w:pPr>
          </w:p>
        </w:tc>
        <w:tc>
          <w:tcPr>
            <w:tcW w:w="2070" w:type="dxa"/>
          </w:tcPr>
          <w:p w14:paraId="41027974" w14:textId="77777777" w:rsidR="00824020" w:rsidRPr="00516AFC" w:rsidRDefault="00824020" w:rsidP="00A43D77">
            <w:pPr>
              <w:rPr>
                <w:rFonts w:asciiTheme="minorHAnsi" w:hAnsiTheme="minorHAnsi"/>
                <w:szCs w:val="20"/>
              </w:rPr>
            </w:pPr>
          </w:p>
        </w:tc>
        <w:tc>
          <w:tcPr>
            <w:tcW w:w="3240" w:type="dxa"/>
          </w:tcPr>
          <w:p w14:paraId="16FA1F4D"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&lt;identify which repository&gt;</w:t>
            </w:r>
          </w:p>
        </w:tc>
      </w:tr>
      <w:tr w:rsidR="00824020" w:rsidRPr="00516AFC" w14:paraId="31539C4E" w14:textId="77777777" w:rsidTr="00824020">
        <w:tc>
          <w:tcPr>
            <w:tcW w:w="2515" w:type="dxa"/>
          </w:tcPr>
          <w:p w14:paraId="5FC9B2C0"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Annual maintenance fees</w:t>
            </w:r>
          </w:p>
        </w:tc>
        <w:tc>
          <w:tcPr>
            <w:tcW w:w="1800" w:type="dxa"/>
          </w:tcPr>
          <w:p w14:paraId="57DB58A6" w14:textId="77777777" w:rsidR="00824020" w:rsidRPr="00516AFC" w:rsidRDefault="00824020" w:rsidP="00A43D77">
            <w:pPr>
              <w:rPr>
                <w:rFonts w:asciiTheme="minorHAnsi" w:hAnsiTheme="minorHAnsi"/>
                <w:szCs w:val="20"/>
              </w:rPr>
            </w:pPr>
          </w:p>
        </w:tc>
        <w:tc>
          <w:tcPr>
            <w:tcW w:w="2070" w:type="dxa"/>
          </w:tcPr>
          <w:p w14:paraId="14E4BD89" w14:textId="77777777" w:rsidR="00824020" w:rsidRPr="00516AFC" w:rsidRDefault="00824020" w:rsidP="00A43D77">
            <w:pPr>
              <w:rPr>
                <w:rFonts w:asciiTheme="minorHAnsi" w:hAnsiTheme="minorHAnsi"/>
                <w:szCs w:val="20"/>
              </w:rPr>
            </w:pPr>
          </w:p>
        </w:tc>
        <w:tc>
          <w:tcPr>
            <w:tcW w:w="3240" w:type="dxa"/>
          </w:tcPr>
          <w:p w14:paraId="2647F375"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&lt;identify which repository&gt;</w:t>
            </w:r>
          </w:p>
        </w:tc>
      </w:tr>
      <w:tr w:rsidR="00824020" w:rsidRPr="00516AFC" w14:paraId="22C42B84" w14:textId="77777777" w:rsidTr="00824020">
        <w:tc>
          <w:tcPr>
            <w:tcW w:w="2515" w:type="dxa"/>
          </w:tcPr>
          <w:p w14:paraId="6FA03D24"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Website development related to repositories</w:t>
            </w:r>
          </w:p>
        </w:tc>
        <w:tc>
          <w:tcPr>
            <w:tcW w:w="1800" w:type="dxa"/>
          </w:tcPr>
          <w:p w14:paraId="715681FD" w14:textId="77777777" w:rsidR="00824020" w:rsidRPr="00516AFC" w:rsidRDefault="00824020" w:rsidP="00A43D77">
            <w:pPr>
              <w:rPr>
                <w:rFonts w:asciiTheme="minorHAnsi" w:hAnsiTheme="minorHAnsi"/>
                <w:szCs w:val="20"/>
              </w:rPr>
            </w:pPr>
          </w:p>
        </w:tc>
        <w:tc>
          <w:tcPr>
            <w:tcW w:w="2070" w:type="dxa"/>
          </w:tcPr>
          <w:p w14:paraId="1EC5C71D" w14:textId="77777777" w:rsidR="00824020" w:rsidRPr="00516AFC" w:rsidRDefault="00824020" w:rsidP="00A43D77">
            <w:pPr>
              <w:rPr>
                <w:rFonts w:asciiTheme="minorHAnsi" w:hAnsiTheme="minorHAnsi"/>
                <w:szCs w:val="20"/>
              </w:rPr>
            </w:pPr>
          </w:p>
        </w:tc>
        <w:tc>
          <w:tcPr>
            <w:tcW w:w="3240" w:type="dxa"/>
          </w:tcPr>
          <w:p w14:paraId="24747549"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&lt;identify which repository/website&gt;</w:t>
            </w:r>
          </w:p>
        </w:tc>
      </w:tr>
      <w:tr w:rsidR="00824020" w:rsidRPr="00516AFC" w14:paraId="17304454" w14:textId="77777777" w:rsidTr="00824020">
        <w:tc>
          <w:tcPr>
            <w:tcW w:w="2515" w:type="dxa"/>
          </w:tcPr>
          <w:p w14:paraId="5AC6310E"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&lt;Other&gt;</w:t>
            </w:r>
          </w:p>
        </w:tc>
        <w:tc>
          <w:tcPr>
            <w:tcW w:w="1800" w:type="dxa"/>
          </w:tcPr>
          <w:p w14:paraId="0054D895" w14:textId="77777777" w:rsidR="00824020" w:rsidRPr="00516AFC" w:rsidRDefault="00824020" w:rsidP="00A43D77">
            <w:pPr>
              <w:rPr>
                <w:rFonts w:asciiTheme="minorHAnsi" w:hAnsiTheme="minorHAnsi"/>
                <w:szCs w:val="20"/>
              </w:rPr>
            </w:pPr>
          </w:p>
        </w:tc>
        <w:tc>
          <w:tcPr>
            <w:tcW w:w="2070" w:type="dxa"/>
          </w:tcPr>
          <w:p w14:paraId="52056E38" w14:textId="77777777" w:rsidR="00824020" w:rsidRPr="00516AFC" w:rsidRDefault="00824020" w:rsidP="00A43D77">
            <w:pPr>
              <w:rPr>
                <w:rFonts w:asciiTheme="minorHAnsi" w:hAnsiTheme="minorHAnsi"/>
                <w:szCs w:val="20"/>
              </w:rPr>
            </w:pPr>
          </w:p>
        </w:tc>
        <w:tc>
          <w:tcPr>
            <w:tcW w:w="3240" w:type="dxa"/>
          </w:tcPr>
          <w:p w14:paraId="35624CFD"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&lt;Ex: DOIs or other types of persistent identifiers&gt;</w:t>
            </w:r>
          </w:p>
        </w:tc>
      </w:tr>
      <w:tr w:rsidR="00824020" w:rsidRPr="00516AFC" w14:paraId="2DC1F200" w14:textId="77777777" w:rsidTr="00824020">
        <w:tc>
          <w:tcPr>
            <w:tcW w:w="2515" w:type="dxa"/>
            <w:shd w:val="clear" w:color="auto" w:fill="E7E6E6" w:themeFill="background2"/>
          </w:tcPr>
          <w:p w14:paraId="31BA09C2" w14:textId="77777777" w:rsidR="00824020" w:rsidRPr="00B44990" w:rsidRDefault="00824020" w:rsidP="00A43D77">
            <w:pPr>
              <w:pStyle w:val="NormalWeb"/>
              <w:spacing w:before="0" w:beforeAutospacing="0" w:after="0" w:afterAutospacing="0"/>
              <w:rPr>
                <w:rFonts w:asciiTheme="minorHAnsi" w:hAnsiTheme="minorHAnsi" w:cs="Arial"/>
                <w:b/>
                <w:bCs/>
                <w:color w:val="000000" w:themeColor="text1"/>
                <w:kern w:val="24"/>
                <w:sz w:val="20"/>
                <w:szCs w:val="20"/>
              </w:rPr>
            </w:pPr>
            <w:r>
              <w:rPr>
                <w:rFonts w:asciiTheme="minorHAnsi" w:hAnsiTheme="minorHAnsi" w:cs="Arial"/>
                <w:b/>
                <w:bCs/>
                <w:color w:val="000000" w:themeColor="text1"/>
                <w:kern w:val="24"/>
                <w:sz w:val="20"/>
                <w:szCs w:val="20"/>
              </w:rPr>
              <w:t>Staffing</w:t>
            </w:r>
          </w:p>
        </w:tc>
        <w:tc>
          <w:tcPr>
            <w:tcW w:w="1800" w:type="dxa"/>
            <w:shd w:val="clear" w:color="auto" w:fill="E7E6E6" w:themeFill="background2"/>
          </w:tcPr>
          <w:p w14:paraId="491516A4" w14:textId="77777777" w:rsidR="00824020" w:rsidRPr="00516AFC" w:rsidRDefault="00824020" w:rsidP="00A43D77">
            <w:pPr>
              <w:rPr>
                <w:rFonts w:asciiTheme="minorHAnsi" w:hAnsiTheme="minorHAnsi"/>
                <w:szCs w:val="20"/>
              </w:rPr>
            </w:pPr>
          </w:p>
        </w:tc>
        <w:tc>
          <w:tcPr>
            <w:tcW w:w="2070" w:type="dxa"/>
            <w:shd w:val="clear" w:color="auto" w:fill="E7E6E6" w:themeFill="background2"/>
          </w:tcPr>
          <w:p w14:paraId="49127023" w14:textId="77777777" w:rsidR="00824020" w:rsidRPr="00516AFC" w:rsidRDefault="00824020" w:rsidP="00A43D77">
            <w:pPr>
              <w:rPr>
                <w:rFonts w:asciiTheme="minorHAnsi" w:hAnsiTheme="minorHAnsi"/>
                <w:szCs w:val="20"/>
              </w:rPr>
            </w:pPr>
          </w:p>
        </w:tc>
        <w:tc>
          <w:tcPr>
            <w:tcW w:w="3240" w:type="dxa"/>
            <w:shd w:val="clear" w:color="auto" w:fill="E7E6E6" w:themeFill="background2"/>
          </w:tcPr>
          <w:p w14:paraId="6364D165" w14:textId="77777777" w:rsidR="00824020" w:rsidRPr="00516AFC" w:rsidRDefault="00824020" w:rsidP="00A43D77">
            <w:pPr>
              <w:rPr>
                <w:rFonts w:asciiTheme="minorHAnsi" w:hAnsiTheme="minorHAnsi"/>
                <w:szCs w:val="20"/>
              </w:rPr>
            </w:pPr>
          </w:p>
        </w:tc>
      </w:tr>
      <w:tr w:rsidR="00824020" w:rsidRPr="00516AFC" w14:paraId="58F77035" w14:textId="77777777" w:rsidTr="00824020">
        <w:tc>
          <w:tcPr>
            <w:tcW w:w="2515" w:type="dxa"/>
          </w:tcPr>
          <w:p w14:paraId="046DA978"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Staff salaries – open data</w:t>
            </w:r>
          </w:p>
        </w:tc>
        <w:tc>
          <w:tcPr>
            <w:tcW w:w="1800" w:type="dxa"/>
          </w:tcPr>
          <w:p w14:paraId="7E0B0E4C" w14:textId="77777777" w:rsidR="00824020" w:rsidRPr="00516AFC" w:rsidRDefault="00824020" w:rsidP="00A43D77">
            <w:pPr>
              <w:rPr>
                <w:rFonts w:asciiTheme="minorHAnsi" w:hAnsiTheme="minorHAnsi"/>
                <w:szCs w:val="20"/>
              </w:rPr>
            </w:pPr>
          </w:p>
        </w:tc>
        <w:tc>
          <w:tcPr>
            <w:tcW w:w="2070" w:type="dxa"/>
          </w:tcPr>
          <w:p w14:paraId="0930722C" w14:textId="77777777" w:rsidR="00824020" w:rsidRPr="00516AFC" w:rsidRDefault="00824020" w:rsidP="00A43D77">
            <w:pPr>
              <w:rPr>
                <w:rFonts w:asciiTheme="minorHAnsi" w:hAnsiTheme="minorHAnsi"/>
                <w:szCs w:val="20"/>
              </w:rPr>
            </w:pPr>
          </w:p>
        </w:tc>
        <w:tc>
          <w:tcPr>
            <w:tcW w:w="3240" w:type="dxa"/>
          </w:tcPr>
          <w:p w14:paraId="2298BF81"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&lt;Indicate approx. FTE for Open Data&gt;</w:t>
            </w:r>
          </w:p>
        </w:tc>
      </w:tr>
      <w:tr w:rsidR="00824020" w:rsidRPr="00516AFC" w14:paraId="5B573577" w14:textId="77777777" w:rsidTr="00824020">
        <w:tc>
          <w:tcPr>
            <w:tcW w:w="2515" w:type="dxa"/>
          </w:tcPr>
          <w:p w14:paraId="279891DF"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 xml:space="preserve">Staff salaries – OA publications </w:t>
            </w:r>
          </w:p>
        </w:tc>
        <w:tc>
          <w:tcPr>
            <w:tcW w:w="1800" w:type="dxa"/>
          </w:tcPr>
          <w:p w14:paraId="2320F214" w14:textId="77777777" w:rsidR="00824020" w:rsidRPr="00516AFC" w:rsidRDefault="00824020" w:rsidP="00A43D77">
            <w:pPr>
              <w:rPr>
                <w:rFonts w:asciiTheme="minorHAnsi" w:hAnsiTheme="minorHAnsi"/>
                <w:szCs w:val="20"/>
              </w:rPr>
            </w:pPr>
          </w:p>
        </w:tc>
        <w:tc>
          <w:tcPr>
            <w:tcW w:w="2070" w:type="dxa"/>
          </w:tcPr>
          <w:p w14:paraId="41F3A97B" w14:textId="77777777" w:rsidR="00824020" w:rsidRPr="00516AFC" w:rsidRDefault="00824020" w:rsidP="00A43D77">
            <w:pPr>
              <w:rPr>
                <w:rFonts w:asciiTheme="minorHAnsi" w:hAnsiTheme="minorHAnsi"/>
                <w:szCs w:val="20"/>
              </w:rPr>
            </w:pPr>
          </w:p>
        </w:tc>
        <w:tc>
          <w:tcPr>
            <w:tcW w:w="3240" w:type="dxa"/>
          </w:tcPr>
          <w:p w14:paraId="3BB9A0B6"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&lt;Indicate approx. FTE for Open Access for Pubs&gt;</w:t>
            </w:r>
          </w:p>
        </w:tc>
      </w:tr>
      <w:tr w:rsidR="00824020" w:rsidRPr="00516AFC" w14:paraId="15B37FEC" w14:textId="77777777" w:rsidTr="00824020">
        <w:tc>
          <w:tcPr>
            <w:tcW w:w="2515" w:type="dxa"/>
          </w:tcPr>
          <w:p w14:paraId="3BAAFDC8"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Professional development for OA/DM</w:t>
            </w:r>
          </w:p>
        </w:tc>
        <w:tc>
          <w:tcPr>
            <w:tcW w:w="1800" w:type="dxa"/>
          </w:tcPr>
          <w:p w14:paraId="29D6BC8C" w14:textId="77777777" w:rsidR="00824020" w:rsidRPr="00516AFC" w:rsidRDefault="00824020" w:rsidP="00A43D77">
            <w:pPr>
              <w:rPr>
                <w:rFonts w:asciiTheme="minorHAnsi" w:hAnsiTheme="minorHAnsi"/>
                <w:szCs w:val="20"/>
              </w:rPr>
            </w:pPr>
          </w:p>
        </w:tc>
        <w:tc>
          <w:tcPr>
            <w:tcW w:w="2070" w:type="dxa"/>
          </w:tcPr>
          <w:p w14:paraId="2E0C0700" w14:textId="77777777" w:rsidR="00824020" w:rsidRPr="00516AFC" w:rsidRDefault="00824020" w:rsidP="00A43D77">
            <w:pPr>
              <w:rPr>
                <w:rFonts w:asciiTheme="minorHAnsi" w:hAnsiTheme="minorHAnsi"/>
                <w:szCs w:val="20"/>
              </w:rPr>
            </w:pPr>
          </w:p>
        </w:tc>
        <w:tc>
          <w:tcPr>
            <w:tcW w:w="3240" w:type="dxa"/>
          </w:tcPr>
          <w:p w14:paraId="1E75510F" w14:textId="77777777" w:rsidR="00824020" w:rsidRPr="00516AFC" w:rsidRDefault="00824020" w:rsidP="00A43D77">
            <w:pPr>
              <w:rPr>
                <w:rFonts w:asciiTheme="minorHAnsi" w:hAnsiTheme="minorHAnsi"/>
                <w:szCs w:val="20"/>
              </w:rPr>
            </w:pPr>
          </w:p>
        </w:tc>
      </w:tr>
      <w:tr w:rsidR="00824020" w:rsidRPr="00516AFC" w14:paraId="51884856" w14:textId="77777777" w:rsidTr="00824020">
        <w:tc>
          <w:tcPr>
            <w:tcW w:w="2515" w:type="dxa"/>
            <w:shd w:val="clear" w:color="auto" w:fill="E7E6E6" w:themeFill="background2"/>
          </w:tcPr>
          <w:p w14:paraId="223F418D" w14:textId="77777777" w:rsidR="00824020" w:rsidRPr="009B43B2" w:rsidRDefault="00824020" w:rsidP="00A43D77">
            <w:pPr>
              <w:pStyle w:val="NormalWeb"/>
              <w:spacing w:before="0" w:beforeAutospacing="0" w:after="0" w:afterAutospacing="0"/>
              <w:rPr>
                <w:rFonts w:asciiTheme="minorHAnsi" w:hAnsiTheme="minorHAnsi" w:cs="Arial"/>
                <w:b/>
                <w:bCs/>
                <w:color w:val="000000" w:themeColor="text1"/>
                <w:kern w:val="24"/>
                <w:sz w:val="20"/>
                <w:szCs w:val="20"/>
              </w:rPr>
            </w:pPr>
            <w:r w:rsidRPr="009B43B2">
              <w:rPr>
                <w:rFonts w:asciiTheme="minorHAnsi" w:hAnsiTheme="minorHAnsi" w:cs="Arial"/>
                <w:b/>
                <w:bCs/>
                <w:color w:val="000000" w:themeColor="text1"/>
                <w:kern w:val="24"/>
                <w:sz w:val="20"/>
                <w:szCs w:val="20"/>
              </w:rPr>
              <w:t>Membership Fees</w:t>
            </w:r>
          </w:p>
        </w:tc>
        <w:tc>
          <w:tcPr>
            <w:tcW w:w="1800" w:type="dxa"/>
            <w:shd w:val="clear" w:color="auto" w:fill="E7E6E6" w:themeFill="background2"/>
          </w:tcPr>
          <w:p w14:paraId="6FC27644" w14:textId="77777777" w:rsidR="00824020" w:rsidRPr="009B43B2" w:rsidRDefault="00824020" w:rsidP="00A43D77">
            <w:pPr>
              <w:rPr>
                <w:rFonts w:asciiTheme="minorHAnsi" w:hAnsiTheme="minorHAnsi"/>
                <w:b/>
                <w:szCs w:val="20"/>
              </w:rPr>
            </w:pPr>
          </w:p>
        </w:tc>
        <w:tc>
          <w:tcPr>
            <w:tcW w:w="2070" w:type="dxa"/>
            <w:shd w:val="clear" w:color="auto" w:fill="E7E6E6" w:themeFill="background2"/>
          </w:tcPr>
          <w:p w14:paraId="124009D0" w14:textId="77777777" w:rsidR="00824020" w:rsidRPr="009B43B2" w:rsidRDefault="00824020" w:rsidP="00A43D77">
            <w:pPr>
              <w:rPr>
                <w:rFonts w:asciiTheme="minorHAnsi" w:hAnsiTheme="minorHAnsi"/>
                <w:b/>
                <w:szCs w:val="20"/>
              </w:rPr>
            </w:pPr>
          </w:p>
        </w:tc>
        <w:tc>
          <w:tcPr>
            <w:tcW w:w="3240" w:type="dxa"/>
            <w:shd w:val="clear" w:color="auto" w:fill="E7E6E6" w:themeFill="background2"/>
          </w:tcPr>
          <w:p w14:paraId="3DC534D3" w14:textId="77777777" w:rsidR="00824020" w:rsidRPr="009B43B2" w:rsidRDefault="00824020" w:rsidP="00A43D77">
            <w:pPr>
              <w:rPr>
                <w:rFonts w:asciiTheme="minorHAnsi" w:hAnsiTheme="minorHAnsi"/>
                <w:b/>
                <w:szCs w:val="20"/>
              </w:rPr>
            </w:pPr>
          </w:p>
        </w:tc>
      </w:tr>
      <w:tr w:rsidR="00824020" w:rsidRPr="00516AFC" w14:paraId="44B5CFD2" w14:textId="77777777" w:rsidTr="00824020">
        <w:tc>
          <w:tcPr>
            <w:tcW w:w="2515" w:type="dxa"/>
          </w:tcPr>
          <w:p w14:paraId="744BE23B"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proofErr w:type="spellStart"/>
            <w:r w:rsidRPr="00516AFC">
              <w:rPr>
                <w:rFonts w:asciiTheme="minorHAnsi" w:hAnsiTheme="minorHAnsi" w:cs="Arial"/>
                <w:bCs/>
                <w:color w:val="000000" w:themeColor="text1"/>
                <w:kern w:val="24"/>
                <w:sz w:val="20"/>
                <w:szCs w:val="20"/>
              </w:rPr>
              <w:t>Altmetrics</w:t>
            </w:r>
            <w:proofErr w:type="spellEnd"/>
            <w:r w:rsidRPr="00516AFC">
              <w:rPr>
                <w:rFonts w:asciiTheme="minorHAnsi" w:hAnsiTheme="minorHAnsi" w:cs="Arial"/>
                <w:bCs/>
                <w:color w:val="000000" w:themeColor="text1"/>
                <w:kern w:val="24"/>
                <w:sz w:val="20"/>
                <w:szCs w:val="20"/>
              </w:rPr>
              <w:t xml:space="preserve"> provider(s)</w:t>
            </w:r>
          </w:p>
        </w:tc>
        <w:tc>
          <w:tcPr>
            <w:tcW w:w="1800" w:type="dxa"/>
          </w:tcPr>
          <w:p w14:paraId="1E32ED38" w14:textId="77777777" w:rsidR="00824020" w:rsidRPr="00516AFC" w:rsidRDefault="00824020" w:rsidP="00A43D77">
            <w:pPr>
              <w:rPr>
                <w:rFonts w:asciiTheme="minorHAnsi" w:hAnsiTheme="minorHAnsi"/>
                <w:szCs w:val="20"/>
              </w:rPr>
            </w:pPr>
          </w:p>
        </w:tc>
        <w:tc>
          <w:tcPr>
            <w:tcW w:w="2070" w:type="dxa"/>
          </w:tcPr>
          <w:p w14:paraId="22C33385" w14:textId="77777777" w:rsidR="00824020" w:rsidRPr="00516AFC" w:rsidRDefault="00824020" w:rsidP="00A43D77">
            <w:pPr>
              <w:rPr>
                <w:rFonts w:asciiTheme="minorHAnsi" w:hAnsiTheme="minorHAnsi"/>
                <w:szCs w:val="20"/>
              </w:rPr>
            </w:pPr>
          </w:p>
        </w:tc>
        <w:tc>
          <w:tcPr>
            <w:tcW w:w="3240" w:type="dxa"/>
          </w:tcPr>
          <w:p w14:paraId="359C354E" w14:textId="4B4CED78" w:rsidR="00824020" w:rsidRPr="00516AFC" w:rsidRDefault="00824020" w:rsidP="00824020">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&lt;Indicate companies/</w:t>
            </w:r>
            <w:r>
              <w:rPr>
                <w:rFonts w:asciiTheme="minorHAnsi" w:hAnsiTheme="minorHAnsi" w:cs="Arial"/>
                <w:bCs/>
                <w:color w:val="000000" w:themeColor="text1"/>
                <w:kern w:val="24"/>
                <w:sz w:val="20"/>
                <w:szCs w:val="20"/>
              </w:rPr>
              <w:t xml:space="preserve"> </w:t>
            </w:r>
            <w:r w:rsidRPr="00516AFC">
              <w:rPr>
                <w:rFonts w:asciiTheme="minorHAnsi" w:hAnsiTheme="minorHAnsi" w:cs="Arial"/>
                <w:bCs/>
                <w:color w:val="000000" w:themeColor="text1"/>
                <w:kern w:val="24"/>
                <w:sz w:val="20"/>
                <w:szCs w:val="20"/>
              </w:rPr>
              <w:t>services&gt;</w:t>
            </w:r>
          </w:p>
        </w:tc>
      </w:tr>
      <w:tr w:rsidR="00824020" w:rsidRPr="00516AFC" w14:paraId="09384DDE" w14:textId="77777777" w:rsidTr="00824020">
        <w:tc>
          <w:tcPr>
            <w:tcW w:w="2515" w:type="dxa"/>
          </w:tcPr>
          <w:p w14:paraId="0DF28701"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Publisher-based institutional memberships</w:t>
            </w:r>
          </w:p>
        </w:tc>
        <w:tc>
          <w:tcPr>
            <w:tcW w:w="1800" w:type="dxa"/>
          </w:tcPr>
          <w:p w14:paraId="2C31F16E" w14:textId="77777777" w:rsidR="00824020" w:rsidRPr="00516AFC" w:rsidRDefault="00824020" w:rsidP="00A43D77">
            <w:pPr>
              <w:rPr>
                <w:rFonts w:asciiTheme="minorHAnsi" w:hAnsiTheme="minorHAnsi"/>
                <w:szCs w:val="20"/>
              </w:rPr>
            </w:pPr>
          </w:p>
        </w:tc>
        <w:tc>
          <w:tcPr>
            <w:tcW w:w="2070" w:type="dxa"/>
          </w:tcPr>
          <w:p w14:paraId="1307C80E" w14:textId="77777777" w:rsidR="00824020" w:rsidRPr="00516AFC" w:rsidRDefault="00824020" w:rsidP="00A43D77">
            <w:pPr>
              <w:rPr>
                <w:rFonts w:asciiTheme="minorHAnsi" w:hAnsiTheme="minorHAnsi"/>
                <w:szCs w:val="20"/>
              </w:rPr>
            </w:pPr>
          </w:p>
        </w:tc>
        <w:tc>
          <w:tcPr>
            <w:tcW w:w="3240" w:type="dxa"/>
          </w:tcPr>
          <w:p w14:paraId="2C927251"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&lt;Indicate which – ex: PLOS Institutional Account, Springer OA Membership&gt;</w:t>
            </w:r>
          </w:p>
        </w:tc>
      </w:tr>
      <w:tr w:rsidR="00824020" w:rsidRPr="00516AFC" w14:paraId="6736E5AC" w14:textId="77777777" w:rsidTr="00824020">
        <w:tc>
          <w:tcPr>
            <w:tcW w:w="2515" w:type="dxa"/>
          </w:tcPr>
          <w:p w14:paraId="500FF937"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&lt;Other&gt;</w:t>
            </w:r>
          </w:p>
        </w:tc>
        <w:tc>
          <w:tcPr>
            <w:tcW w:w="1800" w:type="dxa"/>
          </w:tcPr>
          <w:p w14:paraId="0FD89C55" w14:textId="77777777" w:rsidR="00824020" w:rsidRPr="00516AFC" w:rsidRDefault="00824020" w:rsidP="00A43D77">
            <w:pPr>
              <w:rPr>
                <w:rFonts w:asciiTheme="minorHAnsi" w:hAnsiTheme="minorHAnsi"/>
                <w:szCs w:val="20"/>
              </w:rPr>
            </w:pPr>
          </w:p>
        </w:tc>
        <w:tc>
          <w:tcPr>
            <w:tcW w:w="2070" w:type="dxa"/>
          </w:tcPr>
          <w:p w14:paraId="03F22B32" w14:textId="77777777" w:rsidR="00824020" w:rsidRPr="00516AFC" w:rsidRDefault="00824020" w:rsidP="00A43D77">
            <w:pPr>
              <w:rPr>
                <w:rFonts w:asciiTheme="minorHAnsi" w:hAnsiTheme="minorHAnsi"/>
                <w:szCs w:val="20"/>
              </w:rPr>
            </w:pPr>
          </w:p>
        </w:tc>
        <w:tc>
          <w:tcPr>
            <w:tcW w:w="3240" w:type="dxa"/>
          </w:tcPr>
          <w:p w14:paraId="7C6FC71F"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 xml:space="preserve">&lt;Indicate which – ex: </w:t>
            </w:r>
            <w:proofErr w:type="spellStart"/>
            <w:r w:rsidRPr="00516AFC">
              <w:rPr>
                <w:rFonts w:asciiTheme="minorHAnsi" w:hAnsiTheme="minorHAnsi" w:cs="Arial"/>
                <w:bCs/>
                <w:color w:val="000000" w:themeColor="text1"/>
                <w:kern w:val="24"/>
                <w:sz w:val="20"/>
                <w:szCs w:val="20"/>
              </w:rPr>
              <w:t>DataCite</w:t>
            </w:r>
            <w:proofErr w:type="spellEnd"/>
            <w:r w:rsidRPr="00516AFC">
              <w:rPr>
                <w:rFonts w:asciiTheme="minorHAnsi" w:hAnsiTheme="minorHAnsi" w:cs="Arial"/>
                <w:bCs/>
                <w:color w:val="000000" w:themeColor="text1"/>
                <w:kern w:val="24"/>
                <w:sz w:val="20"/>
                <w:szCs w:val="20"/>
              </w:rPr>
              <w:t xml:space="preserve"> membership&gt;</w:t>
            </w:r>
          </w:p>
        </w:tc>
      </w:tr>
      <w:tr w:rsidR="00824020" w:rsidRPr="00516AFC" w14:paraId="38CD2C04" w14:textId="77777777" w:rsidTr="00824020">
        <w:tc>
          <w:tcPr>
            <w:tcW w:w="2515" w:type="dxa"/>
            <w:shd w:val="clear" w:color="auto" w:fill="E7E6E6" w:themeFill="background2"/>
          </w:tcPr>
          <w:p w14:paraId="4015E99A" w14:textId="77777777" w:rsidR="00824020" w:rsidRPr="009B43B2" w:rsidRDefault="00824020" w:rsidP="00A43D77">
            <w:pPr>
              <w:pStyle w:val="NormalWeb"/>
              <w:spacing w:before="0" w:beforeAutospacing="0" w:after="0" w:afterAutospacing="0"/>
              <w:rPr>
                <w:rFonts w:asciiTheme="minorHAnsi" w:hAnsiTheme="minorHAnsi" w:cs="Arial"/>
                <w:b/>
                <w:bCs/>
                <w:color w:val="000000" w:themeColor="text1"/>
                <w:kern w:val="24"/>
                <w:sz w:val="20"/>
                <w:szCs w:val="20"/>
              </w:rPr>
            </w:pPr>
            <w:r w:rsidRPr="009B43B2">
              <w:rPr>
                <w:rFonts w:asciiTheme="minorHAnsi" w:hAnsiTheme="minorHAnsi" w:cs="Arial"/>
                <w:b/>
                <w:bCs/>
                <w:color w:val="000000" w:themeColor="text1"/>
                <w:kern w:val="24"/>
                <w:sz w:val="20"/>
                <w:szCs w:val="20"/>
              </w:rPr>
              <w:t>Other Expenses</w:t>
            </w:r>
          </w:p>
        </w:tc>
        <w:tc>
          <w:tcPr>
            <w:tcW w:w="1800" w:type="dxa"/>
            <w:shd w:val="clear" w:color="auto" w:fill="E7E6E6" w:themeFill="background2"/>
          </w:tcPr>
          <w:p w14:paraId="23AF84ED" w14:textId="77777777" w:rsidR="00824020" w:rsidRPr="009B43B2" w:rsidRDefault="00824020" w:rsidP="00A43D77">
            <w:pPr>
              <w:rPr>
                <w:rFonts w:asciiTheme="minorHAnsi" w:hAnsiTheme="minorHAnsi"/>
                <w:b/>
                <w:szCs w:val="20"/>
              </w:rPr>
            </w:pPr>
          </w:p>
        </w:tc>
        <w:tc>
          <w:tcPr>
            <w:tcW w:w="2070" w:type="dxa"/>
            <w:shd w:val="clear" w:color="auto" w:fill="E7E6E6" w:themeFill="background2"/>
          </w:tcPr>
          <w:p w14:paraId="1F8B329E" w14:textId="77777777" w:rsidR="00824020" w:rsidRPr="009B43B2" w:rsidRDefault="00824020" w:rsidP="00A43D77">
            <w:pPr>
              <w:rPr>
                <w:rFonts w:asciiTheme="minorHAnsi" w:hAnsiTheme="minorHAnsi"/>
                <w:b/>
                <w:szCs w:val="20"/>
              </w:rPr>
            </w:pPr>
          </w:p>
        </w:tc>
        <w:tc>
          <w:tcPr>
            <w:tcW w:w="3240" w:type="dxa"/>
            <w:shd w:val="clear" w:color="auto" w:fill="E7E6E6" w:themeFill="background2"/>
          </w:tcPr>
          <w:p w14:paraId="3A21ABEB" w14:textId="77777777" w:rsidR="00824020" w:rsidRPr="009B43B2" w:rsidRDefault="00824020" w:rsidP="00A43D77">
            <w:pPr>
              <w:rPr>
                <w:rFonts w:asciiTheme="minorHAnsi" w:hAnsiTheme="minorHAnsi"/>
                <w:b/>
                <w:szCs w:val="20"/>
              </w:rPr>
            </w:pPr>
          </w:p>
        </w:tc>
      </w:tr>
      <w:tr w:rsidR="00824020" w:rsidRPr="00516AFC" w14:paraId="470E9C3C" w14:textId="77777777" w:rsidTr="00824020">
        <w:tc>
          <w:tcPr>
            <w:tcW w:w="2515" w:type="dxa"/>
          </w:tcPr>
          <w:p w14:paraId="321E6088"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Marketing/promotion materials</w:t>
            </w:r>
          </w:p>
        </w:tc>
        <w:tc>
          <w:tcPr>
            <w:tcW w:w="1800" w:type="dxa"/>
          </w:tcPr>
          <w:p w14:paraId="526A1B65" w14:textId="77777777" w:rsidR="00824020" w:rsidRPr="00516AFC" w:rsidRDefault="00824020" w:rsidP="00A43D77">
            <w:pPr>
              <w:rPr>
                <w:rFonts w:asciiTheme="minorHAnsi" w:hAnsiTheme="minorHAnsi"/>
                <w:szCs w:val="20"/>
              </w:rPr>
            </w:pPr>
          </w:p>
        </w:tc>
        <w:tc>
          <w:tcPr>
            <w:tcW w:w="2070" w:type="dxa"/>
          </w:tcPr>
          <w:p w14:paraId="4BA9D14D" w14:textId="77777777" w:rsidR="00824020" w:rsidRPr="00516AFC" w:rsidRDefault="00824020" w:rsidP="00A43D77">
            <w:pPr>
              <w:rPr>
                <w:rFonts w:asciiTheme="minorHAnsi" w:hAnsiTheme="minorHAnsi"/>
                <w:szCs w:val="20"/>
              </w:rPr>
            </w:pPr>
          </w:p>
        </w:tc>
        <w:tc>
          <w:tcPr>
            <w:tcW w:w="3240" w:type="dxa"/>
          </w:tcPr>
          <w:p w14:paraId="4CCF481F" w14:textId="77777777" w:rsidR="00824020" w:rsidRPr="00516AFC" w:rsidRDefault="00824020" w:rsidP="00A43D77">
            <w:pPr>
              <w:rPr>
                <w:rFonts w:asciiTheme="minorHAnsi" w:hAnsiTheme="minorHAnsi"/>
                <w:szCs w:val="20"/>
              </w:rPr>
            </w:pPr>
          </w:p>
        </w:tc>
      </w:tr>
      <w:tr w:rsidR="00824020" w:rsidRPr="00516AFC" w14:paraId="55C7A363" w14:textId="77777777" w:rsidTr="00824020">
        <w:tc>
          <w:tcPr>
            <w:tcW w:w="2515" w:type="dxa"/>
          </w:tcPr>
          <w:p w14:paraId="168C94DF"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OA Fees for Articles</w:t>
            </w:r>
          </w:p>
        </w:tc>
        <w:tc>
          <w:tcPr>
            <w:tcW w:w="1800" w:type="dxa"/>
          </w:tcPr>
          <w:p w14:paraId="2A37F825" w14:textId="77777777" w:rsidR="00824020" w:rsidRPr="00516AFC" w:rsidRDefault="00824020" w:rsidP="00A43D77">
            <w:pPr>
              <w:rPr>
                <w:rFonts w:asciiTheme="minorHAnsi" w:hAnsiTheme="minorHAnsi"/>
                <w:szCs w:val="20"/>
              </w:rPr>
            </w:pPr>
          </w:p>
        </w:tc>
        <w:tc>
          <w:tcPr>
            <w:tcW w:w="2070" w:type="dxa"/>
          </w:tcPr>
          <w:p w14:paraId="403761B5" w14:textId="77777777" w:rsidR="00824020" w:rsidRPr="00516AFC" w:rsidRDefault="00824020" w:rsidP="00A43D77">
            <w:pPr>
              <w:rPr>
                <w:rFonts w:asciiTheme="minorHAnsi" w:hAnsiTheme="minorHAnsi"/>
                <w:szCs w:val="20"/>
              </w:rPr>
            </w:pPr>
          </w:p>
        </w:tc>
        <w:tc>
          <w:tcPr>
            <w:tcW w:w="3240" w:type="dxa"/>
          </w:tcPr>
          <w:p w14:paraId="1463DAA5" w14:textId="4212D685" w:rsidR="00824020" w:rsidRPr="00516AFC" w:rsidRDefault="00824020" w:rsidP="00824020">
            <w:pPr>
              <w:ind w:left="72" w:hanging="72"/>
              <w:rPr>
                <w:rFonts w:asciiTheme="minorHAnsi" w:hAnsiTheme="minorHAnsi"/>
                <w:szCs w:val="20"/>
              </w:rPr>
            </w:pPr>
            <w:r w:rsidRPr="00516AFC">
              <w:rPr>
                <w:rFonts w:asciiTheme="minorHAnsi" w:hAnsiTheme="minorHAnsi"/>
                <w:szCs w:val="20"/>
              </w:rPr>
              <w:t xml:space="preserve">&lt;Article-processing charges – total if the Center is paying for these fees vs. authors incorporating into grant </w:t>
            </w:r>
            <w:r>
              <w:rPr>
                <w:rFonts w:asciiTheme="minorHAnsi" w:hAnsiTheme="minorHAnsi"/>
                <w:szCs w:val="20"/>
              </w:rPr>
              <w:t>funding</w:t>
            </w:r>
            <w:r w:rsidRPr="00516AFC">
              <w:rPr>
                <w:rFonts w:asciiTheme="minorHAnsi" w:hAnsiTheme="minorHAnsi"/>
                <w:szCs w:val="20"/>
              </w:rPr>
              <w:t>&gt;</w:t>
            </w:r>
          </w:p>
        </w:tc>
      </w:tr>
      <w:tr w:rsidR="00824020" w:rsidRPr="00516AFC" w14:paraId="6325D8F9" w14:textId="77777777" w:rsidTr="00824020">
        <w:tc>
          <w:tcPr>
            <w:tcW w:w="2515" w:type="dxa"/>
          </w:tcPr>
          <w:p w14:paraId="66D3F6B0" w14:textId="77777777" w:rsidR="00824020" w:rsidRPr="00516AFC" w:rsidRDefault="00824020" w:rsidP="00A43D77">
            <w:pPr>
              <w:pStyle w:val="NormalWeb"/>
              <w:spacing w:before="0" w:beforeAutospacing="0" w:after="0" w:afterAutospacing="0"/>
              <w:rPr>
                <w:rFonts w:asciiTheme="minorHAnsi" w:hAnsiTheme="minorHAnsi" w:cs="Arial"/>
                <w:sz w:val="20"/>
                <w:szCs w:val="20"/>
              </w:rPr>
            </w:pPr>
            <w:r w:rsidRPr="00516AFC">
              <w:rPr>
                <w:rFonts w:asciiTheme="minorHAnsi" w:hAnsiTheme="minorHAnsi" w:cs="Arial"/>
                <w:bCs/>
                <w:color w:val="000000" w:themeColor="text1"/>
                <w:kern w:val="24"/>
                <w:sz w:val="20"/>
                <w:szCs w:val="20"/>
              </w:rPr>
              <w:t>&lt;Other&gt;</w:t>
            </w:r>
          </w:p>
        </w:tc>
        <w:tc>
          <w:tcPr>
            <w:tcW w:w="1800" w:type="dxa"/>
          </w:tcPr>
          <w:p w14:paraId="6CABA317" w14:textId="77777777" w:rsidR="00824020" w:rsidRPr="00516AFC" w:rsidRDefault="00824020" w:rsidP="00A43D77">
            <w:pPr>
              <w:rPr>
                <w:rFonts w:asciiTheme="minorHAnsi" w:hAnsiTheme="minorHAnsi"/>
                <w:szCs w:val="20"/>
              </w:rPr>
            </w:pPr>
          </w:p>
        </w:tc>
        <w:tc>
          <w:tcPr>
            <w:tcW w:w="2070" w:type="dxa"/>
          </w:tcPr>
          <w:p w14:paraId="0F9C8B71" w14:textId="77777777" w:rsidR="00824020" w:rsidRPr="00516AFC" w:rsidRDefault="00824020" w:rsidP="00A43D77">
            <w:pPr>
              <w:rPr>
                <w:rFonts w:asciiTheme="minorHAnsi" w:hAnsiTheme="minorHAnsi"/>
                <w:szCs w:val="20"/>
              </w:rPr>
            </w:pPr>
          </w:p>
        </w:tc>
        <w:tc>
          <w:tcPr>
            <w:tcW w:w="3240" w:type="dxa"/>
          </w:tcPr>
          <w:p w14:paraId="039E18B0" w14:textId="77777777" w:rsidR="00824020" w:rsidRPr="00516AFC" w:rsidRDefault="00824020" w:rsidP="00A43D77">
            <w:pPr>
              <w:rPr>
                <w:rFonts w:asciiTheme="minorHAnsi" w:hAnsiTheme="minorHAnsi"/>
                <w:szCs w:val="20"/>
              </w:rPr>
            </w:pPr>
          </w:p>
        </w:tc>
      </w:tr>
    </w:tbl>
    <w:p w14:paraId="3E01BBC6" w14:textId="77777777" w:rsidR="00824020" w:rsidRPr="001B3F7A" w:rsidRDefault="00824020" w:rsidP="00824020">
      <w:pPr>
        <w:rPr>
          <w:szCs w:val="20"/>
        </w:rPr>
      </w:pPr>
    </w:p>
    <w:sectPr w:rsidR="00824020" w:rsidRPr="001B3F7A" w:rsidSect="00A0292A">
      <w:headerReference w:type="default" r:id="rId9"/>
      <w:footerReference w:type="default" r:id="rId10"/>
      <w:headerReference w:type="firs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89060" w14:textId="77777777" w:rsidR="00A43D77" w:rsidRDefault="00A43D77" w:rsidP="00BE61B8">
      <w:r>
        <w:separator/>
      </w:r>
    </w:p>
  </w:endnote>
  <w:endnote w:type="continuationSeparator" w:id="0">
    <w:p w14:paraId="2A9E756D" w14:textId="77777777" w:rsidR="00A43D77" w:rsidRDefault="00A43D77" w:rsidP="00BE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422899"/>
      <w:docPartObj>
        <w:docPartGallery w:val="Page Numbers (Bottom of Page)"/>
        <w:docPartUnique/>
      </w:docPartObj>
    </w:sdtPr>
    <w:sdtEndPr>
      <w:rPr>
        <w:noProof/>
      </w:rPr>
    </w:sdtEndPr>
    <w:sdtContent>
      <w:p w14:paraId="59EA2F39" w14:textId="77777777" w:rsidR="00A43D77" w:rsidRDefault="00A43D77" w:rsidP="00BE61B8">
        <w:pPr>
          <w:pStyle w:val="Footer"/>
          <w:jc w:val="right"/>
          <w:rPr>
            <w:sz w:val="22"/>
          </w:rPr>
        </w:pPr>
      </w:p>
      <w:p w14:paraId="08228FE7" w14:textId="48498470" w:rsidR="00A43D77" w:rsidRPr="001E2C04" w:rsidRDefault="00A43D77" w:rsidP="00BE61B8">
        <w:pPr>
          <w:pStyle w:val="Footer"/>
          <w:jc w:val="right"/>
          <w:rPr>
            <w:rFonts w:asciiTheme="minorHAnsi" w:hAnsiTheme="minorHAnsi"/>
          </w:rPr>
        </w:pPr>
        <w:r>
          <w:rPr>
            <w:sz w:val="22"/>
          </w:rPr>
          <w:fldChar w:fldCharType="begin"/>
        </w:r>
        <w:r>
          <w:instrText xml:space="preserve"> PAGE   \* MERGEFORMAT </w:instrText>
        </w:r>
        <w:r>
          <w:rPr>
            <w:sz w:val="22"/>
          </w:rPr>
          <w:fldChar w:fldCharType="separate"/>
        </w:r>
        <w:r w:rsidR="00157B9E">
          <w:rPr>
            <w:noProof/>
          </w:rPr>
          <w:t>2</w:t>
        </w:r>
        <w:r>
          <w:rPr>
            <w:rFonts w:asciiTheme="minorHAnsi" w:hAnsiTheme="minorHAnsi"/>
            <w:noProof/>
          </w:rPr>
          <w:fldChar w:fldCharType="end"/>
        </w:r>
      </w:p>
      <w:p w14:paraId="30F73D80" w14:textId="77777777" w:rsidR="00A43D77" w:rsidRPr="00891E92" w:rsidRDefault="00A43D77" w:rsidP="00BE61B8">
        <w:pPr>
          <w:pStyle w:val="Footer"/>
          <w:pBdr>
            <w:top w:val="single" w:sz="4" w:space="1" w:color="427731"/>
          </w:pBdr>
          <w:spacing w:before="120"/>
          <w:ind w:left="-567"/>
          <w:jc w:val="center"/>
          <w:rPr>
            <w:rFonts w:ascii="Arial" w:hAnsi="Arial" w:cs="Arial"/>
            <w:color w:val="427731"/>
            <w:sz w:val="18"/>
            <w:szCs w:val="18"/>
          </w:rPr>
        </w:pPr>
      </w:p>
      <w:p w14:paraId="17FF3444" w14:textId="77777777" w:rsidR="00A43D77" w:rsidRDefault="00A43D7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CD8FD" w14:textId="77777777" w:rsidR="00A43D77" w:rsidRDefault="00A43D77" w:rsidP="00BE61B8">
      <w:r>
        <w:separator/>
      </w:r>
    </w:p>
  </w:footnote>
  <w:footnote w:type="continuationSeparator" w:id="0">
    <w:p w14:paraId="47F73D41" w14:textId="77777777" w:rsidR="00A43D77" w:rsidRDefault="00A43D77" w:rsidP="00BE61B8">
      <w:r>
        <w:continuationSeparator/>
      </w:r>
    </w:p>
  </w:footnote>
  <w:footnote w:id="1">
    <w:p w14:paraId="5CB0295B" w14:textId="6928E5B2" w:rsidR="00A43D77" w:rsidRPr="00615903" w:rsidRDefault="00A43D77">
      <w:pPr>
        <w:pStyle w:val="FootnoteText"/>
        <w:rPr>
          <w:sz w:val="18"/>
          <w:szCs w:val="18"/>
        </w:rPr>
      </w:pPr>
      <w:r w:rsidRPr="00615903">
        <w:rPr>
          <w:rStyle w:val="FootnoteReference"/>
          <w:sz w:val="18"/>
          <w:szCs w:val="18"/>
        </w:rPr>
        <w:footnoteRef/>
      </w:r>
      <w:r w:rsidRPr="00615903">
        <w:rPr>
          <w:sz w:val="18"/>
          <w:szCs w:val="18"/>
        </w:rPr>
        <w:t xml:space="preserve"> Involvement of the IP Focal Point is recommended because the application of an exemption or extension to the deposit schedule has implications concerning a Center’s obligations to promptly and broadly disseminate results as required pursuant to Article 6 of the IA Principles.</w:t>
      </w:r>
    </w:p>
  </w:footnote>
  <w:footnote w:id="2">
    <w:p w14:paraId="6DBFE96F" w14:textId="77777777" w:rsidR="00A43D77" w:rsidRPr="00615903" w:rsidRDefault="00A43D77">
      <w:pPr>
        <w:pStyle w:val="FootnoteText"/>
        <w:rPr>
          <w:sz w:val="18"/>
          <w:szCs w:val="18"/>
        </w:rPr>
      </w:pPr>
      <w:r w:rsidRPr="00615903">
        <w:rPr>
          <w:rStyle w:val="FootnoteReference"/>
          <w:sz w:val="18"/>
          <w:szCs w:val="18"/>
        </w:rPr>
        <w:footnoteRef/>
      </w:r>
      <w:r w:rsidRPr="00615903">
        <w:rPr>
          <w:sz w:val="18"/>
          <w:szCs w:val="18"/>
        </w:rPr>
        <w:t xml:space="preserve"> Article 6.2 is on “Limited Exclusivity Agreements,” Article 6.3 is on “Incorporation of Third Party Intellectual Assets” and Article 6.4 is on “Intellectual Property Rights,” all part of the CGIAR IA Principles. </w:t>
      </w:r>
    </w:p>
  </w:footnote>
  <w:footnote w:id="3">
    <w:p w14:paraId="766B3192" w14:textId="77777777" w:rsidR="00A43D77" w:rsidRPr="00615903" w:rsidRDefault="00A43D77">
      <w:pPr>
        <w:pStyle w:val="FootnoteText"/>
        <w:rPr>
          <w:sz w:val="18"/>
          <w:szCs w:val="18"/>
        </w:rPr>
      </w:pPr>
      <w:r w:rsidRPr="00615903">
        <w:rPr>
          <w:rStyle w:val="FootnoteReference"/>
          <w:sz w:val="18"/>
          <w:szCs w:val="18"/>
        </w:rPr>
        <w:footnoteRef/>
      </w:r>
      <w:r w:rsidRPr="00615903">
        <w:rPr>
          <w:sz w:val="18"/>
          <w:szCs w:val="18"/>
        </w:rPr>
        <w:t xml:space="preserve"> For more details about interoperability and repositories, please consult the following reports produced by the Confederation of Open Access Repositories (COAR): “The Case for Interoperability for Open Access Repositories,” “The Current State of Open Access Repository Interoperability (2012),” and “The COAR Roadmap: Future Directions for Repository Interoperability.” All three reports are accessible at: </w:t>
      </w:r>
      <w:hyperlink r:id="rId1" w:history="1">
        <w:r w:rsidRPr="00615903">
          <w:rPr>
            <w:rStyle w:val="Hyperlink"/>
            <w:sz w:val="18"/>
            <w:szCs w:val="18"/>
          </w:rPr>
          <w:t>https://www.coar-repositories.org/activities/repository-interoperability/</w:t>
        </w:r>
      </w:hyperlink>
      <w:r w:rsidRPr="00615903">
        <w:rPr>
          <w:sz w:val="18"/>
          <w:szCs w:val="18"/>
        </w:rPr>
        <w:t xml:space="preserve"> </w:t>
      </w:r>
    </w:p>
  </w:footnote>
  <w:footnote w:id="4">
    <w:p w14:paraId="09599DC3" w14:textId="77777777" w:rsidR="00A43D77" w:rsidRPr="00C6631A" w:rsidRDefault="00A43D77">
      <w:pPr>
        <w:pStyle w:val="FootnoteText"/>
        <w:rPr>
          <w:sz w:val="18"/>
          <w:szCs w:val="18"/>
        </w:rPr>
      </w:pPr>
      <w:r w:rsidRPr="00C6631A">
        <w:rPr>
          <w:rStyle w:val="FootnoteReference"/>
          <w:sz w:val="18"/>
          <w:szCs w:val="18"/>
        </w:rPr>
        <w:footnoteRef/>
      </w:r>
      <w:r w:rsidRPr="00C6631A">
        <w:rPr>
          <w:sz w:val="18"/>
          <w:szCs w:val="18"/>
        </w:rPr>
        <w:t xml:space="preserve"> Web Design Guidelines for Low Bandwidth by </w:t>
      </w:r>
      <w:proofErr w:type="spellStart"/>
      <w:r w:rsidRPr="00C6631A">
        <w:rPr>
          <w:sz w:val="18"/>
          <w:szCs w:val="18"/>
        </w:rPr>
        <w:t>Aptivate</w:t>
      </w:r>
      <w:proofErr w:type="spellEnd"/>
      <w:r w:rsidRPr="00C6631A">
        <w:rPr>
          <w:sz w:val="18"/>
          <w:szCs w:val="18"/>
        </w:rPr>
        <w:t xml:space="preserve">: </w:t>
      </w:r>
      <w:hyperlink r:id="rId2" w:history="1">
        <w:r w:rsidRPr="00C6631A">
          <w:rPr>
            <w:rStyle w:val="Hyperlink"/>
            <w:sz w:val="18"/>
            <w:szCs w:val="18"/>
          </w:rPr>
          <w:t>http://www.aptivate.org/webguidelines/TopTen.html</w:t>
        </w:r>
      </w:hyperlink>
      <w:r w:rsidRPr="00C6631A">
        <w:rPr>
          <w:sz w:val="18"/>
          <w:szCs w:val="18"/>
        </w:rPr>
        <w:t xml:space="preserve"> </w:t>
      </w:r>
    </w:p>
  </w:footnote>
  <w:footnote w:id="5">
    <w:p w14:paraId="4E05EEB9" w14:textId="77777777" w:rsidR="00A43D77" w:rsidRPr="00C6631A" w:rsidRDefault="00A43D77">
      <w:pPr>
        <w:pStyle w:val="FootnoteText"/>
        <w:rPr>
          <w:sz w:val="18"/>
          <w:szCs w:val="18"/>
        </w:rPr>
      </w:pPr>
      <w:r w:rsidRPr="00C6631A">
        <w:rPr>
          <w:rStyle w:val="FootnoteReference"/>
          <w:sz w:val="18"/>
          <w:szCs w:val="18"/>
        </w:rPr>
        <w:footnoteRef/>
      </w:r>
      <w:r w:rsidRPr="00C6631A">
        <w:rPr>
          <w:sz w:val="18"/>
          <w:szCs w:val="18"/>
        </w:rPr>
        <w:t xml:space="preserve"> Creative Commons Attribution 4.0 License: </w:t>
      </w:r>
      <w:hyperlink r:id="rId3" w:history="1">
        <w:r w:rsidRPr="00C6631A">
          <w:rPr>
            <w:rStyle w:val="Hyperlink"/>
            <w:sz w:val="18"/>
            <w:szCs w:val="18"/>
          </w:rPr>
          <w:t>http://creativecommons.org/licenses/by/4.0/</w:t>
        </w:r>
      </w:hyperlink>
      <w:r w:rsidRPr="00C6631A">
        <w:rPr>
          <w:sz w:val="18"/>
          <w:szCs w:val="18"/>
        </w:rPr>
        <w:t xml:space="preserve"> </w:t>
      </w:r>
    </w:p>
  </w:footnote>
  <w:footnote w:id="6">
    <w:p w14:paraId="54A4017A" w14:textId="77777777" w:rsidR="00A43D77" w:rsidRDefault="00A43D77">
      <w:pPr>
        <w:pStyle w:val="FootnoteText"/>
      </w:pPr>
      <w:r w:rsidRPr="00C6631A">
        <w:rPr>
          <w:rStyle w:val="FootnoteReference"/>
          <w:sz w:val="18"/>
          <w:szCs w:val="18"/>
        </w:rPr>
        <w:footnoteRef/>
      </w:r>
      <w:r w:rsidRPr="00C6631A">
        <w:rPr>
          <w:sz w:val="18"/>
          <w:szCs w:val="18"/>
        </w:rPr>
        <w:t xml:space="preserve"> GNU General Public License: </w:t>
      </w:r>
      <w:hyperlink r:id="rId4" w:anchor="GPL" w:history="1">
        <w:r w:rsidRPr="00C6631A">
          <w:rPr>
            <w:rStyle w:val="Hyperlink"/>
            <w:sz w:val="18"/>
            <w:szCs w:val="18"/>
          </w:rPr>
          <w:t>http://www.gnu.org/licenses/#GPL</w:t>
        </w:r>
      </w:hyperlink>
      <w:r>
        <w:t xml:space="preserve">  </w:t>
      </w:r>
    </w:p>
  </w:footnote>
  <w:footnote w:id="7">
    <w:p w14:paraId="32D99018" w14:textId="77777777" w:rsidR="00A43D77" w:rsidRPr="00407CC0" w:rsidRDefault="00A43D77">
      <w:pPr>
        <w:pStyle w:val="FootnoteText"/>
        <w:rPr>
          <w:sz w:val="18"/>
          <w:szCs w:val="18"/>
        </w:rPr>
      </w:pPr>
      <w:r w:rsidRPr="00407CC0">
        <w:rPr>
          <w:rStyle w:val="FootnoteReference"/>
          <w:sz w:val="18"/>
          <w:szCs w:val="18"/>
        </w:rPr>
        <w:footnoteRef/>
      </w:r>
      <w:r w:rsidRPr="00407CC0">
        <w:rPr>
          <w:sz w:val="18"/>
          <w:szCs w:val="18"/>
        </w:rPr>
        <w:t xml:space="preserve"> For further details on non-compliance, see Richard Van </w:t>
      </w:r>
      <w:proofErr w:type="spellStart"/>
      <w:r w:rsidRPr="00407CC0">
        <w:rPr>
          <w:sz w:val="18"/>
          <w:szCs w:val="18"/>
        </w:rPr>
        <w:t>Noorden</w:t>
      </w:r>
      <w:proofErr w:type="spellEnd"/>
      <w:r w:rsidRPr="00407CC0">
        <w:rPr>
          <w:sz w:val="18"/>
          <w:szCs w:val="18"/>
        </w:rPr>
        <w:t xml:space="preserve">, “Funders punish open-access dodgers,” in </w:t>
      </w:r>
      <w:r w:rsidRPr="00407CC0">
        <w:rPr>
          <w:i/>
          <w:sz w:val="18"/>
          <w:szCs w:val="18"/>
        </w:rPr>
        <w:t>Nature News</w:t>
      </w:r>
      <w:r w:rsidRPr="00407CC0">
        <w:rPr>
          <w:sz w:val="18"/>
          <w:szCs w:val="18"/>
        </w:rPr>
        <w:t xml:space="preserve"> (09 April 2014):  </w:t>
      </w:r>
      <w:hyperlink r:id="rId5" w:history="1">
        <w:r w:rsidRPr="00407CC0">
          <w:rPr>
            <w:rStyle w:val="Hyperlink"/>
            <w:sz w:val="18"/>
            <w:szCs w:val="18"/>
          </w:rPr>
          <w:t>http://www.nature.com/news/funders-punish-open-access-dodgers-1.15007</w:t>
        </w:r>
      </w:hyperlink>
      <w:r w:rsidRPr="00407CC0">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43D77" w14:paraId="01EC08BC" w14:textId="77777777" w:rsidTr="00733500">
      <w:trPr>
        <w:jc w:val="center"/>
      </w:trPr>
      <w:tc>
        <w:tcPr>
          <w:tcW w:w="9017" w:type="dxa"/>
        </w:tcPr>
        <w:p w14:paraId="3FECFE7E" w14:textId="77777777" w:rsidR="00A43D77" w:rsidRPr="00733500" w:rsidRDefault="00A43D77" w:rsidP="00733500">
          <w:pPr>
            <w:pStyle w:val="Header"/>
            <w:jc w:val="center"/>
            <w:rPr>
              <w:rFonts w:asciiTheme="minorHAnsi" w:hAnsiTheme="minorHAnsi" w:cs="Times New Roman"/>
            </w:rPr>
          </w:pPr>
          <w:r w:rsidRPr="00733500">
            <w:rPr>
              <w:rFonts w:asciiTheme="minorHAnsi" w:hAnsiTheme="minorHAnsi" w:cs="Times New Roman"/>
              <w:i/>
              <w:color w:val="0000FF"/>
            </w:rPr>
            <w:t>&lt;Center/CRP&gt;</w:t>
          </w:r>
          <w:r>
            <w:rPr>
              <w:rFonts w:asciiTheme="minorHAnsi" w:hAnsiTheme="minorHAnsi" w:cs="Times New Roman"/>
              <w:i/>
              <w:color w:val="0000FF"/>
            </w:rPr>
            <w:t xml:space="preserve"> </w:t>
          </w:r>
          <w:r>
            <w:rPr>
              <w:rFonts w:asciiTheme="minorHAnsi" w:hAnsiTheme="minorHAnsi" w:cs="Times New Roman"/>
            </w:rPr>
            <w:t xml:space="preserve">Open Access/Open Data Implementation Plan </w:t>
          </w:r>
        </w:p>
      </w:tc>
    </w:tr>
    <w:tr w:rsidR="00A43D77" w14:paraId="02D40593" w14:textId="77777777" w:rsidTr="00733500">
      <w:trPr>
        <w:jc w:val="center"/>
      </w:trPr>
      <w:tc>
        <w:tcPr>
          <w:tcW w:w="9017" w:type="dxa"/>
        </w:tcPr>
        <w:p w14:paraId="7725DE74" w14:textId="77777777" w:rsidR="00A43D77" w:rsidRPr="00733500" w:rsidRDefault="00A43D77" w:rsidP="00733500">
          <w:pPr>
            <w:pStyle w:val="Header"/>
            <w:jc w:val="center"/>
            <w:rPr>
              <w:rFonts w:asciiTheme="minorHAnsi" w:hAnsiTheme="minorHAnsi" w:cs="Times New Roman"/>
              <w:i/>
              <w:color w:val="0000FF"/>
            </w:rPr>
          </w:pPr>
        </w:p>
      </w:tc>
    </w:tr>
  </w:tbl>
  <w:p w14:paraId="469705C2" w14:textId="77777777" w:rsidR="00A43D77" w:rsidRDefault="00A43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2A6EB" w14:textId="77777777" w:rsidR="00A43D77" w:rsidRDefault="00A43D77">
    <w:pPr>
      <w:pStyle w:val="Header"/>
    </w:pPr>
    <w:r w:rsidRPr="00BE61B8">
      <w:rPr>
        <w:rFonts w:cs="Times New Roman"/>
        <w:b/>
        <w:noProof/>
      </w:rPr>
      <w:drawing>
        <wp:anchor distT="0" distB="0" distL="114300" distR="114300" simplePos="0" relativeHeight="251659264" behindDoc="0" locked="0" layoutInCell="1" allowOverlap="1" wp14:anchorId="248EB80D" wp14:editId="12378F83">
          <wp:simplePos x="0" y="0"/>
          <wp:positionH relativeFrom="column">
            <wp:posOffset>-358445</wp:posOffset>
          </wp:positionH>
          <wp:positionV relativeFrom="paragraph">
            <wp:posOffset>-248717</wp:posOffset>
          </wp:positionV>
          <wp:extent cx="1009816" cy="962025"/>
          <wp:effectExtent l="0" t="0" r="0" b="0"/>
          <wp:wrapNone/>
          <wp:docPr id="1" name="Picture 0" descr="Description: CGIAR logo consort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CGIAR logo consortium.jpg"/>
                  <pic:cNvPicPr>
                    <a:picLocks noChangeAspect="1" noChangeArrowheads="1"/>
                  </pic:cNvPicPr>
                </pic:nvPicPr>
                <pic:blipFill rotWithShape="1">
                  <a:blip r:embed="rId1"/>
                  <a:srcRect r="53406"/>
                  <a:stretch/>
                </pic:blipFill>
                <pic:spPr bwMode="auto">
                  <a:xfrm>
                    <a:off x="0" y="0"/>
                    <a:ext cx="1009816"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525A"/>
    <w:multiLevelType w:val="hybridMultilevel"/>
    <w:tmpl w:val="F8080138"/>
    <w:lvl w:ilvl="0" w:tplc="0408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5EF1"/>
    <w:multiLevelType w:val="hybridMultilevel"/>
    <w:tmpl w:val="0C72C7B6"/>
    <w:lvl w:ilvl="0" w:tplc="91E0B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25D62"/>
    <w:multiLevelType w:val="hybridMultilevel"/>
    <w:tmpl w:val="7B0C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D3B11"/>
    <w:multiLevelType w:val="hybridMultilevel"/>
    <w:tmpl w:val="51208DCA"/>
    <w:lvl w:ilvl="0" w:tplc="04090001">
      <w:start w:val="1"/>
      <w:numFmt w:val="bullet"/>
      <w:lvlText w:val=""/>
      <w:lvlJc w:val="left"/>
      <w:pPr>
        <w:ind w:left="720" w:hanging="360"/>
      </w:pPr>
      <w:rPr>
        <w:rFonts w:ascii="Symbol" w:hAnsi="Symbol"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74CFD"/>
    <w:multiLevelType w:val="hybridMultilevel"/>
    <w:tmpl w:val="83D88EA4"/>
    <w:lvl w:ilvl="0" w:tplc="B03A4C00">
      <w:start w:val="2"/>
      <w:numFmt w:val="bullet"/>
      <w:lvlText w:val="-"/>
      <w:lvlJc w:val="left"/>
      <w:pPr>
        <w:ind w:left="720" w:hanging="360"/>
      </w:pPr>
      <w:rPr>
        <w:rFonts w:ascii="Calibri" w:eastAsiaTheme="minorHAnsi" w:hAnsi="Calibri" w:cstheme="minorBid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62CF7"/>
    <w:multiLevelType w:val="multilevel"/>
    <w:tmpl w:val="82CE7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310C20"/>
    <w:multiLevelType w:val="hybridMultilevel"/>
    <w:tmpl w:val="C7ACC17A"/>
    <w:lvl w:ilvl="0" w:tplc="B03A4C00">
      <w:start w:val="2"/>
      <w:numFmt w:val="bullet"/>
      <w:lvlText w:val="-"/>
      <w:lvlJc w:val="left"/>
      <w:pPr>
        <w:ind w:left="720" w:hanging="360"/>
      </w:pPr>
      <w:rPr>
        <w:rFonts w:ascii="Calibri" w:eastAsiaTheme="minorHAnsi" w:hAnsi="Calibri" w:cstheme="minorBid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F6978"/>
    <w:multiLevelType w:val="hybridMultilevel"/>
    <w:tmpl w:val="F930569A"/>
    <w:lvl w:ilvl="0" w:tplc="B03A4C00">
      <w:start w:val="2"/>
      <w:numFmt w:val="bullet"/>
      <w:lvlText w:val="-"/>
      <w:lvlJc w:val="left"/>
      <w:pPr>
        <w:ind w:left="720" w:hanging="360"/>
      </w:pPr>
      <w:rPr>
        <w:rFonts w:ascii="Calibri" w:eastAsiaTheme="minorHAnsi" w:hAnsi="Calibri" w:cstheme="minorBid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0213E"/>
    <w:multiLevelType w:val="hybridMultilevel"/>
    <w:tmpl w:val="15360396"/>
    <w:lvl w:ilvl="0" w:tplc="ABF094C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E4740"/>
    <w:multiLevelType w:val="hybridMultilevel"/>
    <w:tmpl w:val="BDC82E08"/>
    <w:lvl w:ilvl="0" w:tplc="6DF6E25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734E6"/>
    <w:multiLevelType w:val="hybridMultilevel"/>
    <w:tmpl w:val="F8080138"/>
    <w:lvl w:ilvl="0" w:tplc="0408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73FD5"/>
    <w:multiLevelType w:val="hybridMultilevel"/>
    <w:tmpl w:val="AB28BDAC"/>
    <w:lvl w:ilvl="0" w:tplc="ABF094C4">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D7AA5"/>
    <w:multiLevelType w:val="hybridMultilevel"/>
    <w:tmpl w:val="ADD8E140"/>
    <w:lvl w:ilvl="0" w:tplc="ABF094C4">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B3A7F"/>
    <w:multiLevelType w:val="hybridMultilevel"/>
    <w:tmpl w:val="2CB0D850"/>
    <w:lvl w:ilvl="0" w:tplc="B03A4C00">
      <w:start w:val="2"/>
      <w:numFmt w:val="bullet"/>
      <w:lvlText w:val="-"/>
      <w:lvlJc w:val="left"/>
      <w:pPr>
        <w:ind w:left="720" w:hanging="360"/>
      </w:pPr>
      <w:rPr>
        <w:rFonts w:ascii="Calibri" w:eastAsiaTheme="minorHAnsi" w:hAnsi="Calibri" w:cstheme="minorBid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2787D"/>
    <w:multiLevelType w:val="hybridMultilevel"/>
    <w:tmpl w:val="3C62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C61BD"/>
    <w:multiLevelType w:val="hybridMultilevel"/>
    <w:tmpl w:val="355C5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0769D9"/>
    <w:multiLevelType w:val="hybridMultilevel"/>
    <w:tmpl w:val="E6BE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E3CAB"/>
    <w:multiLevelType w:val="multilevel"/>
    <w:tmpl w:val="3CF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1"/>
  </w:num>
  <w:num w:numId="4">
    <w:abstractNumId w:val="8"/>
  </w:num>
  <w:num w:numId="5">
    <w:abstractNumId w:val="14"/>
  </w:num>
  <w:num w:numId="6">
    <w:abstractNumId w:val="15"/>
  </w:num>
  <w:num w:numId="7">
    <w:abstractNumId w:val="5"/>
  </w:num>
  <w:num w:numId="8">
    <w:abstractNumId w:val="13"/>
  </w:num>
  <w:num w:numId="9">
    <w:abstractNumId w:val="17"/>
  </w:num>
  <w:num w:numId="10">
    <w:abstractNumId w:val="4"/>
  </w:num>
  <w:num w:numId="11">
    <w:abstractNumId w:val="3"/>
  </w:num>
  <w:num w:numId="12">
    <w:abstractNumId w:val="7"/>
  </w:num>
  <w:num w:numId="13">
    <w:abstractNumId w:val="6"/>
  </w:num>
  <w:num w:numId="14">
    <w:abstractNumId w:val="1"/>
  </w:num>
  <w:num w:numId="15">
    <w:abstractNumId w:val="2"/>
  </w:num>
  <w:num w:numId="16">
    <w:abstractNumId w:val="0"/>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B8"/>
    <w:rsid w:val="0002128D"/>
    <w:rsid w:val="00022840"/>
    <w:rsid w:val="00024F81"/>
    <w:rsid w:val="00053D3B"/>
    <w:rsid w:val="000542AF"/>
    <w:rsid w:val="0006104A"/>
    <w:rsid w:val="00076842"/>
    <w:rsid w:val="00081613"/>
    <w:rsid w:val="000A7DB4"/>
    <w:rsid w:val="000C6F07"/>
    <w:rsid w:val="000D2206"/>
    <w:rsid w:val="000D769A"/>
    <w:rsid w:val="000E5F84"/>
    <w:rsid w:val="000F509F"/>
    <w:rsid w:val="001156BE"/>
    <w:rsid w:val="00117232"/>
    <w:rsid w:val="001216E1"/>
    <w:rsid w:val="00140FE1"/>
    <w:rsid w:val="001425B5"/>
    <w:rsid w:val="00152AE3"/>
    <w:rsid w:val="00157B9E"/>
    <w:rsid w:val="00170053"/>
    <w:rsid w:val="00183EDA"/>
    <w:rsid w:val="001A4CFC"/>
    <w:rsid w:val="001B3F7A"/>
    <w:rsid w:val="001E236D"/>
    <w:rsid w:val="00244A3F"/>
    <w:rsid w:val="00246A7A"/>
    <w:rsid w:val="002625EF"/>
    <w:rsid w:val="002B1220"/>
    <w:rsid w:val="002F55DB"/>
    <w:rsid w:val="00305E64"/>
    <w:rsid w:val="0030658A"/>
    <w:rsid w:val="00312EDA"/>
    <w:rsid w:val="00373DCB"/>
    <w:rsid w:val="003868B7"/>
    <w:rsid w:val="003960BD"/>
    <w:rsid w:val="003A2D18"/>
    <w:rsid w:val="003A326F"/>
    <w:rsid w:val="003B38F2"/>
    <w:rsid w:val="003D0883"/>
    <w:rsid w:val="003D513E"/>
    <w:rsid w:val="003D5FEC"/>
    <w:rsid w:val="0040458E"/>
    <w:rsid w:val="00407CC0"/>
    <w:rsid w:val="0044460E"/>
    <w:rsid w:val="004463B6"/>
    <w:rsid w:val="00451CA2"/>
    <w:rsid w:val="00471A2E"/>
    <w:rsid w:val="00480C6F"/>
    <w:rsid w:val="004A4758"/>
    <w:rsid w:val="004D7B2E"/>
    <w:rsid w:val="00507073"/>
    <w:rsid w:val="00524C73"/>
    <w:rsid w:val="00536F6A"/>
    <w:rsid w:val="005448F7"/>
    <w:rsid w:val="00551723"/>
    <w:rsid w:val="00554170"/>
    <w:rsid w:val="005830D2"/>
    <w:rsid w:val="00586C8F"/>
    <w:rsid w:val="005938EF"/>
    <w:rsid w:val="005C632B"/>
    <w:rsid w:val="005C6936"/>
    <w:rsid w:val="005D0AF5"/>
    <w:rsid w:val="005E3362"/>
    <w:rsid w:val="00615903"/>
    <w:rsid w:val="0062683F"/>
    <w:rsid w:val="006432A5"/>
    <w:rsid w:val="006618B6"/>
    <w:rsid w:val="00687254"/>
    <w:rsid w:val="006B3C9B"/>
    <w:rsid w:val="00706281"/>
    <w:rsid w:val="00733500"/>
    <w:rsid w:val="00745366"/>
    <w:rsid w:val="007B28A6"/>
    <w:rsid w:val="007C5225"/>
    <w:rsid w:val="007C6517"/>
    <w:rsid w:val="007E152A"/>
    <w:rsid w:val="007E4EB4"/>
    <w:rsid w:val="007F0178"/>
    <w:rsid w:val="0080274C"/>
    <w:rsid w:val="00816A65"/>
    <w:rsid w:val="00822D35"/>
    <w:rsid w:val="00824020"/>
    <w:rsid w:val="008304BD"/>
    <w:rsid w:val="0083102F"/>
    <w:rsid w:val="00866ECF"/>
    <w:rsid w:val="0088790E"/>
    <w:rsid w:val="00897649"/>
    <w:rsid w:val="008A11AA"/>
    <w:rsid w:val="008E2645"/>
    <w:rsid w:val="00941665"/>
    <w:rsid w:val="0095225A"/>
    <w:rsid w:val="009567DB"/>
    <w:rsid w:val="00963391"/>
    <w:rsid w:val="00983695"/>
    <w:rsid w:val="009A0501"/>
    <w:rsid w:val="009E3110"/>
    <w:rsid w:val="00A00FD7"/>
    <w:rsid w:val="00A0292A"/>
    <w:rsid w:val="00A04439"/>
    <w:rsid w:val="00A23CEC"/>
    <w:rsid w:val="00A362C0"/>
    <w:rsid w:val="00A43D77"/>
    <w:rsid w:val="00A81417"/>
    <w:rsid w:val="00A94484"/>
    <w:rsid w:val="00AB5DE2"/>
    <w:rsid w:val="00AB6548"/>
    <w:rsid w:val="00AC6A9B"/>
    <w:rsid w:val="00AF095B"/>
    <w:rsid w:val="00AF6BE4"/>
    <w:rsid w:val="00B23069"/>
    <w:rsid w:val="00B351FB"/>
    <w:rsid w:val="00B366FC"/>
    <w:rsid w:val="00B87AAB"/>
    <w:rsid w:val="00B9202D"/>
    <w:rsid w:val="00BA0726"/>
    <w:rsid w:val="00BB439E"/>
    <w:rsid w:val="00BB4551"/>
    <w:rsid w:val="00BD7B2C"/>
    <w:rsid w:val="00BE61B8"/>
    <w:rsid w:val="00C10885"/>
    <w:rsid w:val="00C12B0F"/>
    <w:rsid w:val="00C22475"/>
    <w:rsid w:val="00C25F7A"/>
    <w:rsid w:val="00C528C0"/>
    <w:rsid w:val="00C616A0"/>
    <w:rsid w:val="00C62CF9"/>
    <w:rsid w:val="00C6631A"/>
    <w:rsid w:val="00C837AD"/>
    <w:rsid w:val="00C84AA2"/>
    <w:rsid w:val="00CA6801"/>
    <w:rsid w:val="00CC02F6"/>
    <w:rsid w:val="00CC3DA6"/>
    <w:rsid w:val="00CD3341"/>
    <w:rsid w:val="00D4535A"/>
    <w:rsid w:val="00D522CE"/>
    <w:rsid w:val="00D5416E"/>
    <w:rsid w:val="00D7414E"/>
    <w:rsid w:val="00D84BF1"/>
    <w:rsid w:val="00D935F2"/>
    <w:rsid w:val="00DE0320"/>
    <w:rsid w:val="00DF77FA"/>
    <w:rsid w:val="00E07185"/>
    <w:rsid w:val="00E15C12"/>
    <w:rsid w:val="00E276B6"/>
    <w:rsid w:val="00E426A7"/>
    <w:rsid w:val="00E53317"/>
    <w:rsid w:val="00E63C94"/>
    <w:rsid w:val="00E66860"/>
    <w:rsid w:val="00E76C0B"/>
    <w:rsid w:val="00E80A76"/>
    <w:rsid w:val="00E84519"/>
    <w:rsid w:val="00E87003"/>
    <w:rsid w:val="00E91A54"/>
    <w:rsid w:val="00ED3661"/>
    <w:rsid w:val="00EE09F1"/>
    <w:rsid w:val="00EE623B"/>
    <w:rsid w:val="00F57E8B"/>
    <w:rsid w:val="00F74DBD"/>
    <w:rsid w:val="00F77D3B"/>
    <w:rsid w:val="00F86D30"/>
    <w:rsid w:val="00FB57A7"/>
    <w:rsid w:val="00FF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EE8D39"/>
  <w15:chartTrackingRefBased/>
  <w15:docId w15:val="{1A0D37D2-1516-402B-BB18-7CCE7F04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30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7D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1B8"/>
    <w:pPr>
      <w:tabs>
        <w:tab w:val="center" w:pos="4680"/>
        <w:tab w:val="right" w:pos="9360"/>
      </w:tabs>
    </w:pPr>
  </w:style>
  <w:style w:type="character" w:customStyle="1" w:styleId="HeaderChar">
    <w:name w:val="Header Char"/>
    <w:basedOn w:val="DefaultParagraphFont"/>
    <w:link w:val="Header"/>
    <w:uiPriority w:val="99"/>
    <w:rsid w:val="00BE61B8"/>
  </w:style>
  <w:style w:type="paragraph" w:styleId="Footer">
    <w:name w:val="footer"/>
    <w:basedOn w:val="Normal"/>
    <w:link w:val="FooterChar"/>
    <w:uiPriority w:val="99"/>
    <w:unhideWhenUsed/>
    <w:rsid w:val="00BE61B8"/>
    <w:pPr>
      <w:tabs>
        <w:tab w:val="center" w:pos="4680"/>
        <w:tab w:val="right" w:pos="9360"/>
      </w:tabs>
    </w:pPr>
  </w:style>
  <w:style w:type="character" w:customStyle="1" w:styleId="FooterChar">
    <w:name w:val="Footer Char"/>
    <w:basedOn w:val="DefaultParagraphFont"/>
    <w:link w:val="Footer"/>
    <w:uiPriority w:val="99"/>
    <w:rsid w:val="00BE61B8"/>
  </w:style>
  <w:style w:type="table" w:styleId="TableGrid">
    <w:name w:val="Table Grid"/>
    <w:basedOn w:val="TableNormal"/>
    <w:uiPriority w:val="39"/>
    <w:rsid w:val="000C6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6F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unhideWhenUsed/>
    <w:rsid w:val="00551723"/>
    <w:rPr>
      <w:szCs w:val="20"/>
    </w:rPr>
  </w:style>
  <w:style w:type="character" w:customStyle="1" w:styleId="FootnoteTextChar">
    <w:name w:val="Footnote Text Char"/>
    <w:basedOn w:val="DefaultParagraphFont"/>
    <w:link w:val="FootnoteText"/>
    <w:uiPriority w:val="99"/>
    <w:rsid w:val="00551723"/>
    <w:rPr>
      <w:szCs w:val="20"/>
    </w:rPr>
  </w:style>
  <w:style w:type="character" w:styleId="FootnoteReference">
    <w:name w:val="footnote reference"/>
    <w:basedOn w:val="DefaultParagraphFont"/>
    <w:uiPriority w:val="99"/>
    <w:semiHidden/>
    <w:unhideWhenUsed/>
    <w:rsid w:val="00551723"/>
    <w:rPr>
      <w:vertAlign w:val="superscript"/>
    </w:rPr>
  </w:style>
  <w:style w:type="paragraph" w:styleId="Caption">
    <w:name w:val="caption"/>
    <w:basedOn w:val="Normal"/>
    <w:next w:val="Normal"/>
    <w:uiPriority w:val="35"/>
    <w:unhideWhenUsed/>
    <w:qFormat/>
    <w:rsid w:val="00551723"/>
    <w:pPr>
      <w:spacing w:after="200"/>
    </w:pPr>
    <w:rPr>
      <w:i/>
      <w:iCs/>
      <w:color w:val="44546A" w:themeColor="text2"/>
      <w:sz w:val="18"/>
      <w:szCs w:val="18"/>
    </w:rPr>
  </w:style>
  <w:style w:type="paragraph" w:styleId="ListParagraph">
    <w:name w:val="List Paragraph"/>
    <w:basedOn w:val="Normal"/>
    <w:uiPriority w:val="34"/>
    <w:qFormat/>
    <w:rsid w:val="005448F7"/>
    <w:pPr>
      <w:ind w:left="720"/>
      <w:contextualSpacing/>
    </w:pPr>
  </w:style>
  <w:style w:type="paragraph" w:styleId="BalloonText">
    <w:name w:val="Balloon Text"/>
    <w:basedOn w:val="Normal"/>
    <w:link w:val="BalloonTextChar"/>
    <w:uiPriority w:val="99"/>
    <w:semiHidden/>
    <w:unhideWhenUsed/>
    <w:rsid w:val="007453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366"/>
    <w:rPr>
      <w:rFonts w:ascii="Segoe UI" w:hAnsi="Segoe UI" w:cs="Segoe UI"/>
      <w:sz w:val="18"/>
      <w:szCs w:val="18"/>
    </w:rPr>
  </w:style>
  <w:style w:type="character" w:styleId="CommentReference">
    <w:name w:val="annotation reference"/>
    <w:basedOn w:val="DefaultParagraphFont"/>
    <w:uiPriority w:val="99"/>
    <w:semiHidden/>
    <w:unhideWhenUsed/>
    <w:rsid w:val="00745366"/>
    <w:rPr>
      <w:sz w:val="16"/>
      <w:szCs w:val="16"/>
    </w:rPr>
  </w:style>
  <w:style w:type="paragraph" w:styleId="CommentText">
    <w:name w:val="annotation text"/>
    <w:basedOn w:val="Normal"/>
    <w:link w:val="CommentTextChar"/>
    <w:uiPriority w:val="99"/>
    <w:semiHidden/>
    <w:unhideWhenUsed/>
    <w:rsid w:val="00745366"/>
    <w:rPr>
      <w:szCs w:val="20"/>
    </w:rPr>
  </w:style>
  <w:style w:type="character" w:customStyle="1" w:styleId="CommentTextChar">
    <w:name w:val="Comment Text Char"/>
    <w:basedOn w:val="DefaultParagraphFont"/>
    <w:link w:val="CommentText"/>
    <w:uiPriority w:val="99"/>
    <w:semiHidden/>
    <w:rsid w:val="00745366"/>
    <w:rPr>
      <w:szCs w:val="20"/>
    </w:rPr>
  </w:style>
  <w:style w:type="paragraph" w:styleId="CommentSubject">
    <w:name w:val="annotation subject"/>
    <w:basedOn w:val="CommentText"/>
    <w:next w:val="CommentText"/>
    <w:link w:val="CommentSubjectChar"/>
    <w:uiPriority w:val="99"/>
    <w:semiHidden/>
    <w:unhideWhenUsed/>
    <w:rsid w:val="00745366"/>
    <w:rPr>
      <w:b/>
      <w:bCs/>
    </w:rPr>
  </w:style>
  <w:style w:type="character" w:customStyle="1" w:styleId="CommentSubjectChar">
    <w:name w:val="Comment Subject Char"/>
    <w:basedOn w:val="CommentTextChar"/>
    <w:link w:val="CommentSubject"/>
    <w:uiPriority w:val="99"/>
    <w:semiHidden/>
    <w:rsid w:val="00745366"/>
    <w:rPr>
      <w:b/>
      <w:bCs/>
      <w:szCs w:val="20"/>
    </w:rPr>
  </w:style>
  <w:style w:type="character" w:customStyle="1" w:styleId="Heading1Char">
    <w:name w:val="Heading 1 Char"/>
    <w:basedOn w:val="DefaultParagraphFont"/>
    <w:link w:val="Heading1"/>
    <w:uiPriority w:val="9"/>
    <w:rsid w:val="00AC6A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0178"/>
    <w:pPr>
      <w:spacing w:line="259" w:lineRule="auto"/>
      <w:outlineLvl w:val="9"/>
    </w:pPr>
  </w:style>
  <w:style w:type="paragraph" w:styleId="TOC1">
    <w:name w:val="toc 1"/>
    <w:basedOn w:val="Normal"/>
    <w:next w:val="Normal"/>
    <w:autoRedefine/>
    <w:uiPriority w:val="39"/>
    <w:unhideWhenUsed/>
    <w:rsid w:val="007F0178"/>
    <w:pPr>
      <w:spacing w:after="100"/>
    </w:pPr>
  </w:style>
  <w:style w:type="character" w:styleId="Hyperlink">
    <w:name w:val="Hyperlink"/>
    <w:basedOn w:val="DefaultParagraphFont"/>
    <w:uiPriority w:val="99"/>
    <w:unhideWhenUsed/>
    <w:rsid w:val="007F0178"/>
    <w:rPr>
      <w:color w:val="0563C1" w:themeColor="hyperlink"/>
      <w:u w:val="single"/>
    </w:rPr>
  </w:style>
  <w:style w:type="character" w:customStyle="1" w:styleId="Heading2Char">
    <w:name w:val="Heading 2 Char"/>
    <w:basedOn w:val="DefaultParagraphFont"/>
    <w:link w:val="Heading2"/>
    <w:uiPriority w:val="9"/>
    <w:rsid w:val="00B230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7DB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6104A"/>
    <w:pPr>
      <w:spacing w:after="100"/>
      <w:ind w:left="200"/>
    </w:pPr>
  </w:style>
  <w:style w:type="paragraph" w:styleId="TOC3">
    <w:name w:val="toc 3"/>
    <w:basedOn w:val="Normal"/>
    <w:next w:val="Normal"/>
    <w:autoRedefine/>
    <w:uiPriority w:val="39"/>
    <w:unhideWhenUsed/>
    <w:rsid w:val="0006104A"/>
    <w:pPr>
      <w:spacing w:after="100"/>
      <w:ind w:left="400"/>
    </w:pPr>
  </w:style>
  <w:style w:type="character" w:customStyle="1" w:styleId="apple-converted-space">
    <w:name w:val="apple-converted-space"/>
    <w:basedOn w:val="DefaultParagraphFont"/>
    <w:rsid w:val="00B9202D"/>
  </w:style>
  <w:style w:type="character" w:styleId="FollowedHyperlink">
    <w:name w:val="FollowedHyperlink"/>
    <w:basedOn w:val="DefaultParagraphFont"/>
    <w:uiPriority w:val="99"/>
    <w:semiHidden/>
    <w:unhideWhenUsed/>
    <w:rsid w:val="00DF77FA"/>
    <w:rPr>
      <w:color w:val="954F72" w:themeColor="followedHyperlink"/>
      <w:u w:val="single"/>
    </w:rPr>
  </w:style>
  <w:style w:type="paragraph" w:styleId="NormalWeb">
    <w:name w:val="Normal (Web)"/>
    <w:basedOn w:val="Normal"/>
    <w:uiPriority w:val="99"/>
    <w:unhideWhenUsed/>
    <w:rsid w:val="0082402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9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cam.ac.uk/dataman/resources/File_Format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creativecommons.org/licenses/by/4.0/" TargetMode="External"/><Relationship Id="rId2" Type="http://schemas.openxmlformats.org/officeDocument/2006/relationships/hyperlink" Target="http://www.aptivate.org/webguidelines/TopTen.html" TargetMode="External"/><Relationship Id="rId1" Type="http://schemas.openxmlformats.org/officeDocument/2006/relationships/hyperlink" Target="https://www.coar-repositories.org/activities/repository-interoperability/" TargetMode="External"/><Relationship Id="rId5" Type="http://schemas.openxmlformats.org/officeDocument/2006/relationships/hyperlink" Target="http://www.nature.com/news/funders-punish-open-access-dodgers-1.15007" TargetMode="External"/><Relationship Id="rId4" Type="http://schemas.openxmlformats.org/officeDocument/2006/relationships/hyperlink" Target="http://www.gnu.org/licens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3F40-85BD-411E-8EDD-CDF24BE5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7335</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CGIAR Open Access Open Data Implementation Plan Template</vt:lpstr>
    </vt:vector>
  </TitlesOfParts>
  <Company/>
  <LinksUpToDate>false</LinksUpToDate>
  <CharactersWithSpaces>49047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CGIAR Open Access Open Data Implementation Plan Template</dc:title>
  <dc:subject/>
  <dc:creator>Abby Clobridge</dc:creator>
  <cp:keywords/>
  <dc:description/>
  <cp:lastModifiedBy>Cathy Garlick</cp:lastModifiedBy>
  <cp:revision>3</cp:revision>
  <cp:lastPrinted>2015-01-23T13:30:00Z</cp:lastPrinted>
  <dcterms:created xsi:type="dcterms:W3CDTF">2018-01-09T14:47:00Z</dcterms:created>
  <dcterms:modified xsi:type="dcterms:W3CDTF">2018-02-27T17:03:00Z</dcterms:modified>
</cp:coreProperties>
</file>