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49CB" w14:textId="77777777"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14:paraId="3809A353" w14:textId="77777777"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14:paraId="64CB71E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14:paraId="6BDE9BF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14:paraId="5611364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14:paraId="6D5C37CD" w14:textId="77777777"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14:paraId="05D5B6E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14:paraId="72D6601B" w14:textId="77777777"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14:paraId="2531E1BF"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14:paraId="05AE32A2"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14:paraId="06D926F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14:paraId="53B817A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14:paraId="5870910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14:paraId="7177885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14:paraId="11B63532" w14:textId="77777777"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14:paraId="16236CA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14:paraId="680BD998"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14:paraId="29A78C6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14:paraId="1BC1889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14:paraId="6AA1951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14:paraId="53E09E5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14:paraId="6B266DE7" w14:textId="77777777"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14:paraId="3C53270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14:paraId="5D0C6DB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14:paraId="40DAC8B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14:paraId="24532B9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14:paraId="25BCE7A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14:paraId="5B108FD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14:paraId="256A3911" w14:textId="77777777"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14:paraId="771C097B"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14:paraId="09A4986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14:paraId="0A76EC9A"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14:paraId="0F5F933C"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14:paraId="60A01C9E" w14:textId="77777777"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14:paraId="7976BF9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14:paraId="5BA1477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14:paraId="554090CD" w14:textId="77777777"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Heading2"/>
      </w:pPr>
      <w:bookmarkStart w:id="1" w:name="_Toc437416708"/>
      <w:r w:rsidRPr="00AF5247">
        <w:t>About the</w:t>
      </w:r>
      <w:r>
        <w:t xml:space="preserve"> Reference Implementation</w:t>
      </w:r>
      <w:bookmarkEnd w:id="1"/>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Heading2"/>
      </w:pPr>
      <w:bookmarkStart w:id="2" w:name="_Toc437416709"/>
      <w:bookmarkStart w:id="3" w:name="_Toc408576309"/>
      <w:r>
        <w:t>References</w:t>
      </w:r>
      <w:bookmarkEnd w:id="2"/>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Heading2"/>
      </w:pPr>
      <w:bookmarkStart w:id="7" w:name="_Toc437416710"/>
      <w:r>
        <w:t>Obtaining the source code</w:t>
      </w:r>
      <w:bookmarkEnd w:id="7"/>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Heading1"/>
        <w:framePr w:wrap="notBeside"/>
      </w:pPr>
      <w:bookmarkStart w:id="8" w:name="_Toc437416711"/>
      <w:r>
        <w:lastRenderedPageBreak/>
        <w:t>Using USEF</w:t>
      </w:r>
      <w:bookmarkEnd w:id="8"/>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Heading2"/>
      </w:pPr>
      <w:bookmarkStart w:id="9" w:name="_Ref417994109"/>
      <w:bookmarkStart w:id="10" w:name="_Toc437416712"/>
      <w:r>
        <w:t>Environment variables</w:t>
      </w:r>
      <w:bookmarkEnd w:id="9"/>
      <w:bookmarkEnd w:id="10"/>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7BD2809A" w14:textId="75DACB95" w:rsidR="00E119E0" w:rsidRDefault="00E119E0" w:rsidP="000A2C9B">
      <w:pPr>
        <w:numPr>
          <w:ilvl w:val="2"/>
          <w:numId w:val="8"/>
        </w:numPr>
        <w:rPr>
          <w:lang w:val="en-GB"/>
        </w:rPr>
      </w:pPr>
      <w:r>
        <w:rPr>
          <w:lang w:val="en-GB"/>
        </w:rPr>
        <w:t xml:space="preserve">USEF_HOME – </w:t>
      </w:r>
      <w:r w:rsidR="00063739" w:rsidRPr="000A2C9B">
        <w:rPr>
          <w:lang w:val="en-GB"/>
        </w:rPr>
        <w:t xml:space="preserve">needs to be set to the location of the folder </w:t>
      </w:r>
      <w:r>
        <w:rPr>
          <w:lang w:val="en-GB"/>
        </w:rPr>
        <w:t xml:space="preserve">where the repository was cloned. </w:t>
      </w:r>
    </w:p>
    <w:p w14:paraId="604DB7DB" w14:textId="77777777" w:rsidR="000A2C9B" w:rsidRPr="000A2C9B" w:rsidRDefault="000A2C9B" w:rsidP="000A2C9B">
      <w:pPr>
        <w:rPr>
          <w:lang w:val="en-GB"/>
        </w:rPr>
      </w:pPr>
    </w:p>
    <w:p w14:paraId="20934293" w14:textId="77777777" w:rsidR="009D6B89" w:rsidRDefault="009D6B89" w:rsidP="00272EE8">
      <w:pPr>
        <w:pStyle w:val="Heading1"/>
        <w:framePr w:wrap="notBeside"/>
      </w:pPr>
      <w:bookmarkStart w:id="11" w:name="_Toc437416713"/>
      <w:r>
        <w:lastRenderedPageBreak/>
        <w:t>Prerequisites</w:t>
      </w:r>
      <w:bookmarkEnd w:id="11"/>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Heading2"/>
      </w:pPr>
      <w:bookmarkStart w:id="12" w:name="_Toc437416714"/>
      <w:r w:rsidRPr="00FE3AC5">
        <w:t>Oracle Java SE Development Kit 8 or OpenJDK JDK 8:</w:t>
      </w:r>
      <w:bookmarkEnd w:id="12"/>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Heading2"/>
      </w:pPr>
      <w:bookmarkStart w:id="13" w:name="_Toc437416715"/>
      <w:r>
        <w:t>Apache Maven</w:t>
      </w:r>
      <w:bookmarkEnd w:id="13"/>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Heading2"/>
      </w:pPr>
      <w:bookmarkStart w:id="14" w:name="_Toc437416716"/>
      <w:r>
        <w:t>H2</w:t>
      </w:r>
      <w:bookmarkEnd w:id="14"/>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Heading2"/>
      </w:pPr>
      <w:bookmarkStart w:id="15" w:name="_Toc437416717"/>
      <w:r>
        <w:t>Libsodium</w:t>
      </w:r>
      <w:bookmarkEnd w:id="15"/>
    </w:p>
    <w:p w14:paraId="09E3A2FC" w14:textId="77777777" w:rsidR="00F75D07" w:rsidRDefault="00F75D07" w:rsidP="00F75D07"/>
    <w:p w14:paraId="7CF0415C" w14:textId="77777777" w:rsidR="009D6B89" w:rsidRDefault="007D4584" w:rsidP="00F75D07">
      <w:r>
        <w:t xml:space="preserve">To be able to securely transmit and authenticate messages, </w:t>
      </w:r>
      <w:r w:rsidR="009D6B89">
        <w:t>Libsodium 1.0.</w:t>
      </w:r>
      <w:r w:rsidR="00390031">
        <w:t>8</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77777777" w:rsidR="009D6B89" w:rsidRPr="00F75D07" w:rsidRDefault="009D6B89" w:rsidP="00F75D07">
      <w:pPr>
        <w:numPr>
          <w:ilvl w:val="2"/>
          <w:numId w:val="8"/>
        </w:numPr>
        <w:rPr>
          <w:lang w:val="en-GB"/>
        </w:rPr>
      </w:pPr>
      <w:r w:rsidRPr="00F75D07">
        <w:rPr>
          <w:lang w:val="en-GB"/>
        </w:rPr>
        <w:t xml:space="preserve">Download </w:t>
      </w:r>
      <w:hyperlink r:id="rId13" w:history="1">
        <w:r w:rsidR="00390031" w:rsidRPr="009867D0">
          <w:rPr>
            <w:rStyle w:val="Hyperlink"/>
            <w:lang w:val="en-GB"/>
          </w:rPr>
          <w:t>https://download.libsodium.org/libsodium/releases/libsodium-1.0.8-mingw.tar.gz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77777777"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7A7EFE" w:rsidRPr="00143631">
          <w:rPr>
            <w:rStyle w:val="Hyperlink"/>
            <w:lang w:val="en-GB"/>
          </w:rPr>
          <w:t>https://download.libsodium.org/libsodium/releases/libsodium-1.0.8.tar.gz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77777777"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7A7EFE">
        <w:rPr>
          <w:rFonts w:ascii="Consolas" w:hAnsi="Consolas" w:cs="Consolas"/>
        </w:rPr>
        <w:t xml:space="preserve">    tar xfz libsodium-1.0.8.tar.gz</w:t>
      </w:r>
      <w:r w:rsidR="007A7EFE">
        <w:rPr>
          <w:rFonts w:ascii="Consolas" w:hAnsi="Consolas" w:cs="Consolas"/>
        </w:rPr>
        <w:br/>
        <w:t xml:space="preserve">    cd libsodium-1.0.8</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255505D" w:rsidR="009D6B89" w:rsidRPr="00F75D07" w:rsidRDefault="009D6B89" w:rsidP="00F75D07">
      <w:pPr>
        <w:numPr>
          <w:ilvl w:val="2"/>
          <w:numId w:val="8"/>
        </w:numPr>
        <w:rPr>
          <w:lang w:val="en-GB"/>
        </w:rPr>
      </w:pPr>
      <w:r w:rsidRPr="00F75D07">
        <w:rPr>
          <w:lang w:val="en-GB"/>
        </w:rPr>
        <w:t>Add /</w:t>
      </w:r>
      <w:r w:rsidR="00581025">
        <w:rPr>
          <w:lang w:val="en-GB"/>
        </w:rPr>
        <w:t>usr</w:t>
      </w:r>
      <w:bookmarkStart w:id="16" w:name="_GoBack"/>
      <w:bookmarkEnd w:id="16"/>
      <w:r w:rsidRPr="00F75D07">
        <w:rPr>
          <w:lang w:val="en-GB"/>
        </w:rPr>
        <w:t>/local/lib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Heading2"/>
      </w:pPr>
      <w:bookmarkStart w:id="17" w:name="_Toc437416718"/>
      <w:r w:rsidRPr="001C79F8">
        <w:t>Root certificate (optional</w:t>
      </w:r>
      <w:r>
        <w:t>, for demo purposes</w:t>
      </w:r>
      <w:r w:rsidRPr="001C79F8">
        <w:t>).</w:t>
      </w:r>
      <w:bookmarkEnd w:id="17"/>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stParagraph"/>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stParagraph"/>
        <w:numPr>
          <w:ilvl w:val="0"/>
          <w:numId w:val="0"/>
        </w:numPr>
      </w:pPr>
      <w:r>
        <w:t>Do the following with administrator rights:</w:t>
      </w:r>
    </w:p>
    <w:p w14:paraId="6C5123DD" w14:textId="77777777"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Heading2"/>
      </w:pPr>
      <w:bookmarkStart w:id="18" w:name="_Toc437416719"/>
      <w:bookmarkStart w:id="19" w:name="_Ref417993862"/>
      <w:r>
        <w:t>ISC BIND</w:t>
      </w:r>
      <w:bookmarkEnd w:id="18"/>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9"/>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Heading1"/>
        <w:framePr w:wrap="notBeside"/>
      </w:pPr>
      <w:bookmarkStart w:id="20" w:name="_Toc437416720"/>
      <w:r>
        <w:lastRenderedPageBreak/>
        <w:t>Start</w:t>
      </w:r>
      <w:r w:rsidR="00B738EF">
        <w:t>ing</w:t>
      </w:r>
      <w:r>
        <w:t xml:space="preserve"> and stop</w:t>
      </w:r>
      <w:r w:rsidR="00B738EF">
        <w:t>ping</w:t>
      </w:r>
      <w:r>
        <w:t xml:space="preserve"> the USEF environment</w:t>
      </w:r>
      <w:bookmarkEnd w:id="20"/>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Heading2"/>
      </w:pPr>
      <w:bookmarkStart w:id="21" w:name="_Toc437416721"/>
      <w:r>
        <w:t>Starting the USEF environment</w:t>
      </w:r>
      <w:bookmarkEnd w:id="21"/>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Heading2"/>
      </w:pPr>
      <w:bookmarkStart w:id="22" w:name="_Toc437416722"/>
      <w:r>
        <w:t>Stopping the USEF environment</w:t>
      </w:r>
      <w:bookmarkEnd w:id="22"/>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Heading2"/>
      </w:pPr>
      <w:bookmarkStart w:id="23" w:name="_Toc437416723"/>
      <w:r>
        <w:t>Accessing the USEF database</w:t>
      </w:r>
      <w:bookmarkEnd w:id="23"/>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Heading2"/>
      </w:pPr>
      <w:bookmarkStart w:id="24" w:name="_Toc437416724"/>
      <w:r>
        <w:lastRenderedPageBreak/>
        <w:t>Sending messages</w:t>
      </w:r>
      <w:bookmarkEnd w:id="24"/>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Heading2"/>
      </w:pPr>
      <w:bookmarkStart w:id="25" w:name="_Toc437416725"/>
      <w:r>
        <w:t>JBoss Management Console</w:t>
      </w:r>
      <w:bookmarkEnd w:id="25"/>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Heading2"/>
      </w:pPr>
      <w:bookmarkStart w:id="26" w:name="_Toc437416726"/>
      <w:r>
        <w:t>Nodes folder</w:t>
      </w:r>
      <w:bookmarkEnd w:id="26"/>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7" w:name="_Ref414001404"/>
    </w:p>
    <w:p w14:paraId="515DAEC9" w14:textId="77777777" w:rsidR="009D6B89" w:rsidRDefault="009D6B89" w:rsidP="00272EE8">
      <w:pPr>
        <w:pStyle w:val="Heading1"/>
        <w:framePr w:wrap="notBeside"/>
      </w:pPr>
      <w:bookmarkStart w:id="28" w:name="_Toc437416727"/>
      <w:r>
        <w:lastRenderedPageBreak/>
        <w:t>Configuration</w:t>
      </w:r>
      <w:bookmarkEnd w:id="28"/>
    </w:p>
    <w:p w14:paraId="12073396" w14:textId="77777777" w:rsidR="0016169D" w:rsidRPr="0016169D" w:rsidRDefault="0016169D" w:rsidP="0016169D"/>
    <w:p w14:paraId="3952AE73" w14:textId="77777777" w:rsidR="009D6B89" w:rsidRDefault="009D6B89" w:rsidP="00272EE8">
      <w:pPr>
        <w:pStyle w:val="Heading2"/>
      </w:pPr>
      <w:bookmarkStart w:id="29" w:name="_Toc437416728"/>
      <w:r>
        <w:t>Adjusting the usef-environment.yaml configuration</w:t>
      </w:r>
      <w:bookmarkEnd w:id="27"/>
      <w:bookmarkEnd w:id="29"/>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Heading2"/>
      </w:pPr>
      <w:bookmarkStart w:id="30" w:name="_Toc416694656"/>
      <w:bookmarkStart w:id="31" w:name="_Toc437416729"/>
      <w:r w:rsidRPr="00F0046E">
        <w:t>Logging</w:t>
      </w:r>
      <w:bookmarkEnd w:id="30"/>
      <w:bookmarkEnd w:id="31"/>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Heading2"/>
        <w:rPr>
          <w:lang w:val="en-GB"/>
        </w:rPr>
      </w:pPr>
      <w:bookmarkStart w:id="32" w:name="_Toc416694658"/>
      <w:bookmarkStart w:id="33"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2"/>
      <w:bookmarkEnd w:id="33"/>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Heading2"/>
      </w:pPr>
      <w:bookmarkStart w:id="34" w:name="_Toc437416731"/>
      <w:r>
        <w:t>Reserved TCP ports</w:t>
      </w:r>
      <w:bookmarkEnd w:id="34"/>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9D57D7">
      <w:pPr>
        <w:pStyle w:val="ListParagraph"/>
        <w:numPr>
          <w:ilvl w:val="0"/>
          <w:numId w:val="35"/>
        </w:numPr>
        <w:spacing w:after="160" w:line="259" w:lineRule="auto"/>
      </w:pPr>
      <w:r w:rsidRPr="00342C0A">
        <w:t>9092</w:t>
      </w:r>
      <w:r>
        <w:t>: the H2 database</w:t>
      </w:r>
    </w:p>
    <w:p w14:paraId="587A1334" w14:textId="77777777" w:rsidR="009D57D7" w:rsidRDefault="009D57D7" w:rsidP="009D57D7">
      <w:pPr>
        <w:pStyle w:val="ListParagraph"/>
        <w:numPr>
          <w:ilvl w:val="0"/>
          <w:numId w:val="35"/>
        </w:numPr>
        <w:spacing w:after="160" w:line="259" w:lineRule="auto"/>
      </w:pPr>
      <w:r w:rsidRPr="00C14668">
        <w:t>9990</w:t>
      </w:r>
      <w:r>
        <w:t>: the JBoss management console HTTP port</w:t>
      </w:r>
    </w:p>
    <w:p w14:paraId="5E3FA8A7" w14:textId="77777777"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5" w:name="_Ref414516505"/>
    </w:p>
    <w:p w14:paraId="6D92FB7E" w14:textId="77777777" w:rsidR="009D57D7" w:rsidRDefault="009D57D7" w:rsidP="00272EE8">
      <w:pPr>
        <w:pStyle w:val="Heading2"/>
      </w:pPr>
      <w:bookmarkStart w:id="36" w:name="_Toc437416732"/>
      <w:r>
        <w:lastRenderedPageBreak/>
        <w:t>Configure resolver entries</w:t>
      </w:r>
      <w:bookmarkEnd w:id="35"/>
      <w:bookmarkEnd w:id="36"/>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Heading2"/>
      </w:pPr>
      <w:bookmarkStart w:id="37" w:name="_Toc437416733"/>
      <w:r>
        <w:t>Configuring a proxy server (optional)</w:t>
      </w:r>
      <w:bookmarkEnd w:id="37"/>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Heading1"/>
        <w:framePr w:wrap="notBeside"/>
      </w:pPr>
      <w:bookmarkStart w:id="38" w:name="_Toc437416734"/>
      <w:r>
        <w:lastRenderedPageBreak/>
        <w:t>Resolving participant information</w:t>
      </w:r>
      <w:bookmarkEnd w:id="38"/>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Heading2"/>
      </w:pPr>
      <w:bookmarkStart w:id="39" w:name="_Toc437416735"/>
      <w:r>
        <w:t>Secure information provision using DNSSEC</w:t>
      </w:r>
      <w:bookmarkEnd w:id="39"/>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Heading2"/>
      </w:pPr>
      <w:bookmarkStart w:id="40"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40"/>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Heading2"/>
      </w:pPr>
      <w:bookmarkStart w:id="41" w:name="_Toc437416737"/>
      <w:r>
        <w:t>Configuring DNS in wildfly</w:t>
      </w:r>
      <w:bookmarkEnd w:id="41"/>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Heading2"/>
      </w:pPr>
      <w:bookmarkStart w:id="42" w:name="_Toc437416738"/>
      <w:r>
        <w:t>Resolving without DNS server</w:t>
      </w:r>
      <w:bookmarkEnd w:id="42"/>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3"/>
    <w:p w14:paraId="6820201F" w14:textId="77777777" w:rsidR="009D6B89" w:rsidRDefault="009D6B89" w:rsidP="009D6B89"/>
    <w:p w14:paraId="337D302F" w14:textId="77777777" w:rsidR="003A0F30" w:rsidRDefault="003A0F30" w:rsidP="003A0F30">
      <w:pPr>
        <w:pStyle w:val="Heading1"/>
        <w:framePr w:wrap="notBeside"/>
        <w:rPr>
          <w:lang w:val="en-GB"/>
        </w:rPr>
      </w:pPr>
      <w:bookmarkStart w:id="43" w:name="_Toc436316511"/>
      <w:bookmarkStart w:id="44" w:name="_Toc437416739"/>
      <w:r>
        <w:rPr>
          <w:lang w:val="en-GB"/>
        </w:rPr>
        <w:lastRenderedPageBreak/>
        <w:t>Appendix –</w:t>
      </w:r>
      <w:bookmarkEnd w:id="43"/>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4"/>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Heading2"/>
        <w:rPr>
          <w:lang w:val="en-GB"/>
        </w:rPr>
      </w:pPr>
      <w:bookmarkStart w:id="45" w:name="_Toc437416740"/>
      <w:r>
        <w:rPr>
          <w:lang w:val="en-GB"/>
        </w:rPr>
        <w:t>Extraday</w:t>
      </w:r>
      <w:r w:rsidR="003A0F30">
        <w:rPr>
          <w:lang w:val="en-GB"/>
        </w:rPr>
        <w:t xml:space="preserve"> triggers</w:t>
      </w:r>
      <w:bookmarkEnd w:id="45"/>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Heading2"/>
        <w:rPr>
          <w:lang w:val="en-GB"/>
        </w:rPr>
      </w:pPr>
      <w:bookmarkStart w:id="46" w:name="_Toc437416741"/>
      <w:r>
        <w:rPr>
          <w:lang w:val="en-GB"/>
        </w:rPr>
        <w:t>Intraday triggers</w:t>
      </w:r>
      <w:bookmarkEnd w:id="46"/>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4AD84F4" w14:textId="25EB3FEA" w:rsidR="00136628" w:rsidRDefault="00136628" w:rsidP="003A0F30">
      <w:pPr>
        <w:rPr>
          <w:lang w:val="en-GB"/>
        </w:rPr>
      </w:pPr>
    </w:p>
    <w:sectPr w:rsidR="00136628"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95A87" w14:textId="77777777" w:rsidR="00F61873" w:rsidRDefault="00F61873" w:rsidP="007B57C0">
      <w:pPr>
        <w:spacing w:line="240" w:lineRule="auto"/>
      </w:pPr>
      <w:r>
        <w:separator/>
      </w:r>
    </w:p>
  </w:endnote>
  <w:endnote w:type="continuationSeparator" w:id="0">
    <w:p w14:paraId="66445D75" w14:textId="77777777" w:rsidR="00F61873" w:rsidRDefault="00F61873"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E753" w14:textId="77777777" w:rsidR="00FC7473" w:rsidRDefault="00F61873"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3E1D90C7" w14:textId="15DF79F8" w:rsidR="00FC7473" w:rsidRPr="00142ABC" w:rsidRDefault="00FC747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581025">
                  <w:rPr>
                    <w:rStyle w:val="PageNumber"/>
                    <w:noProof/>
                    <w:position w:val="4"/>
                  </w:rPr>
                  <w:t>5</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669A" w14:textId="77777777" w:rsidR="00FC7473" w:rsidRPr="00DC5908" w:rsidRDefault="00FC7473"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2F411" w14:textId="77777777" w:rsidR="00F61873" w:rsidRDefault="00F61873" w:rsidP="007B57C0">
      <w:pPr>
        <w:spacing w:line="240" w:lineRule="auto"/>
      </w:pPr>
      <w:r>
        <w:separator/>
      </w:r>
    </w:p>
  </w:footnote>
  <w:footnote w:type="continuationSeparator" w:id="0">
    <w:p w14:paraId="39916C5E" w14:textId="77777777" w:rsidR="00F61873" w:rsidRDefault="00F61873" w:rsidP="007B57C0">
      <w:pPr>
        <w:spacing w:line="240" w:lineRule="auto"/>
      </w:pPr>
      <w:r>
        <w:continuationSeparator/>
      </w:r>
    </w:p>
  </w:footnote>
  <w:footnote w:id="1">
    <w:p w14:paraId="4A10CEFB" w14:textId="77777777" w:rsidR="00FC7473" w:rsidRPr="00EF03A0" w:rsidRDefault="00FC7473">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A751" w14:textId="7B9B7187" w:rsidR="00FC7473" w:rsidRPr="001F399A" w:rsidRDefault="00FC7473"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sidR="002B5D9B">
      <w:rPr>
        <w:rStyle w:val="SectionChar"/>
      </w:rPr>
      <w:t>v 1.3.3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839E" w14:textId="77777777" w:rsidR="00FC7473" w:rsidRDefault="00FC7473" w:rsidP="00AE60B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 o:bullet="t">
        <v:imagedata r:id="rId1" o:title="Blokje_USEF-rood"/>
      </v:shape>
    </w:pict>
  </w:numPicBullet>
  <w:numPicBullet w:numPicBulletId="1">
    <w:pict>
      <v:shape id="_x0000_i1030" type="#_x0000_t75" style="width:12pt;height:12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3739"/>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102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6185"/>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19E0"/>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1873"/>
    <w:rsid w:val="00F62C66"/>
    <w:rsid w:val="00F63921"/>
    <w:rsid w:val="00F65916"/>
    <w:rsid w:val="00F712E6"/>
    <w:rsid w:val="00F72AF4"/>
    <w:rsid w:val="00F75D07"/>
    <w:rsid w:val="00F76B67"/>
    <w:rsid w:val="00F83132"/>
    <w:rsid w:val="00F83448"/>
    <w:rsid w:val="00F83ED1"/>
    <w:rsid w:val="00F852A1"/>
    <w:rsid w:val="00F85626"/>
    <w:rsid w:val="00F856F1"/>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8-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8.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FEE5-8278-45AA-999B-5F23E4BA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741</TotalTime>
  <Pages>18</Pages>
  <Words>5029</Words>
  <Characters>28669</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33631</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Volkerts, Marcel</cp:lastModifiedBy>
  <cp:revision>131</cp:revision>
  <cp:lastPrinted>2015-03-03T07:49:00Z</cp:lastPrinted>
  <dcterms:created xsi:type="dcterms:W3CDTF">2015-05-26T11:51:00Z</dcterms:created>
  <dcterms:modified xsi:type="dcterms:W3CDTF">2016-07-19T10:24:00Z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