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EXPERIMENTAL RESULTS</w:t>
        <w:br/>
      </w:r>
      <w:r>
        <w:rPr>
          <w:b/>
          <w:sz w:val="26"/>
        </w:rPr>
        <w:t>Intelligent Customer Churn Prediction Using Data Analytics and Classification Models</w:t>
      </w:r>
    </w:p>
    <w:p>
      <w:pPr>
        <w:pStyle w:val="Heading1"/>
      </w:pPr>
      <w:r>
        <w:rPr>
          <w:rFonts w:ascii="Times New Roman" w:hAnsi="Times New Roman"/>
        </w:rPr>
        <w:t>1. Dataset Summary</w:t>
      </w:r>
    </w:p>
    <w:p>
      <w:pPr>
        <w:spacing w:after="100"/>
      </w:pPr>
      <w:r>
        <w:t>The final experiment was conducted using the project dataset customer_churn_sample_5000.csv.</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Times New Roman" w:hAnsi="Times New Roman"/>
                <w:sz w:val="17"/>
              </w:rPr>
              <w:t>Property</w:t>
            </w:r>
          </w:p>
        </w:tc>
        <w:tc>
          <w:tcPr>
            <w:tcW w:type="dxa" w:w="5112"/>
            <w:vAlign w:val="center"/>
          </w:tcPr>
          <w:p>
            <w:r>
              <w:rPr>
                <w:rFonts w:ascii="Times New Roman" w:hAnsi="Times New Roman"/>
                <w:sz w:val="17"/>
              </w:rPr>
              <w:t>Observed value</w:t>
            </w:r>
          </w:p>
        </w:tc>
      </w:tr>
      <w:tr>
        <w:tc>
          <w:tcPr>
            <w:tcW w:type="dxa" w:w="5112"/>
            <w:vAlign w:val="center"/>
          </w:tcPr>
          <w:p>
            <w:r>
              <w:rPr>
                <w:rFonts w:ascii="Times New Roman" w:hAnsi="Times New Roman"/>
                <w:sz w:val="17"/>
              </w:rPr>
              <w:t>Total records</w:t>
            </w:r>
          </w:p>
        </w:tc>
        <w:tc>
          <w:tcPr>
            <w:tcW w:type="dxa" w:w="5112"/>
            <w:vAlign w:val="center"/>
          </w:tcPr>
          <w:p>
            <w:r>
              <w:rPr>
                <w:rFonts w:ascii="Times New Roman" w:hAnsi="Times New Roman"/>
                <w:sz w:val="17"/>
              </w:rPr>
              <w:t>5,000</w:t>
            </w:r>
          </w:p>
        </w:tc>
      </w:tr>
      <w:tr>
        <w:tc>
          <w:tcPr>
            <w:tcW w:type="dxa" w:w="5112"/>
            <w:vAlign w:val="center"/>
          </w:tcPr>
          <w:p>
            <w:r>
              <w:rPr>
                <w:rFonts w:ascii="Times New Roman" w:hAnsi="Times New Roman"/>
                <w:sz w:val="17"/>
              </w:rPr>
              <w:t>Total columns</w:t>
            </w:r>
          </w:p>
        </w:tc>
        <w:tc>
          <w:tcPr>
            <w:tcW w:type="dxa" w:w="5112"/>
            <w:vAlign w:val="center"/>
          </w:tcPr>
          <w:p>
            <w:r>
              <w:rPr>
                <w:rFonts w:ascii="Times New Roman" w:hAnsi="Times New Roman"/>
                <w:sz w:val="17"/>
              </w:rPr>
              <w:t>13</w:t>
            </w:r>
          </w:p>
        </w:tc>
      </w:tr>
      <w:tr>
        <w:tc>
          <w:tcPr>
            <w:tcW w:type="dxa" w:w="5112"/>
            <w:vAlign w:val="center"/>
          </w:tcPr>
          <w:p>
            <w:r>
              <w:rPr>
                <w:rFonts w:ascii="Times New Roman" w:hAnsi="Times New Roman"/>
                <w:sz w:val="17"/>
              </w:rPr>
              <w:t>Churned customers</w:t>
            </w:r>
          </w:p>
        </w:tc>
        <w:tc>
          <w:tcPr>
            <w:tcW w:type="dxa" w:w="5112"/>
            <w:vAlign w:val="center"/>
          </w:tcPr>
          <w:p>
            <w:r>
              <w:rPr>
                <w:rFonts w:ascii="Times New Roman" w:hAnsi="Times New Roman"/>
                <w:sz w:val="17"/>
              </w:rPr>
              <w:t>1,365 (27.3%)</w:t>
            </w:r>
          </w:p>
        </w:tc>
      </w:tr>
      <w:tr>
        <w:tc>
          <w:tcPr>
            <w:tcW w:type="dxa" w:w="5112"/>
            <w:vAlign w:val="center"/>
          </w:tcPr>
          <w:p>
            <w:r>
              <w:rPr>
                <w:rFonts w:ascii="Times New Roman" w:hAnsi="Times New Roman"/>
                <w:sz w:val="17"/>
              </w:rPr>
              <w:t>Retained customers</w:t>
            </w:r>
          </w:p>
        </w:tc>
        <w:tc>
          <w:tcPr>
            <w:tcW w:type="dxa" w:w="5112"/>
            <w:vAlign w:val="center"/>
          </w:tcPr>
          <w:p>
            <w:r>
              <w:rPr>
                <w:rFonts w:ascii="Times New Roman" w:hAnsi="Times New Roman"/>
                <w:sz w:val="17"/>
              </w:rPr>
              <w:t>3,635 (72.7%)</w:t>
            </w:r>
          </w:p>
        </w:tc>
      </w:tr>
      <w:tr>
        <w:tc>
          <w:tcPr>
            <w:tcW w:type="dxa" w:w="5112"/>
            <w:vAlign w:val="center"/>
          </w:tcPr>
          <w:p>
            <w:r>
              <w:rPr>
                <w:rFonts w:ascii="Times New Roman" w:hAnsi="Times New Roman"/>
                <w:sz w:val="17"/>
              </w:rPr>
              <w:t>Missing values before cleaning</w:t>
            </w:r>
          </w:p>
        </w:tc>
        <w:tc>
          <w:tcPr>
            <w:tcW w:type="dxa" w:w="5112"/>
            <w:vAlign w:val="center"/>
          </w:tcPr>
          <w:p>
            <w:r>
              <w:rPr>
                <w:rFonts w:ascii="Times New Roman" w:hAnsi="Times New Roman"/>
                <w:sz w:val="17"/>
              </w:rPr>
              <w:t>150</w:t>
            </w:r>
          </w:p>
        </w:tc>
      </w:tr>
      <w:tr>
        <w:tc>
          <w:tcPr>
            <w:tcW w:type="dxa" w:w="5112"/>
            <w:vAlign w:val="center"/>
          </w:tcPr>
          <w:p>
            <w:r>
              <w:rPr>
                <w:rFonts w:ascii="Times New Roman" w:hAnsi="Times New Roman"/>
                <w:sz w:val="17"/>
              </w:rPr>
              <w:t>Duplicate rows</w:t>
            </w:r>
          </w:p>
        </w:tc>
        <w:tc>
          <w:tcPr>
            <w:tcW w:type="dxa" w:w="5112"/>
            <w:vAlign w:val="center"/>
          </w:tcPr>
          <w:p>
            <w:r>
              <w:rPr>
                <w:rFonts w:ascii="Times New Roman" w:hAnsi="Times New Roman"/>
                <w:sz w:val="17"/>
              </w:rPr>
              <w:t>0</w:t>
            </w:r>
          </w:p>
        </w:tc>
      </w:tr>
      <w:tr>
        <w:tc>
          <w:tcPr>
            <w:tcW w:type="dxa" w:w="5112"/>
            <w:vAlign w:val="center"/>
          </w:tcPr>
          <w:p>
            <w:r>
              <w:rPr>
                <w:rFonts w:ascii="Times New Roman" w:hAnsi="Times New Roman"/>
                <w:sz w:val="17"/>
              </w:rPr>
              <w:t>Missing target labels</w:t>
            </w:r>
          </w:p>
        </w:tc>
        <w:tc>
          <w:tcPr>
            <w:tcW w:type="dxa" w:w="5112"/>
            <w:vAlign w:val="center"/>
          </w:tcPr>
          <w:p>
            <w:r>
              <w:rPr>
                <w:rFonts w:ascii="Times New Roman" w:hAnsi="Times New Roman"/>
                <w:sz w:val="17"/>
              </w:rPr>
              <w:t>0</w:t>
            </w:r>
          </w:p>
        </w:tc>
      </w:tr>
      <w:tr>
        <w:tc>
          <w:tcPr>
            <w:tcW w:type="dxa" w:w="5112"/>
            <w:vAlign w:val="center"/>
          </w:tcPr>
          <w:p>
            <w:r>
              <w:rPr>
                <w:rFonts w:ascii="Times New Roman" w:hAnsi="Times New Roman"/>
                <w:sz w:val="17"/>
              </w:rPr>
              <w:t>Input features used</w:t>
            </w:r>
          </w:p>
        </w:tc>
        <w:tc>
          <w:tcPr>
            <w:tcW w:type="dxa" w:w="5112"/>
            <w:vAlign w:val="center"/>
          </w:tcPr>
          <w:p>
            <w:r>
              <w:rPr>
                <w:rFonts w:ascii="Times New Roman" w:hAnsi="Times New Roman"/>
                <w:sz w:val="17"/>
              </w:rPr>
              <w:t>10</w:t>
            </w:r>
          </w:p>
        </w:tc>
      </w:tr>
      <w:tr>
        <w:tc>
          <w:tcPr>
            <w:tcW w:type="dxa" w:w="5112"/>
            <w:vAlign w:val="center"/>
          </w:tcPr>
          <w:p>
            <w:r>
              <w:rPr>
                <w:rFonts w:ascii="Times New Roman" w:hAnsi="Times New Roman"/>
                <w:sz w:val="17"/>
              </w:rPr>
              <w:t>Encoded model features</w:t>
            </w:r>
          </w:p>
        </w:tc>
        <w:tc>
          <w:tcPr>
            <w:tcW w:type="dxa" w:w="5112"/>
            <w:vAlign w:val="center"/>
          </w:tcPr>
          <w:p>
            <w:r>
              <w:rPr>
                <w:rFonts w:ascii="Times New Roman" w:hAnsi="Times New Roman"/>
                <w:sz w:val="17"/>
              </w:rPr>
              <w:t>22</w:t>
            </w:r>
          </w:p>
        </w:tc>
      </w:tr>
    </w:tbl>
    <w:p>
      <w:pPr>
        <w:spacing w:after="100"/>
      </w:pPr>
      <w:r>
        <w:t>All 5,000 records were retained after the cleaning stage. Missing feature values were handled during preprocessing, and customer identifiers and configured non-predictive fields were excluded from modelling.</w:t>
      </w:r>
    </w:p>
    <w:p>
      <w:pPr>
        <w:pStyle w:val="Heading1"/>
      </w:pPr>
      <w:r>
        <w:rPr>
          <w:rFonts w:ascii="Times New Roman" w:hAnsi="Times New Roman"/>
        </w:rPr>
        <w:t>2. Experimental Setup</w:t>
      </w:r>
    </w:p>
    <w:p>
      <w:pPr>
        <w:spacing w:after="100"/>
      </w:pPr>
      <w:r>
        <w:t>The dataset was divided using an 80/20 stratified train-test split, producing 4,000 training observations and 1,000 held-out test observations.</w:t>
      </w:r>
    </w:p>
    <w:p>
      <w:pPr>
        <w:spacing w:after="100"/>
      </w:pPr>
      <w:r>
        <w:t>Class-weighted learning was used to address the class imbalance caused by the 27.3% churn class. The same preprocessing and evaluation workflow was applied to all six classification models.</w:t>
      </w:r>
    </w:p>
    <w:p>
      <w:pPr>
        <w:spacing w:after="100"/>
      </w:pPr>
      <w:r>
        <w:t>The models evaluated were: Logistic Regression, Decision Tree, Random Forest, Gradient Boosting, XGBoost, and CatBoost.</w:t>
      </w:r>
    </w:p>
    <w:p>
      <w:pPr>
        <w:spacing w:after="100"/>
      </w:pPr>
      <w:r>
        <w:t>Five-fold cross-validation using ROC-AUC was used for model selection on the training partition. Final performance was then measured on the held-out test set.</w:t>
      </w:r>
    </w:p>
    <w:p>
      <w:pPr>
        <w:pStyle w:val="Heading1"/>
      </w:pPr>
      <w:r>
        <w:rPr>
          <w:rFonts w:ascii="Times New Roman" w:hAnsi="Times New Roman"/>
        </w:rPr>
        <w:t>3. Model Performance</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vAlign w:val="center"/>
          </w:tcPr>
          <w:p>
            <w:r>
              <w:rPr>
                <w:rFonts w:ascii="Times New Roman" w:hAnsi="Times New Roman"/>
                <w:sz w:val="17"/>
              </w:rPr>
              <w:t>Model</w:t>
            </w:r>
          </w:p>
        </w:tc>
        <w:tc>
          <w:tcPr>
            <w:tcW w:type="dxa" w:w="1022"/>
            <w:vAlign w:val="center"/>
          </w:tcPr>
          <w:p>
            <w:r>
              <w:rPr>
                <w:rFonts w:ascii="Times New Roman" w:hAnsi="Times New Roman"/>
                <w:sz w:val="17"/>
              </w:rPr>
              <w:t>Accuracy</w:t>
            </w:r>
          </w:p>
        </w:tc>
        <w:tc>
          <w:tcPr>
            <w:tcW w:type="dxa" w:w="1022"/>
            <w:vAlign w:val="center"/>
          </w:tcPr>
          <w:p>
            <w:r>
              <w:rPr>
                <w:rFonts w:ascii="Times New Roman" w:hAnsi="Times New Roman"/>
                <w:sz w:val="17"/>
              </w:rPr>
              <w:t>Precision</w:t>
            </w:r>
          </w:p>
        </w:tc>
        <w:tc>
          <w:tcPr>
            <w:tcW w:type="dxa" w:w="1022"/>
            <w:vAlign w:val="center"/>
          </w:tcPr>
          <w:p>
            <w:r>
              <w:rPr>
                <w:rFonts w:ascii="Times New Roman" w:hAnsi="Times New Roman"/>
                <w:sz w:val="17"/>
              </w:rPr>
              <w:t>Recall</w:t>
            </w:r>
          </w:p>
        </w:tc>
        <w:tc>
          <w:tcPr>
            <w:tcW w:type="dxa" w:w="1022"/>
            <w:vAlign w:val="center"/>
          </w:tcPr>
          <w:p>
            <w:r>
              <w:rPr>
                <w:rFonts w:ascii="Times New Roman" w:hAnsi="Times New Roman"/>
                <w:sz w:val="17"/>
              </w:rPr>
              <w:t>F1</w:t>
            </w:r>
          </w:p>
        </w:tc>
        <w:tc>
          <w:tcPr>
            <w:tcW w:type="dxa" w:w="1022"/>
            <w:vAlign w:val="center"/>
          </w:tcPr>
          <w:p>
            <w:r>
              <w:rPr>
                <w:rFonts w:ascii="Times New Roman" w:hAnsi="Times New Roman"/>
                <w:sz w:val="17"/>
              </w:rPr>
              <w:t>ROC-AUC</w:t>
            </w:r>
          </w:p>
        </w:tc>
        <w:tc>
          <w:tcPr>
            <w:tcW w:type="dxa" w:w="1022"/>
            <w:vAlign w:val="center"/>
          </w:tcPr>
          <w:p>
            <w:r>
              <w:rPr>
                <w:rFonts w:ascii="Times New Roman" w:hAnsi="Times New Roman"/>
                <w:sz w:val="17"/>
              </w:rPr>
              <w:t>PR-AUC</w:t>
            </w:r>
          </w:p>
        </w:tc>
        <w:tc>
          <w:tcPr>
            <w:tcW w:type="dxa" w:w="1022"/>
            <w:vAlign w:val="center"/>
          </w:tcPr>
          <w:p>
            <w:r>
              <w:rPr>
                <w:rFonts w:ascii="Times New Roman" w:hAnsi="Times New Roman"/>
                <w:sz w:val="17"/>
              </w:rPr>
              <w:t>CV ROC-AUC</w:t>
            </w:r>
          </w:p>
        </w:tc>
        <w:tc>
          <w:tcPr>
            <w:tcW w:type="dxa" w:w="1022"/>
            <w:vAlign w:val="center"/>
          </w:tcPr>
          <w:p>
            <w:r>
              <w:rPr>
                <w:rFonts w:ascii="Times New Roman" w:hAnsi="Times New Roman"/>
                <w:sz w:val="17"/>
              </w:rPr>
              <w:t>CV Std.</w:t>
            </w:r>
          </w:p>
        </w:tc>
        <w:tc>
          <w:tcPr>
            <w:tcW w:type="dxa" w:w="1022"/>
            <w:vAlign w:val="center"/>
          </w:tcPr>
          <w:p>
            <w:r>
              <w:rPr>
                <w:rFonts w:ascii="Times New Roman" w:hAnsi="Times New Roman"/>
                <w:sz w:val="17"/>
              </w:rPr>
              <w:t>Time (s)</w:t>
            </w:r>
          </w:p>
        </w:tc>
      </w:tr>
      <w:tr>
        <w:tc>
          <w:tcPr>
            <w:tcW w:type="dxa" w:w="1022"/>
            <w:vAlign w:val="center"/>
          </w:tcPr>
          <w:p>
            <w:r>
              <w:rPr>
                <w:rFonts w:ascii="Times New Roman" w:hAnsi="Times New Roman"/>
                <w:sz w:val="17"/>
              </w:rPr>
              <w:t>Logistic Regression</w:t>
            </w:r>
          </w:p>
        </w:tc>
        <w:tc>
          <w:tcPr>
            <w:tcW w:type="dxa" w:w="1022"/>
            <w:vAlign w:val="center"/>
          </w:tcPr>
          <w:p>
            <w:r>
              <w:rPr>
                <w:rFonts w:ascii="Times New Roman" w:hAnsi="Times New Roman"/>
                <w:sz w:val="17"/>
              </w:rPr>
              <w:t>0.698</w:t>
            </w:r>
          </w:p>
        </w:tc>
        <w:tc>
          <w:tcPr>
            <w:tcW w:type="dxa" w:w="1022"/>
            <w:vAlign w:val="center"/>
          </w:tcPr>
          <w:p>
            <w:r>
              <w:rPr>
                <w:rFonts w:ascii="Times New Roman" w:hAnsi="Times New Roman"/>
                <w:sz w:val="17"/>
              </w:rPr>
              <w:t>0.4611</w:t>
            </w:r>
          </w:p>
        </w:tc>
        <w:tc>
          <w:tcPr>
            <w:tcW w:type="dxa" w:w="1022"/>
            <w:vAlign w:val="center"/>
          </w:tcPr>
          <w:p>
            <w:r>
              <w:rPr>
                <w:rFonts w:ascii="Times New Roman" w:hAnsi="Times New Roman"/>
                <w:sz w:val="17"/>
              </w:rPr>
              <w:t>0.6300</w:t>
            </w:r>
          </w:p>
        </w:tc>
        <w:tc>
          <w:tcPr>
            <w:tcW w:type="dxa" w:w="1022"/>
            <w:vAlign w:val="center"/>
          </w:tcPr>
          <w:p>
            <w:r>
              <w:rPr>
                <w:rFonts w:ascii="Times New Roman" w:hAnsi="Times New Roman"/>
                <w:sz w:val="17"/>
              </w:rPr>
              <w:t>0.5325</w:t>
            </w:r>
          </w:p>
        </w:tc>
        <w:tc>
          <w:tcPr>
            <w:tcW w:type="dxa" w:w="1022"/>
            <w:vAlign w:val="center"/>
          </w:tcPr>
          <w:p>
            <w:r>
              <w:rPr>
                <w:rFonts w:ascii="Times New Roman" w:hAnsi="Times New Roman"/>
                <w:sz w:val="17"/>
              </w:rPr>
              <w:t>0.7616</w:t>
            </w:r>
          </w:p>
        </w:tc>
        <w:tc>
          <w:tcPr>
            <w:tcW w:type="dxa" w:w="1022"/>
            <w:vAlign w:val="center"/>
          </w:tcPr>
          <w:p>
            <w:r>
              <w:rPr>
                <w:rFonts w:ascii="Times New Roman" w:hAnsi="Times New Roman"/>
                <w:sz w:val="17"/>
              </w:rPr>
              <w:t>0.5447</w:t>
            </w:r>
          </w:p>
        </w:tc>
        <w:tc>
          <w:tcPr>
            <w:tcW w:type="dxa" w:w="1022"/>
            <w:vAlign w:val="center"/>
          </w:tcPr>
          <w:p>
            <w:r>
              <w:rPr>
                <w:rFonts w:ascii="Times New Roman" w:hAnsi="Times New Roman"/>
                <w:sz w:val="17"/>
              </w:rPr>
              <w:t>0.7706</w:t>
            </w:r>
          </w:p>
        </w:tc>
        <w:tc>
          <w:tcPr>
            <w:tcW w:type="dxa" w:w="1022"/>
            <w:vAlign w:val="center"/>
          </w:tcPr>
          <w:p>
            <w:r>
              <w:rPr>
                <w:rFonts w:ascii="Times New Roman" w:hAnsi="Times New Roman"/>
                <w:sz w:val="17"/>
              </w:rPr>
              <w:t>0.0163</w:t>
            </w:r>
          </w:p>
        </w:tc>
        <w:tc>
          <w:tcPr>
            <w:tcW w:type="dxa" w:w="1022"/>
            <w:vAlign w:val="center"/>
          </w:tcPr>
          <w:p>
            <w:r>
              <w:rPr>
                <w:rFonts w:ascii="Times New Roman" w:hAnsi="Times New Roman"/>
                <w:sz w:val="17"/>
              </w:rPr>
              <w:t>0.53</w:t>
            </w:r>
          </w:p>
        </w:tc>
      </w:tr>
      <w:tr>
        <w:tc>
          <w:tcPr>
            <w:tcW w:type="dxa" w:w="1022"/>
            <w:vAlign w:val="center"/>
          </w:tcPr>
          <w:p>
            <w:r>
              <w:rPr>
                <w:rFonts w:ascii="Times New Roman" w:hAnsi="Times New Roman"/>
                <w:sz w:val="17"/>
              </w:rPr>
              <w:t>Decision Tree</w:t>
            </w:r>
          </w:p>
        </w:tc>
        <w:tc>
          <w:tcPr>
            <w:tcW w:type="dxa" w:w="1022"/>
            <w:vAlign w:val="center"/>
          </w:tcPr>
          <w:p>
            <w:r>
              <w:rPr>
                <w:rFonts w:ascii="Times New Roman" w:hAnsi="Times New Roman"/>
                <w:sz w:val="17"/>
              </w:rPr>
              <w:t>0.671</w:t>
            </w:r>
          </w:p>
        </w:tc>
        <w:tc>
          <w:tcPr>
            <w:tcW w:type="dxa" w:w="1022"/>
            <w:vAlign w:val="center"/>
          </w:tcPr>
          <w:p>
            <w:r>
              <w:rPr>
                <w:rFonts w:ascii="Times New Roman" w:hAnsi="Times New Roman"/>
                <w:sz w:val="17"/>
              </w:rPr>
              <w:t>0.4330</w:t>
            </w:r>
          </w:p>
        </w:tc>
        <w:tc>
          <w:tcPr>
            <w:tcW w:type="dxa" w:w="1022"/>
            <w:vAlign w:val="center"/>
          </w:tcPr>
          <w:p>
            <w:r>
              <w:rPr>
                <w:rFonts w:ascii="Times New Roman" w:hAnsi="Times New Roman"/>
                <w:sz w:val="17"/>
              </w:rPr>
              <w:t>0.6630</w:t>
            </w:r>
          </w:p>
        </w:tc>
        <w:tc>
          <w:tcPr>
            <w:tcW w:type="dxa" w:w="1022"/>
            <w:vAlign w:val="center"/>
          </w:tcPr>
          <w:p>
            <w:r>
              <w:rPr>
                <w:rFonts w:ascii="Times New Roman" w:hAnsi="Times New Roman"/>
                <w:sz w:val="17"/>
              </w:rPr>
              <w:t>0.5239</w:t>
            </w:r>
          </w:p>
        </w:tc>
        <w:tc>
          <w:tcPr>
            <w:tcW w:type="dxa" w:w="1022"/>
            <w:vAlign w:val="center"/>
          </w:tcPr>
          <w:p>
            <w:r>
              <w:rPr>
                <w:rFonts w:ascii="Times New Roman" w:hAnsi="Times New Roman"/>
                <w:sz w:val="17"/>
              </w:rPr>
              <w:t>0.7180</w:t>
            </w:r>
          </w:p>
        </w:tc>
        <w:tc>
          <w:tcPr>
            <w:tcW w:type="dxa" w:w="1022"/>
            <w:vAlign w:val="center"/>
          </w:tcPr>
          <w:p>
            <w:r>
              <w:rPr>
                <w:rFonts w:ascii="Times New Roman" w:hAnsi="Times New Roman"/>
                <w:sz w:val="17"/>
              </w:rPr>
              <w:t>0.4786</w:t>
            </w:r>
          </w:p>
        </w:tc>
        <w:tc>
          <w:tcPr>
            <w:tcW w:type="dxa" w:w="1022"/>
            <w:vAlign w:val="center"/>
          </w:tcPr>
          <w:p>
            <w:r>
              <w:rPr>
                <w:rFonts w:ascii="Times New Roman" w:hAnsi="Times New Roman"/>
                <w:sz w:val="17"/>
              </w:rPr>
              <w:t>0.7079</w:t>
            </w:r>
          </w:p>
        </w:tc>
        <w:tc>
          <w:tcPr>
            <w:tcW w:type="dxa" w:w="1022"/>
            <w:vAlign w:val="center"/>
          </w:tcPr>
          <w:p>
            <w:r>
              <w:rPr>
                <w:rFonts w:ascii="Times New Roman" w:hAnsi="Times New Roman"/>
                <w:sz w:val="17"/>
              </w:rPr>
              <w:t>0.0101</w:t>
            </w:r>
          </w:p>
        </w:tc>
        <w:tc>
          <w:tcPr>
            <w:tcW w:type="dxa" w:w="1022"/>
            <w:vAlign w:val="center"/>
          </w:tcPr>
          <w:p>
            <w:r>
              <w:rPr>
                <w:rFonts w:ascii="Times New Roman" w:hAnsi="Times New Roman"/>
                <w:sz w:val="17"/>
              </w:rPr>
              <w:t>0.65</w:t>
            </w:r>
          </w:p>
        </w:tc>
      </w:tr>
      <w:tr>
        <w:tc>
          <w:tcPr>
            <w:tcW w:type="dxa" w:w="1022"/>
            <w:vAlign w:val="center"/>
          </w:tcPr>
          <w:p>
            <w:r>
              <w:rPr>
                <w:rFonts w:ascii="Times New Roman" w:hAnsi="Times New Roman"/>
                <w:sz w:val="17"/>
              </w:rPr>
              <w:t>Random Forest</w:t>
            </w:r>
          </w:p>
        </w:tc>
        <w:tc>
          <w:tcPr>
            <w:tcW w:type="dxa" w:w="1022"/>
            <w:vAlign w:val="center"/>
          </w:tcPr>
          <w:p>
            <w:r>
              <w:rPr>
                <w:rFonts w:ascii="Times New Roman" w:hAnsi="Times New Roman"/>
                <w:sz w:val="17"/>
              </w:rPr>
              <w:t>0.744</w:t>
            </w:r>
          </w:p>
        </w:tc>
        <w:tc>
          <w:tcPr>
            <w:tcW w:type="dxa" w:w="1022"/>
            <w:vAlign w:val="center"/>
          </w:tcPr>
          <w:p>
            <w:r>
              <w:rPr>
                <w:rFonts w:ascii="Times New Roman" w:hAnsi="Times New Roman"/>
                <w:sz w:val="17"/>
              </w:rPr>
              <w:t>0.5521</w:t>
            </w:r>
          </w:p>
        </w:tc>
        <w:tc>
          <w:tcPr>
            <w:tcW w:type="dxa" w:w="1022"/>
            <w:vAlign w:val="center"/>
          </w:tcPr>
          <w:p>
            <w:r>
              <w:rPr>
                <w:rFonts w:ascii="Times New Roman" w:hAnsi="Times New Roman"/>
                <w:sz w:val="17"/>
              </w:rPr>
              <w:t>0.3297</w:t>
            </w:r>
          </w:p>
        </w:tc>
        <w:tc>
          <w:tcPr>
            <w:tcW w:type="dxa" w:w="1022"/>
            <w:vAlign w:val="center"/>
          </w:tcPr>
          <w:p>
            <w:r>
              <w:rPr>
                <w:rFonts w:ascii="Times New Roman" w:hAnsi="Times New Roman"/>
                <w:sz w:val="17"/>
              </w:rPr>
              <w:t>0.4128</w:t>
            </w:r>
          </w:p>
        </w:tc>
        <w:tc>
          <w:tcPr>
            <w:tcW w:type="dxa" w:w="1022"/>
            <w:vAlign w:val="center"/>
          </w:tcPr>
          <w:p>
            <w:r>
              <w:rPr>
                <w:rFonts w:ascii="Times New Roman" w:hAnsi="Times New Roman"/>
                <w:sz w:val="17"/>
              </w:rPr>
              <w:t>0.7278</w:t>
            </w:r>
          </w:p>
        </w:tc>
        <w:tc>
          <w:tcPr>
            <w:tcW w:type="dxa" w:w="1022"/>
            <w:vAlign w:val="center"/>
          </w:tcPr>
          <w:p>
            <w:r>
              <w:rPr>
                <w:rFonts w:ascii="Times New Roman" w:hAnsi="Times New Roman"/>
                <w:sz w:val="17"/>
              </w:rPr>
              <w:t>0.5250</w:t>
            </w:r>
          </w:p>
        </w:tc>
        <w:tc>
          <w:tcPr>
            <w:tcW w:type="dxa" w:w="1022"/>
            <w:vAlign w:val="center"/>
          </w:tcPr>
          <w:p>
            <w:r>
              <w:rPr>
                <w:rFonts w:ascii="Times New Roman" w:hAnsi="Times New Roman"/>
                <w:sz w:val="17"/>
              </w:rPr>
              <w:t>0.7451</w:t>
            </w:r>
          </w:p>
        </w:tc>
        <w:tc>
          <w:tcPr>
            <w:tcW w:type="dxa" w:w="1022"/>
            <w:vAlign w:val="center"/>
          </w:tcPr>
          <w:p>
            <w:r>
              <w:rPr>
                <w:rFonts w:ascii="Times New Roman" w:hAnsi="Times New Roman"/>
                <w:sz w:val="17"/>
              </w:rPr>
              <w:t>0.0244</w:t>
            </w:r>
          </w:p>
        </w:tc>
        <w:tc>
          <w:tcPr>
            <w:tcW w:type="dxa" w:w="1022"/>
            <w:vAlign w:val="center"/>
          </w:tcPr>
          <w:p>
            <w:r>
              <w:rPr>
                <w:rFonts w:ascii="Times New Roman" w:hAnsi="Times New Roman"/>
                <w:sz w:val="17"/>
              </w:rPr>
              <w:t>6.16</w:t>
            </w:r>
          </w:p>
        </w:tc>
      </w:tr>
      <w:tr>
        <w:tc>
          <w:tcPr>
            <w:tcW w:type="dxa" w:w="1022"/>
            <w:vAlign w:val="center"/>
          </w:tcPr>
          <w:p>
            <w:r>
              <w:rPr>
                <w:rFonts w:ascii="Times New Roman" w:hAnsi="Times New Roman"/>
                <w:sz w:val="17"/>
              </w:rPr>
              <w:t>Gradient Boosting</w:t>
            </w:r>
          </w:p>
        </w:tc>
        <w:tc>
          <w:tcPr>
            <w:tcW w:type="dxa" w:w="1022"/>
            <w:vAlign w:val="center"/>
          </w:tcPr>
          <w:p>
            <w:r>
              <w:rPr>
                <w:rFonts w:ascii="Times New Roman" w:hAnsi="Times New Roman"/>
                <w:sz w:val="17"/>
              </w:rPr>
              <w:t>0.714</w:t>
            </w:r>
          </w:p>
        </w:tc>
        <w:tc>
          <w:tcPr>
            <w:tcW w:type="dxa" w:w="1022"/>
            <w:vAlign w:val="center"/>
          </w:tcPr>
          <w:p>
            <w:r>
              <w:rPr>
                <w:rFonts w:ascii="Times New Roman" w:hAnsi="Times New Roman"/>
                <w:sz w:val="17"/>
              </w:rPr>
              <w:t>0.4820</w:t>
            </w:r>
          </w:p>
        </w:tc>
        <w:tc>
          <w:tcPr>
            <w:tcW w:type="dxa" w:w="1022"/>
            <w:vAlign w:val="center"/>
          </w:tcPr>
          <w:p>
            <w:r>
              <w:rPr>
                <w:rFonts w:ascii="Times New Roman" w:hAnsi="Times New Roman"/>
                <w:sz w:val="17"/>
              </w:rPr>
              <w:t>0.6347</w:t>
            </w:r>
          </w:p>
        </w:tc>
        <w:tc>
          <w:tcPr>
            <w:tcW w:type="dxa" w:w="1022"/>
            <w:vAlign w:val="center"/>
          </w:tcPr>
          <w:p>
            <w:r>
              <w:rPr>
                <w:rFonts w:ascii="Times New Roman" w:hAnsi="Times New Roman"/>
                <w:sz w:val="17"/>
              </w:rPr>
              <w:t>0.5489</w:t>
            </w:r>
          </w:p>
        </w:tc>
        <w:tc>
          <w:tcPr>
            <w:tcW w:type="dxa" w:w="1022"/>
            <w:vAlign w:val="center"/>
          </w:tcPr>
          <w:p>
            <w:r>
              <w:rPr>
                <w:rFonts w:ascii="Times New Roman" w:hAnsi="Times New Roman"/>
                <w:sz w:val="17"/>
              </w:rPr>
              <w:t>0.7635</w:t>
            </w:r>
          </w:p>
        </w:tc>
        <w:tc>
          <w:tcPr>
            <w:tcW w:type="dxa" w:w="1022"/>
            <w:vAlign w:val="center"/>
          </w:tcPr>
          <w:p>
            <w:r>
              <w:rPr>
                <w:rFonts w:ascii="Times New Roman" w:hAnsi="Times New Roman"/>
                <w:sz w:val="17"/>
              </w:rPr>
              <w:t>0.5546</w:t>
            </w:r>
          </w:p>
        </w:tc>
        <w:tc>
          <w:tcPr>
            <w:tcW w:type="dxa" w:w="1022"/>
            <w:vAlign w:val="center"/>
          </w:tcPr>
          <w:p>
            <w:r>
              <w:rPr>
                <w:rFonts w:ascii="Times New Roman" w:hAnsi="Times New Roman"/>
                <w:sz w:val="17"/>
              </w:rPr>
              <w:t>0.7533</w:t>
            </w:r>
          </w:p>
        </w:tc>
        <w:tc>
          <w:tcPr>
            <w:tcW w:type="dxa" w:w="1022"/>
            <w:vAlign w:val="center"/>
          </w:tcPr>
          <w:p>
            <w:r>
              <w:rPr>
                <w:rFonts w:ascii="Times New Roman" w:hAnsi="Times New Roman"/>
                <w:sz w:val="17"/>
              </w:rPr>
              <w:t>0.0199</w:t>
            </w:r>
          </w:p>
        </w:tc>
        <w:tc>
          <w:tcPr>
            <w:tcW w:type="dxa" w:w="1022"/>
            <w:vAlign w:val="center"/>
          </w:tcPr>
          <w:p>
            <w:r>
              <w:rPr>
                <w:rFonts w:ascii="Times New Roman" w:hAnsi="Times New Roman"/>
                <w:sz w:val="17"/>
              </w:rPr>
              <w:t>9.06</w:t>
            </w:r>
          </w:p>
        </w:tc>
      </w:tr>
      <w:tr>
        <w:tc>
          <w:tcPr>
            <w:tcW w:type="dxa" w:w="1022"/>
            <w:vAlign w:val="center"/>
          </w:tcPr>
          <w:p>
            <w:r>
              <w:rPr>
                <w:rFonts w:ascii="Times New Roman" w:hAnsi="Times New Roman"/>
                <w:sz w:val="17"/>
              </w:rPr>
              <w:t>XGBoost</w:t>
            </w:r>
          </w:p>
        </w:tc>
        <w:tc>
          <w:tcPr>
            <w:tcW w:type="dxa" w:w="1022"/>
            <w:vAlign w:val="center"/>
          </w:tcPr>
          <w:p>
            <w:r>
              <w:rPr>
                <w:rFonts w:ascii="Times New Roman" w:hAnsi="Times New Roman"/>
                <w:sz w:val="17"/>
              </w:rPr>
              <w:t>0.711</w:t>
            </w:r>
          </w:p>
        </w:tc>
        <w:tc>
          <w:tcPr>
            <w:tcW w:type="dxa" w:w="1022"/>
            <w:vAlign w:val="center"/>
          </w:tcPr>
          <w:p>
            <w:r>
              <w:rPr>
                <w:rFonts w:ascii="Times New Roman" w:hAnsi="Times New Roman"/>
                <w:sz w:val="17"/>
              </w:rPr>
              <w:t>0.4770</w:t>
            </w:r>
          </w:p>
        </w:tc>
        <w:tc>
          <w:tcPr>
            <w:tcW w:type="dxa" w:w="1022"/>
            <w:vAlign w:val="center"/>
          </w:tcPr>
          <w:p>
            <w:r>
              <w:rPr>
                <w:rFonts w:ascii="Times New Roman" w:hAnsi="Times New Roman"/>
                <w:sz w:val="17"/>
              </w:rPr>
              <w:t>0.6081</w:t>
            </w:r>
          </w:p>
        </w:tc>
        <w:tc>
          <w:tcPr>
            <w:tcW w:type="dxa" w:w="1022"/>
            <w:vAlign w:val="center"/>
          </w:tcPr>
          <w:p>
            <w:r>
              <w:rPr>
                <w:rFonts w:ascii="Times New Roman" w:hAnsi="Times New Roman"/>
                <w:sz w:val="17"/>
              </w:rPr>
              <w:t>0.5346</w:t>
            </w:r>
          </w:p>
        </w:tc>
        <w:tc>
          <w:tcPr>
            <w:tcW w:type="dxa" w:w="1022"/>
            <w:vAlign w:val="center"/>
          </w:tcPr>
          <w:p>
            <w:r>
              <w:rPr>
                <w:rFonts w:ascii="Times New Roman" w:hAnsi="Times New Roman"/>
                <w:sz w:val="17"/>
              </w:rPr>
              <w:t>0.7443</w:t>
            </w:r>
          </w:p>
        </w:tc>
        <w:tc>
          <w:tcPr>
            <w:tcW w:type="dxa" w:w="1022"/>
            <w:vAlign w:val="center"/>
          </w:tcPr>
          <w:p>
            <w:r>
              <w:rPr>
                <w:rFonts w:ascii="Times New Roman" w:hAnsi="Times New Roman"/>
                <w:sz w:val="17"/>
              </w:rPr>
              <w:t>0.5410</w:t>
            </w:r>
          </w:p>
        </w:tc>
        <w:tc>
          <w:tcPr>
            <w:tcW w:type="dxa" w:w="1022"/>
            <w:vAlign w:val="center"/>
          </w:tcPr>
          <w:p>
            <w:r>
              <w:rPr>
                <w:rFonts w:ascii="Times New Roman" w:hAnsi="Times New Roman"/>
                <w:sz w:val="17"/>
              </w:rPr>
              <w:t>0.7447</w:t>
            </w:r>
          </w:p>
        </w:tc>
        <w:tc>
          <w:tcPr>
            <w:tcW w:type="dxa" w:w="1022"/>
            <w:vAlign w:val="center"/>
          </w:tcPr>
          <w:p>
            <w:r>
              <w:rPr>
                <w:rFonts w:ascii="Times New Roman" w:hAnsi="Times New Roman"/>
                <w:sz w:val="17"/>
              </w:rPr>
              <w:t>0.0207</w:t>
            </w:r>
          </w:p>
        </w:tc>
        <w:tc>
          <w:tcPr>
            <w:tcW w:type="dxa" w:w="1022"/>
            <w:vAlign w:val="center"/>
          </w:tcPr>
          <w:p>
            <w:r>
              <w:rPr>
                <w:rFonts w:ascii="Times New Roman" w:hAnsi="Times New Roman"/>
                <w:sz w:val="17"/>
              </w:rPr>
              <w:t>7.41</w:t>
            </w:r>
          </w:p>
        </w:tc>
      </w:tr>
      <w:tr>
        <w:tc>
          <w:tcPr>
            <w:tcW w:type="dxa" w:w="1022"/>
            <w:vAlign w:val="center"/>
          </w:tcPr>
          <w:p>
            <w:r>
              <w:rPr>
                <w:rFonts w:ascii="Times New Roman" w:hAnsi="Times New Roman"/>
                <w:sz w:val="17"/>
              </w:rPr>
              <w:t>CatBoost</w:t>
            </w:r>
          </w:p>
        </w:tc>
        <w:tc>
          <w:tcPr>
            <w:tcW w:type="dxa" w:w="1022"/>
            <w:vAlign w:val="center"/>
          </w:tcPr>
          <w:p>
            <w:r>
              <w:rPr>
                <w:rFonts w:ascii="Times New Roman" w:hAnsi="Times New Roman"/>
                <w:sz w:val="17"/>
              </w:rPr>
              <w:t>0.705</w:t>
            </w:r>
          </w:p>
        </w:tc>
        <w:tc>
          <w:tcPr>
            <w:tcW w:type="dxa" w:w="1022"/>
            <w:vAlign w:val="center"/>
          </w:tcPr>
          <w:p>
            <w:r>
              <w:rPr>
                <w:rFonts w:ascii="Times New Roman" w:hAnsi="Times New Roman"/>
                <w:sz w:val="17"/>
              </w:rPr>
              <w:t>0.4676</w:t>
            </w:r>
          </w:p>
        </w:tc>
        <w:tc>
          <w:tcPr>
            <w:tcW w:type="dxa" w:w="1022"/>
            <w:vAlign w:val="center"/>
          </w:tcPr>
          <w:p>
            <w:r>
              <w:rPr>
                <w:rFonts w:ascii="Times New Roman" w:hAnsi="Times New Roman"/>
                <w:sz w:val="17"/>
              </w:rPr>
              <w:t>0.5824</w:t>
            </w:r>
          </w:p>
        </w:tc>
        <w:tc>
          <w:tcPr>
            <w:tcW w:type="dxa" w:w="1022"/>
            <w:vAlign w:val="center"/>
          </w:tcPr>
          <w:p>
            <w:r>
              <w:rPr>
                <w:rFonts w:ascii="Times New Roman" w:hAnsi="Times New Roman"/>
                <w:sz w:val="17"/>
              </w:rPr>
              <w:t>0.5188</w:t>
            </w:r>
          </w:p>
        </w:tc>
        <w:tc>
          <w:tcPr>
            <w:tcW w:type="dxa" w:w="1022"/>
            <w:vAlign w:val="center"/>
          </w:tcPr>
          <w:p>
            <w:r>
              <w:rPr>
                <w:rFonts w:ascii="Times New Roman" w:hAnsi="Times New Roman"/>
                <w:sz w:val="17"/>
              </w:rPr>
              <w:t>0.7484</w:t>
            </w:r>
          </w:p>
        </w:tc>
        <w:tc>
          <w:tcPr>
            <w:tcW w:type="dxa" w:w="1022"/>
            <w:vAlign w:val="center"/>
          </w:tcPr>
          <w:p>
            <w:r>
              <w:rPr>
                <w:rFonts w:ascii="Times New Roman" w:hAnsi="Times New Roman"/>
                <w:sz w:val="17"/>
              </w:rPr>
              <w:t>0.5417</w:t>
            </w:r>
          </w:p>
        </w:tc>
        <w:tc>
          <w:tcPr>
            <w:tcW w:type="dxa" w:w="1022"/>
            <w:vAlign w:val="center"/>
          </w:tcPr>
          <w:p>
            <w:r>
              <w:rPr>
                <w:rFonts w:ascii="Times New Roman" w:hAnsi="Times New Roman"/>
                <w:sz w:val="17"/>
              </w:rPr>
              <w:t>0.7505</w:t>
            </w:r>
          </w:p>
        </w:tc>
        <w:tc>
          <w:tcPr>
            <w:tcW w:type="dxa" w:w="1022"/>
            <w:vAlign w:val="center"/>
          </w:tcPr>
          <w:p>
            <w:r>
              <w:rPr>
                <w:rFonts w:ascii="Times New Roman" w:hAnsi="Times New Roman"/>
                <w:sz w:val="17"/>
              </w:rPr>
              <w:t>0.0190</w:t>
            </w:r>
          </w:p>
        </w:tc>
        <w:tc>
          <w:tcPr>
            <w:tcW w:type="dxa" w:w="1022"/>
            <w:vAlign w:val="center"/>
          </w:tcPr>
          <w:p>
            <w:r>
              <w:rPr>
                <w:rFonts w:ascii="Times New Roman" w:hAnsi="Times New Roman"/>
                <w:sz w:val="17"/>
              </w:rPr>
              <w:t>11.21</w:t>
            </w:r>
          </w:p>
        </w:tc>
      </w:tr>
    </w:tbl>
    <w:p>
      <w:pPr>
        <w:pStyle w:val="Heading2"/>
      </w:pPr>
      <w:r>
        <w:rPr>
          <w:rFonts w:ascii="Times New Roman" w:hAnsi="Times New Roman"/>
        </w:rPr>
        <w:t>Model Selection</w:t>
      </w:r>
    </w:p>
    <w:p>
      <w:pPr>
        <w:spacing w:after="100"/>
      </w:pPr>
      <w:r>
        <w:t>The application selected Logistic Regression using five-fold cross-validation ROC-AUC, with a CV ROC-AUC of 0.7706.</w:t>
      </w:r>
    </w:p>
    <w:p>
      <w:pPr>
        <w:spacing w:after="100"/>
      </w:pPr>
      <w:r>
        <w:t>On the held-out test set, Gradient Boosting produced the highest ROC-AUC at 0.7635 and the highest PR-AUC at 0.5546. Random Forest produced the highest accuracy at 0.744, while Decision Tree produced the highest recall at 0.6630.</w:t>
      </w:r>
    </w:p>
    <w:p>
      <w:pPr>
        <w:spacing w:after="100"/>
      </w:pPr>
      <w:r>
        <w:t>These results demonstrate why churn prediction should be evaluated using multiple complementary metrics rather than accuracy alone.</w:t>
      </w:r>
    </w:p>
    <w:p>
      <w:pPr>
        <w:pStyle w:val="Heading1"/>
      </w:pPr>
      <w:r>
        <w:rPr>
          <w:rFonts w:ascii="Times New Roman" w:hAnsi="Times New Roman"/>
        </w:rPr>
        <w:t>4. Churn Risk Prediction</w:t>
      </w:r>
    </w:p>
    <w:p>
      <w:pPr>
        <w:spacing w:after="100"/>
      </w:pPr>
      <w:r>
        <w:t>The final batch prediction run classified 2,148 of 5,000 customers as predicted churners.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Times New Roman" w:hAnsi="Times New Roman"/>
                <w:sz w:val="17"/>
              </w:rPr>
              <w:t>Risk level</w:t>
            </w:r>
          </w:p>
        </w:tc>
        <w:tc>
          <w:tcPr>
            <w:tcW w:type="dxa" w:w="5112"/>
            <w:vAlign w:val="center"/>
          </w:tcPr>
          <w:p>
            <w:r>
              <w:rPr>
                <w:rFonts w:ascii="Times New Roman" w:hAnsi="Times New Roman"/>
                <w:sz w:val="17"/>
              </w:rPr>
              <w:t>Customers</w:t>
            </w:r>
          </w:p>
        </w:tc>
      </w:tr>
      <w:tr>
        <w:tc>
          <w:tcPr>
            <w:tcW w:type="dxa" w:w="5112"/>
            <w:vAlign w:val="center"/>
          </w:tcPr>
          <w:p>
            <w:r>
              <w:rPr>
                <w:rFonts w:ascii="Times New Roman" w:hAnsi="Times New Roman"/>
                <w:sz w:val="17"/>
              </w:rPr>
              <w:t>Low</w:t>
            </w:r>
          </w:p>
        </w:tc>
        <w:tc>
          <w:tcPr>
            <w:tcW w:type="dxa" w:w="5112"/>
            <w:vAlign w:val="center"/>
          </w:tcPr>
          <w:p>
            <w:r>
              <w:rPr>
                <w:rFonts w:ascii="Times New Roman" w:hAnsi="Times New Roman"/>
                <w:sz w:val="17"/>
              </w:rPr>
              <w:t>1,642</w:t>
            </w:r>
          </w:p>
        </w:tc>
      </w:tr>
      <w:tr>
        <w:tc>
          <w:tcPr>
            <w:tcW w:type="dxa" w:w="5112"/>
            <w:vAlign w:val="center"/>
          </w:tcPr>
          <w:p>
            <w:r>
              <w:rPr>
                <w:rFonts w:ascii="Times New Roman" w:hAnsi="Times New Roman"/>
                <w:sz w:val="17"/>
              </w:rPr>
              <w:t>Medium</w:t>
            </w:r>
          </w:p>
        </w:tc>
        <w:tc>
          <w:tcPr>
            <w:tcW w:type="dxa" w:w="5112"/>
            <w:vAlign w:val="center"/>
          </w:tcPr>
          <w:p>
            <w:r>
              <w:rPr>
                <w:rFonts w:ascii="Times New Roman" w:hAnsi="Times New Roman"/>
                <w:sz w:val="17"/>
              </w:rPr>
              <w:t>1,941</w:t>
            </w:r>
          </w:p>
        </w:tc>
      </w:tr>
      <w:tr>
        <w:tc>
          <w:tcPr>
            <w:tcW w:type="dxa" w:w="5112"/>
            <w:vAlign w:val="center"/>
          </w:tcPr>
          <w:p>
            <w:r>
              <w:rPr>
                <w:rFonts w:ascii="Times New Roman" w:hAnsi="Times New Roman"/>
                <w:sz w:val="17"/>
              </w:rPr>
              <w:t>High</w:t>
            </w:r>
          </w:p>
        </w:tc>
        <w:tc>
          <w:tcPr>
            <w:tcW w:type="dxa" w:w="5112"/>
            <w:vAlign w:val="center"/>
          </w:tcPr>
          <w:p>
            <w:r>
              <w:rPr>
                <w:rFonts w:ascii="Times New Roman" w:hAnsi="Times New Roman"/>
                <w:sz w:val="17"/>
              </w:rPr>
              <w:t>889</w:t>
            </w:r>
          </w:p>
        </w:tc>
      </w:tr>
      <w:tr>
        <w:tc>
          <w:tcPr>
            <w:tcW w:type="dxa" w:w="5112"/>
            <w:vAlign w:val="center"/>
          </w:tcPr>
          <w:p>
            <w:r>
              <w:rPr>
                <w:rFonts w:ascii="Times New Roman" w:hAnsi="Times New Roman"/>
                <w:sz w:val="17"/>
              </w:rPr>
              <w:t>Very High</w:t>
            </w:r>
          </w:p>
        </w:tc>
        <w:tc>
          <w:tcPr>
            <w:tcW w:type="dxa" w:w="5112"/>
            <w:vAlign w:val="center"/>
          </w:tcPr>
          <w:p>
            <w:r>
              <w:rPr>
                <w:rFonts w:ascii="Times New Roman" w:hAnsi="Times New Roman"/>
                <w:sz w:val="17"/>
              </w:rPr>
              <w:t>528</w:t>
            </w:r>
          </w:p>
        </w:tc>
      </w:tr>
      <w:tr>
        <w:tc>
          <w:tcPr>
            <w:tcW w:type="dxa" w:w="5112"/>
            <w:vAlign w:val="center"/>
          </w:tcPr>
          <w:p>
            <w:r>
              <w:rPr>
                <w:rFonts w:ascii="Times New Roman" w:hAnsi="Times New Roman"/>
                <w:sz w:val="17"/>
              </w:rPr>
              <w:t>Total</w:t>
            </w:r>
          </w:p>
        </w:tc>
        <w:tc>
          <w:tcPr>
            <w:tcW w:type="dxa" w:w="5112"/>
            <w:vAlign w:val="center"/>
          </w:tcPr>
          <w:p>
            <w:r>
              <w:rPr>
                <w:rFonts w:ascii="Times New Roman" w:hAnsi="Times New Roman"/>
                <w:sz w:val="17"/>
              </w:rPr>
              <w:t>5,000</w:t>
            </w:r>
          </w:p>
        </w:tc>
      </w:tr>
    </w:tbl>
    <w:p>
      <w:pPr>
        <w:spacing w:after="100"/>
      </w:pPr>
      <w:r>
        <w:t>The application converts predicted churn probabilities into risk categories so that analysts can examine customers according to different levels of predicted risk.</w:t>
      </w:r>
    </w:p>
    <w:p>
      <w:pPr>
        <w:spacing w:after="100"/>
      </w:pPr>
      <w:r>
        <w:t>The risk thresholds used by the application are implementation defaults and should be validated against actual retention costs before being used for operational decisions.</w:t>
      </w:r>
    </w:p>
    <w:p>
      <w:pPr>
        <w:pStyle w:val="Heading1"/>
      </w:pPr>
      <w:r>
        <w:rPr>
          <w:rFonts w:ascii="Times New Roman" w:hAnsi="Times New Roman"/>
        </w:rPr>
        <w:t>5. Feature Importance and Explainability</w:t>
      </w:r>
    </w:p>
    <w:p>
      <w:pPr>
        <w:spacing w:after="100"/>
      </w:pPr>
      <w:r>
        <w:t>The feature-importance output indicated that contractual and service-related variables were prominent signals in the trained model. In the displayed XGBoost feature-importance results, contract, region, payment method, internet service, and satisfaction score appeared among the highest-ranked features.</w:t>
      </w:r>
    </w:p>
    <w:p>
      <w:pPr>
        <w:spacing w:after="100"/>
      </w:pPr>
      <w:r>
        <w:t>These results describe predictive associations within the trained model. They should not be interpreted as evidence that any individual feature directly causes customer churn.</w:t>
      </w:r>
    </w:p>
    <w:p>
      <w:pPr>
        <w:spacing w:after="100"/>
      </w:pPr>
      <w:r>
        <w:t>The application also provides local contribution explanations for individual predictions, allowing users to inspect which input characteristics contributed to a particular churn-risk estimate.</w:t>
      </w:r>
    </w:p>
    <w:p>
      <w:pPr>
        <w:pStyle w:val="Heading1"/>
      </w:pPr>
      <w:r>
        <w:rPr>
          <w:rFonts w:ascii="Times New Roman" w:hAnsi="Times New Roman"/>
        </w:rPr>
        <w:t>6. Key Observations</w:t>
      </w:r>
    </w:p>
    <w:p>
      <w:pPr>
        <w:pStyle w:val="ListBullet"/>
      </w:pPr>
      <w:r>
        <w:t>The dataset contains a meaningful class imbalance, with churn representing 27.3% of the records.</w:t>
      </w:r>
    </w:p>
    <w:p>
      <w:pPr>
        <w:pStyle w:val="ListBullet"/>
      </w:pPr>
      <w:r>
        <w:t>Different models show different trade-offs between accuracy, precision, recall, F1-score, ROC-AUC, and PR-AUC.</w:t>
      </w:r>
    </w:p>
    <w:p>
      <w:pPr>
        <w:pStyle w:val="ListBullet"/>
      </w:pPr>
      <w:r>
        <w:t>Logistic Regression was selected by the cross-validation model-selection procedure.</w:t>
      </w:r>
    </w:p>
    <w:p>
      <w:pPr>
        <w:pStyle w:val="ListBullet"/>
      </w:pPr>
      <w:r>
        <w:t>Gradient Boosting achieved the highest held-out ROC-AUC and PR-AUC in the reported comparison.</w:t>
      </w:r>
    </w:p>
    <w:p>
      <w:pPr>
        <w:pStyle w:val="ListBullet"/>
      </w:pPr>
      <w:r>
        <w:t>Random Forest achieved the highest accuracy but had substantially lower recall than Logistic Regression, Decision Tree, and Gradient Boosting.</w:t>
      </w:r>
    </w:p>
    <w:p>
      <w:pPr>
        <w:pStyle w:val="ListBullet"/>
      </w:pPr>
      <w:r>
        <w:t>The risk-level output extends the system beyond a binary churn prediction by representing different probability ranges.</w:t>
      </w:r>
    </w:p>
    <w:p>
      <w:pPr>
        <w:pStyle w:val="ListBullet"/>
      </w:pPr>
      <w:r>
        <w:t>Feature-importance and local explanation outputs improve the interpretability of the prediction workflow.</w:t>
      </w:r>
    </w:p>
    <w:p>
      <w:pPr>
        <w:pStyle w:val="ListBullet"/>
      </w:pPr>
      <w:r>
        <w:t>Batch prediction allows the trained workflow to score a complete customer file rather than requiring individual manual predictions.</w:t>
      </w:r>
    </w:p>
    <w:p>
      <w:pPr>
        <w:pStyle w:val="Heading1"/>
      </w:pPr>
      <w:r>
        <w:rPr>
          <w:rFonts w:ascii="Times New Roman" w:hAnsi="Times New Roman"/>
        </w:rPr>
        <w:t>7. Limitations of the Reported Experiment</w:t>
      </w:r>
    </w:p>
    <w:p>
      <w:pPr>
        <w:pStyle w:val="ListBullet"/>
      </w:pPr>
      <w:r>
        <w:t>The reported results are based on one 5,000-row dataset and one held-out train-test split. Therefore, the results should not be treated as evidence that the same performance will generalize to other customer populations.</w:t>
      </w:r>
    </w:p>
    <w:p>
      <w:pPr>
        <w:pStyle w:val="ListBullet"/>
      </w:pPr>
      <w:r>
        <w:t>The dataset's external provenance was not documented in the supplied experiment materials, so no unsupported public dataset source is claimed here.</w:t>
      </w:r>
    </w:p>
    <w:p>
      <w:pPr>
        <w:pStyle w:val="ListBullet"/>
      </w:pPr>
      <w:r>
        <w:t>The risk thresholds are application defaults rather than business-optimized thresholds.</w:t>
      </w:r>
    </w:p>
    <w:p>
      <w:pPr>
        <w:pStyle w:val="ListBullet"/>
      </w:pPr>
      <w:r>
        <w:t>Feature-importance and SHAP-style explanations describe model behaviour and should not be interpreted as causal relationships.</w:t>
      </w:r>
    </w:p>
    <w:p>
      <w:pPr>
        <w:pStyle w:val="ListBullet"/>
      </w:pPr>
      <w:r>
        <w:t>Further validation using larger datasets, repeated or time-based splits, hyperparameter tuning, probability calibration, cost-sensitive threshold optimization, and retention-action evaluation would strengthen the study.</w:t>
      </w:r>
    </w:p>
    <w:p>
      <w:pPr>
        <w:pStyle w:val="Heading1"/>
      </w:pPr>
      <w:r>
        <w:rPr>
          <w:rFonts w:ascii="Times New Roman" w:hAnsi="Times New Roman"/>
        </w:rPr>
        <w:t>8. Reproducibility Note</w:t>
      </w:r>
    </w:p>
    <w:p>
      <w:pPr>
        <w:spacing w:after="100"/>
      </w:pPr>
      <w:r>
        <w:t>The values in this document correspond to the final experiment reported in the project research paper. They should be updated if the model pipeline, dataset, preprocessing configuration, or final experiment is changed.</w:t>
      </w:r>
    </w:p>
    <w:p>
      <w:pPr>
        <w:spacing w:after="100"/>
      </w:pPr>
      <w:r>
        <w:t>For reproducibility, the GitHub repository should ideally contain source code, requirements.txt, dataset documentation, model-training instructions, evaluation outputs, dashboard instructions, screenshots of the final application, and this results document.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