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8"/>
          <w:szCs w:val="28"/>
        </w:rPr>
      </w:pPr>
      <w:r w:rsidDel="00000000" w:rsidR="00000000" w:rsidRPr="00000000">
        <w:rPr>
          <w:b w:val="1"/>
          <w:sz w:val="28"/>
          <w:szCs w:val="28"/>
          <w:rtl w:val="0"/>
        </w:rPr>
        <w:t xml:space="preserve">What a Waste Shiny App</w:t>
      </w:r>
    </w:p>
    <w:p w:rsidR="00000000" w:rsidDel="00000000" w:rsidP="00000000" w:rsidRDefault="00000000" w:rsidRPr="00000000" w14:paraId="00000002">
      <w:pPr>
        <w:ind w:left="0" w:firstLine="0"/>
        <w:rPr>
          <w:sz w:val="28"/>
          <w:szCs w:val="28"/>
        </w:rPr>
      </w:pPr>
      <w:r w:rsidDel="00000000" w:rsidR="00000000" w:rsidRPr="00000000">
        <w:rPr>
          <w:sz w:val="28"/>
          <w:szCs w:val="28"/>
          <w:rtl w:val="0"/>
        </w:rPr>
        <w:t xml:space="preserve">Allison Bailey, Lizzy Schattle, Becca Reynolds</w:t>
      </w:r>
    </w:p>
    <w:p w:rsidR="00000000" w:rsidDel="00000000" w:rsidP="00000000" w:rsidRDefault="00000000" w:rsidRPr="00000000" w14:paraId="00000003">
      <w:pPr>
        <w:ind w:left="0" w:firstLine="0"/>
        <w:rPr>
          <w:b w:val="1"/>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sz w:val="24"/>
          <w:szCs w:val="24"/>
        </w:rPr>
      </w:pPr>
      <w:r w:rsidDel="00000000" w:rsidR="00000000" w:rsidRPr="00000000">
        <w:rPr>
          <w:b w:val="1"/>
          <w:sz w:val="24"/>
          <w:szCs w:val="24"/>
          <w:rtl w:val="0"/>
        </w:rPr>
        <w:t xml:space="preserve">App Summary:</w:t>
      </w:r>
    </w:p>
    <w:p w:rsidR="00000000" w:rsidDel="00000000" w:rsidP="00000000" w:rsidRDefault="00000000" w:rsidRPr="00000000" w14:paraId="00000005">
      <w:pPr>
        <w:ind w:left="0" w:firstLine="0"/>
        <w:rPr>
          <w:sz w:val="24"/>
          <w:szCs w:val="24"/>
        </w:rPr>
      </w:pPr>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sz w:val="24"/>
          <w:szCs w:val="24"/>
          <w:rtl w:val="0"/>
        </w:rPr>
        <w:t xml:space="preserve">This app will show landfill locations worldwide, waste use as a percentage of population and GDP by country, and sorted percentage of waste by country. SuperFund site data will be used to demonstrate communities that may be affected by harmful contamination as a result of landfill management. By visualizing the relationships between countries and waste, the app aims to show how specific countries are contributing to global waste and how this may affect public health. </w:t>
      </w:r>
    </w:p>
    <w:p w:rsidR="00000000" w:rsidDel="00000000" w:rsidP="00000000" w:rsidRDefault="00000000" w:rsidRPr="00000000" w14:paraId="00000007">
      <w:pPr>
        <w:ind w:left="0" w:firstLine="0"/>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sz w:val="24"/>
          <w:szCs w:val="24"/>
        </w:rPr>
      </w:pPr>
      <w:r w:rsidDel="00000000" w:rsidR="00000000" w:rsidRPr="00000000">
        <w:rPr>
          <w:b w:val="1"/>
          <w:sz w:val="24"/>
          <w:szCs w:val="24"/>
          <w:rtl w:val="0"/>
        </w:rPr>
        <w:t xml:space="preserve">Data: </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numPr>
          <w:ilvl w:val="0"/>
          <w:numId w:val="2"/>
        </w:numPr>
        <w:ind w:left="720" w:hanging="360"/>
        <w:rPr>
          <w:sz w:val="24"/>
          <w:szCs w:val="24"/>
        </w:rPr>
      </w:pPr>
      <w:hyperlink r:id="rId6">
        <w:r w:rsidDel="00000000" w:rsidR="00000000" w:rsidRPr="00000000">
          <w:rPr>
            <w:color w:val="0366d6"/>
            <w:sz w:val="24"/>
            <w:szCs w:val="24"/>
            <w:u w:val="single"/>
            <w:shd w:fill="f6f8fa" w:val="clear"/>
            <w:rtl w:val="0"/>
          </w:rPr>
          <w:t xml:space="preserve">Country_level_data_msw.csv</w:t>
        </w:r>
      </w:hyperlink>
      <w:r w:rsidDel="00000000" w:rsidR="00000000" w:rsidRPr="00000000">
        <w:rPr>
          <w:rtl w:val="0"/>
        </w:rPr>
      </w:r>
    </w:p>
    <w:p w:rsidR="00000000" w:rsidDel="00000000" w:rsidP="00000000" w:rsidRDefault="00000000" w:rsidRPr="00000000" w14:paraId="0000000B">
      <w:pPr>
        <w:numPr>
          <w:ilvl w:val="1"/>
          <w:numId w:val="2"/>
        </w:numPr>
        <w:ind w:left="1440" w:hanging="360"/>
        <w:rPr>
          <w:sz w:val="24"/>
          <w:szCs w:val="24"/>
        </w:rPr>
      </w:pPr>
      <w:r w:rsidDel="00000000" w:rsidR="00000000" w:rsidRPr="00000000">
        <w:rPr>
          <w:sz w:val="24"/>
          <w:szCs w:val="24"/>
          <w:rtl w:val="0"/>
        </w:rPr>
        <w:t xml:space="preserve">Variables: Country name, MSW composition percentage(Glass, Metal, Food, Plastic, etc), GDP, Population</w:t>
      </w:r>
    </w:p>
    <w:p w:rsidR="00000000" w:rsidDel="00000000" w:rsidP="00000000" w:rsidRDefault="00000000" w:rsidRPr="00000000" w14:paraId="0000000C">
      <w:pPr>
        <w:numPr>
          <w:ilvl w:val="1"/>
          <w:numId w:val="2"/>
        </w:numPr>
        <w:ind w:left="1440" w:hanging="360"/>
        <w:rPr>
          <w:sz w:val="24"/>
          <w:szCs w:val="24"/>
          <w:u w:val="none"/>
        </w:rPr>
      </w:pPr>
      <w:r w:rsidDel="00000000" w:rsidR="00000000" w:rsidRPr="00000000">
        <w:rPr>
          <w:sz w:val="24"/>
          <w:szCs w:val="24"/>
          <w:rtl w:val="0"/>
        </w:rPr>
        <w:t xml:space="preserve">Tidy Format: Yes</w:t>
      </w:r>
    </w:p>
    <w:p w:rsidR="00000000" w:rsidDel="00000000" w:rsidP="00000000" w:rsidRDefault="00000000" w:rsidRPr="00000000" w14:paraId="0000000D">
      <w:pPr>
        <w:numPr>
          <w:ilvl w:val="1"/>
          <w:numId w:val="2"/>
        </w:numPr>
        <w:ind w:left="1440" w:hanging="360"/>
        <w:rPr>
          <w:sz w:val="24"/>
          <w:szCs w:val="24"/>
          <w:u w:val="none"/>
        </w:rPr>
      </w:pPr>
      <w:r w:rsidDel="00000000" w:rsidR="00000000" w:rsidRPr="00000000">
        <w:rPr>
          <w:sz w:val="24"/>
          <w:szCs w:val="24"/>
          <w:rtl w:val="0"/>
        </w:rPr>
        <w:t xml:space="preserve">Observations: 218</w:t>
      </w:r>
    </w:p>
    <w:p w:rsidR="00000000" w:rsidDel="00000000" w:rsidP="00000000" w:rsidRDefault="00000000" w:rsidRPr="00000000" w14:paraId="0000000E">
      <w:pPr>
        <w:numPr>
          <w:ilvl w:val="0"/>
          <w:numId w:val="2"/>
        </w:numPr>
        <w:ind w:left="720" w:hanging="360"/>
        <w:rPr>
          <w:sz w:val="24"/>
          <w:szCs w:val="24"/>
        </w:rPr>
      </w:pPr>
      <w:hyperlink r:id="rId7">
        <w:r w:rsidDel="00000000" w:rsidR="00000000" w:rsidRPr="00000000">
          <w:rPr>
            <w:color w:val="0366d6"/>
            <w:sz w:val="24"/>
            <w:szCs w:val="24"/>
            <w:shd w:fill="f6f8fa" w:val="clear"/>
            <w:rtl w:val="0"/>
          </w:rPr>
          <w:t xml:space="preserve">Global_waste_index_2019.csv</w:t>
        </w:r>
      </w:hyperlink>
      <w:r w:rsidDel="00000000" w:rsidR="00000000" w:rsidRPr="00000000">
        <w:rPr>
          <w:rtl w:val="0"/>
        </w:rPr>
      </w:r>
    </w:p>
    <w:p w:rsidR="00000000" w:rsidDel="00000000" w:rsidP="00000000" w:rsidRDefault="00000000" w:rsidRPr="00000000" w14:paraId="0000000F">
      <w:pPr>
        <w:numPr>
          <w:ilvl w:val="1"/>
          <w:numId w:val="2"/>
        </w:numPr>
        <w:ind w:left="1440" w:hanging="360"/>
        <w:rPr>
          <w:sz w:val="24"/>
          <w:szCs w:val="24"/>
          <w:u w:val="none"/>
        </w:rPr>
      </w:pPr>
      <w:r w:rsidDel="00000000" w:rsidR="00000000" w:rsidRPr="00000000">
        <w:rPr>
          <w:sz w:val="24"/>
          <w:szCs w:val="24"/>
          <w:rtl w:val="0"/>
        </w:rPr>
        <w:t xml:space="preserve">Variables: country name, waste generated, annually per capita (kg), landfill, open dump, global index score</w:t>
      </w:r>
    </w:p>
    <w:p w:rsidR="00000000" w:rsidDel="00000000" w:rsidP="00000000" w:rsidRDefault="00000000" w:rsidRPr="00000000" w14:paraId="00000010">
      <w:pPr>
        <w:numPr>
          <w:ilvl w:val="1"/>
          <w:numId w:val="2"/>
        </w:numPr>
        <w:ind w:left="1440" w:hanging="360"/>
        <w:rPr>
          <w:sz w:val="24"/>
          <w:szCs w:val="24"/>
          <w:u w:val="none"/>
        </w:rPr>
      </w:pPr>
      <w:r w:rsidDel="00000000" w:rsidR="00000000" w:rsidRPr="00000000">
        <w:rPr>
          <w:sz w:val="24"/>
          <w:szCs w:val="24"/>
          <w:rtl w:val="0"/>
        </w:rPr>
        <w:t xml:space="preserve">Tidy Format: No</w:t>
      </w:r>
    </w:p>
    <w:p w:rsidR="00000000" w:rsidDel="00000000" w:rsidP="00000000" w:rsidRDefault="00000000" w:rsidRPr="00000000" w14:paraId="00000011">
      <w:pPr>
        <w:numPr>
          <w:ilvl w:val="1"/>
          <w:numId w:val="2"/>
        </w:numPr>
        <w:ind w:left="1440" w:hanging="360"/>
        <w:rPr>
          <w:sz w:val="24"/>
          <w:szCs w:val="24"/>
          <w:u w:val="none"/>
        </w:rPr>
      </w:pPr>
      <w:r w:rsidDel="00000000" w:rsidR="00000000" w:rsidRPr="00000000">
        <w:rPr>
          <w:sz w:val="24"/>
          <w:szCs w:val="24"/>
          <w:rtl w:val="0"/>
        </w:rPr>
        <w:t xml:space="preserve">Observations: 37</w:t>
      </w:r>
    </w:p>
    <w:p w:rsidR="00000000" w:rsidDel="00000000" w:rsidP="00000000" w:rsidRDefault="00000000" w:rsidRPr="00000000" w14:paraId="00000012">
      <w:pPr>
        <w:numPr>
          <w:ilvl w:val="0"/>
          <w:numId w:val="2"/>
        </w:numPr>
        <w:ind w:left="720" w:hanging="360"/>
        <w:rPr>
          <w:sz w:val="24"/>
          <w:szCs w:val="24"/>
        </w:rPr>
      </w:pPr>
      <w:hyperlink r:id="rId8">
        <w:r w:rsidDel="00000000" w:rsidR="00000000" w:rsidRPr="00000000">
          <w:rPr>
            <w:color w:val="0366d6"/>
            <w:sz w:val="24"/>
            <w:szCs w:val="24"/>
            <w:u w:val="single"/>
            <w:shd w:fill="f6f8fa" w:val="clear"/>
            <w:rtl w:val="0"/>
          </w:rPr>
          <w:t xml:space="preserve">Landfill.csv</w:t>
        </w:r>
      </w:hyperlink>
      <w:r w:rsidDel="00000000" w:rsidR="00000000" w:rsidRPr="00000000">
        <w:rPr>
          <w:rtl w:val="0"/>
        </w:rPr>
      </w:r>
    </w:p>
    <w:p w:rsidR="00000000" w:rsidDel="00000000" w:rsidP="00000000" w:rsidRDefault="00000000" w:rsidRPr="00000000" w14:paraId="00000013">
      <w:pPr>
        <w:numPr>
          <w:ilvl w:val="1"/>
          <w:numId w:val="2"/>
        </w:numPr>
        <w:ind w:left="1440" w:hanging="360"/>
        <w:rPr>
          <w:sz w:val="24"/>
          <w:szCs w:val="24"/>
          <w:u w:val="none"/>
        </w:rPr>
      </w:pPr>
      <w:r w:rsidDel="00000000" w:rsidR="00000000" w:rsidRPr="00000000">
        <w:rPr>
          <w:sz w:val="24"/>
          <w:szCs w:val="24"/>
          <w:rtl w:val="0"/>
        </w:rPr>
        <w:t xml:space="preserve">Variables: landfill name, city, state, lat/long, landfill status (open/closed), LFG collected, waste in place, ownership</w:t>
      </w:r>
    </w:p>
    <w:p w:rsidR="00000000" w:rsidDel="00000000" w:rsidP="00000000" w:rsidRDefault="00000000" w:rsidRPr="00000000" w14:paraId="00000014">
      <w:pPr>
        <w:numPr>
          <w:ilvl w:val="1"/>
          <w:numId w:val="2"/>
        </w:numPr>
        <w:ind w:left="1440" w:hanging="360"/>
        <w:rPr>
          <w:sz w:val="24"/>
          <w:szCs w:val="24"/>
          <w:u w:val="none"/>
        </w:rPr>
      </w:pPr>
      <w:r w:rsidDel="00000000" w:rsidR="00000000" w:rsidRPr="00000000">
        <w:rPr>
          <w:sz w:val="24"/>
          <w:szCs w:val="24"/>
          <w:rtl w:val="0"/>
        </w:rPr>
        <w:t xml:space="preserve">Tidy Format: No</w:t>
      </w:r>
    </w:p>
    <w:p w:rsidR="00000000" w:rsidDel="00000000" w:rsidP="00000000" w:rsidRDefault="00000000" w:rsidRPr="00000000" w14:paraId="00000015">
      <w:pPr>
        <w:numPr>
          <w:ilvl w:val="1"/>
          <w:numId w:val="2"/>
        </w:numPr>
        <w:ind w:left="1440" w:hanging="360"/>
        <w:rPr>
          <w:sz w:val="24"/>
          <w:szCs w:val="24"/>
          <w:u w:val="none"/>
        </w:rPr>
      </w:pPr>
      <w:r w:rsidDel="00000000" w:rsidR="00000000" w:rsidRPr="00000000">
        <w:rPr>
          <w:sz w:val="24"/>
          <w:szCs w:val="24"/>
          <w:rtl w:val="0"/>
        </w:rPr>
        <w:t xml:space="preserve">Observations: 3,364</w:t>
      </w:r>
    </w:p>
    <w:p w:rsidR="00000000" w:rsidDel="00000000" w:rsidP="00000000" w:rsidRDefault="00000000" w:rsidRPr="00000000" w14:paraId="00000016">
      <w:pPr>
        <w:numPr>
          <w:ilvl w:val="0"/>
          <w:numId w:val="2"/>
        </w:numPr>
        <w:ind w:left="720" w:hanging="360"/>
        <w:rPr>
          <w:sz w:val="24"/>
          <w:szCs w:val="24"/>
        </w:rPr>
      </w:pPr>
      <w:hyperlink r:id="rId9">
        <w:r w:rsidDel="00000000" w:rsidR="00000000" w:rsidRPr="00000000">
          <w:rPr>
            <w:color w:val="0366d6"/>
            <w:sz w:val="24"/>
            <w:szCs w:val="24"/>
            <w:u w:val="single"/>
            <w:shd w:fill="f6f8fa" w:val="clear"/>
            <w:rtl w:val="0"/>
          </w:rPr>
          <w:t xml:space="preserve">Superfund.csv</w:t>
        </w:r>
      </w:hyperlink>
      <w:r w:rsidDel="00000000" w:rsidR="00000000" w:rsidRPr="00000000">
        <w:rPr>
          <w:rtl w:val="0"/>
        </w:rPr>
      </w:r>
    </w:p>
    <w:p w:rsidR="00000000" w:rsidDel="00000000" w:rsidP="00000000" w:rsidRDefault="00000000" w:rsidRPr="00000000" w14:paraId="00000017">
      <w:pPr>
        <w:numPr>
          <w:ilvl w:val="1"/>
          <w:numId w:val="2"/>
        </w:numPr>
        <w:ind w:left="1440" w:hanging="360"/>
        <w:rPr>
          <w:sz w:val="24"/>
          <w:szCs w:val="24"/>
          <w:u w:val="none"/>
        </w:rPr>
      </w:pPr>
      <w:r w:rsidDel="00000000" w:rsidR="00000000" w:rsidRPr="00000000">
        <w:rPr>
          <w:sz w:val="24"/>
          <w:szCs w:val="24"/>
          <w:rtl w:val="0"/>
        </w:rPr>
        <w:t xml:space="preserve">Variables: site name, city, state, zip code, site type, native american interest, site status, human exposure, groundwater, etc</w:t>
      </w:r>
    </w:p>
    <w:p w:rsidR="00000000" w:rsidDel="00000000" w:rsidP="00000000" w:rsidRDefault="00000000" w:rsidRPr="00000000" w14:paraId="00000018">
      <w:pPr>
        <w:numPr>
          <w:ilvl w:val="1"/>
          <w:numId w:val="2"/>
        </w:numPr>
        <w:ind w:left="1440" w:hanging="360"/>
        <w:rPr>
          <w:sz w:val="24"/>
          <w:szCs w:val="24"/>
          <w:u w:val="none"/>
        </w:rPr>
      </w:pPr>
      <w:r w:rsidDel="00000000" w:rsidR="00000000" w:rsidRPr="00000000">
        <w:rPr>
          <w:sz w:val="24"/>
          <w:szCs w:val="24"/>
          <w:rtl w:val="0"/>
        </w:rPr>
        <w:t xml:space="preserve">Tidy Format: No</w:t>
      </w:r>
    </w:p>
    <w:p w:rsidR="00000000" w:rsidDel="00000000" w:rsidP="00000000" w:rsidRDefault="00000000" w:rsidRPr="00000000" w14:paraId="00000019">
      <w:pPr>
        <w:numPr>
          <w:ilvl w:val="1"/>
          <w:numId w:val="2"/>
        </w:numPr>
        <w:ind w:left="1440" w:hanging="360"/>
        <w:rPr>
          <w:sz w:val="24"/>
          <w:szCs w:val="24"/>
          <w:u w:val="none"/>
        </w:rPr>
      </w:pPr>
      <w:r w:rsidDel="00000000" w:rsidR="00000000" w:rsidRPr="00000000">
        <w:rPr>
          <w:sz w:val="24"/>
          <w:szCs w:val="24"/>
          <w:rtl w:val="0"/>
        </w:rPr>
        <w:t xml:space="preserve">Observations: 13,000</w:t>
      </w: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b w:val="1"/>
          <w:sz w:val="24"/>
          <w:szCs w:val="24"/>
          <w:u w:val="none"/>
        </w:rPr>
      </w:pPr>
      <w:r w:rsidDel="00000000" w:rsidR="00000000" w:rsidRPr="00000000">
        <w:rPr>
          <w:b w:val="1"/>
          <w:sz w:val="24"/>
          <w:szCs w:val="24"/>
          <w:rtl w:val="0"/>
        </w:rPr>
        <w:t xml:space="preserve">Citations: </w:t>
      </w:r>
    </w:p>
    <w:p w:rsidR="00000000" w:rsidDel="00000000" w:rsidP="00000000" w:rsidRDefault="00000000" w:rsidRPr="00000000" w14:paraId="0000001C">
      <w:pPr>
        <w:ind w:left="0" w:firstLine="0"/>
        <w:rPr>
          <w:b w:val="1"/>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Kaza, Silpa; Yao, Lisa C.; Bhada-Tata, Perinaz; Van Woerden, Frank. 2018. What a Waste 2.0 : A Global Snapshot of Solid Waste Management to 2050. Urban Development;. Washington, DC: World Bank. © World Bank. https://openknowledge.worldbank.org/handle/10986/30317 License: CC BY 3.0 IGO.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“References,” Sensoneo. [Online]. Available:</w:t>
      </w:r>
      <w:hyperlink r:id="rId10">
        <w:r w:rsidDel="00000000" w:rsidR="00000000" w:rsidRPr="00000000">
          <w:rPr>
            <w:color w:val="1155cc"/>
            <w:u w:val="single"/>
            <w:rtl w:val="0"/>
          </w:rPr>
          <w:t xml:space="preserve"> https://sensoneo.com/references/</w:t>
        </w:r>
      </w:hyperlink>
      <w:r w:rsidDel="00000000" w:rsidR="00000000" w:rsidRPr="00000000">
        <w:rPr>
          <w:rtl w:val="0"/>
        </w:rPr>
        <w:t xml:space="preserve">. [Accessed: 03-Feb-2020].</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ind w:left="0" w:firstLine="0"/>
        <w:rPr>
          <w:color w:val="1155cc"/>
          <w:u w:val="single"/>
        </w:rPr>
      </w:pPr>
      <w:r w:rsidDel="00000000" w:rsidR="00000000" w:rsidRPr="00000000">
        <w:rPr>
          <w:i w:val="1"/>
          <w:rtl w:val="0"/>
        </w:rPr>
        <w:t xml:space="preserve">Search Superfund Site Information</w:t>
      </w:r>
      <w:r w:rsidDel="00000000" w:rsidR="00000000" w:rsidRPr="00000000">
        <w:rPr>
          <w:rtl w:val="0"/>
        </w:rPr>
        <w:t xml:space="preserve">. (n.d.). Retrieved February 3, 2020, from</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https://cumulis.epa.gov/supercpad/CurSites/srchrslt.cfm?start=1</w:t>
        </w:r>
      </w:hyperlink>
      <w:r w:rsidDel="00000000" w:rsidR="00000000" w:rsidRPr="00000000">
        <w:rPr>
          <w:rtl w:val="0"/>
        </w:rPr>
      </w:r>
    </w:p>
    <w:p w:rsidR="00000000" w:rsidDel="00000000" w:rsidP="00000000" w:rsidRDefault="00000000" w:rsidRPr="00000000" w14:paraId="00000022">
      <w:pPr>
        <w:spacing w:line="240" w:lineRule="auto"/>
        <w:ind w:left="0" w:firstLine="0"/>
        <w:rPr>
          <w:color w:val="1155cc"/>
          <w:u w:val="single"/>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t xml:space="preserve">We have a question regarding how to properly cite the last two sources. There is no main “citation” listed for either source, instead there are references to other websites without citations. WWAD?</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rPr>
          <w:b w:val="1"/>
          <w:sz w:val="24"/>
          <w:szCs w:val="24"/>
        </w:rPr>
      </w:pPr>
      <w:r w:rsidDel="00000000" w:rsidR="00000000" w:rsidRPr="00000000">
        <w:rPr>
          <w:b w:val="1"/>
          <w:sz w:val="24"/>
          <w:szCs w:val="24"/>
          <w:rtl w:val="0"/>
        </w:rPr>
        <w:t xml:space="preserve">Widgets &amp; Outputs:</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Widget/Output 1: </w:t>
      </w:r>
    </w:p>
    <w:p w:rsidR="00000000" w:rsidDel="00000000" w:rsidP="00000000" w:rsidRDefault="00000000" w:rsidRPr="00000000" w14:paraId="00000028">
      <w:pPr>
        <w:rPr>
          <w:sz w:val="24"/>
          <w:szCs w:val="24"/>
        </w:rPr>
      </w:pPr>
      <w:r w:rsidDel="00000000" w:rsidR="00000000" w:rsidRPr="00000000">
        <w:rPr>
          <w:sz w:val="24"/>
          <w:szCs w:val="24"/>
          <w:rtl w:val="0"/>
        </w:rPr>
        <w:t xml:space="preserve">We’ll have a world map showing all the open and closed landfills. The widget will involve using a select box to choose a country in the world or state in the U.S. as inputs. The outputs will snap to a map of the selected region and the landfills in that region.</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Widget/Output 2:</w:t>
      </w:r>
    </w:p>
    <w:p w:rsidR="00000000" w:rsidDel="00000000" w:rsidP="00000000" w:rsidRDefault="00000000" w:rsidRPr="00000000" w14:paraId="0000002B">
      <w:pPr>
        <w:rPr>
          <w:sz w:val="24"/>
          <w:szCs w:val="24"/>
        </w:rPr>
      </w:pPr>
      <w:r w:rsidDel="00000000" w:rsidR="00000000" w:rsidRPr="00000000">
        <w:rPr>
          <w:sz w:val="24"/>
          <w:szCs w:val="24"/>
          <w:rtl w:val="0"/>
        </w:rPr>
        <w:t xml:space="preserve">A check box for different waste products (compost, landfill, glass recycling, paper recycling, metal recycling, etc.), and a select box for the user's country and/or state of choice. The outputs will show an interactive graph of the total volume of selected waste products by that state/country in comparison with other countries/states that the user could specify (or none) compared to to the top global producers of those waste products.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Widget/Output 3:</w:t>
      </w:r>
    </w:p>
    <w:p w:rsidR="00000000" w:rsidDel="00000000" w:rsidP="00000000" w:rsidRDefault="00000000" w:rsidRPr="00000000" w14:paraId="0000002E">
      <w:pPr>
        <w:rPr>
          <w:sz w:val="24"/>
          <w:szCs w:val="24"/>
        </w:rPr>
      </w:pPr>
      <w:r w:rsidDel="00000000" w:rsidR="00000000" w:rsidRPr="00000000">
        <w:rPr>
          <w:sz w:val="24"/>
          <w:szCs w:val="24"/>
          <w:rtl w:val="0"/>
        </w:rPr>
        <w:t xml:space="preserve">A select box to choose a state on the map to bring up as an output. Users can then use a checkbox group to select different SuperFund site research topics to determine where these issues are occuring in their state of choice.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rPr>
          <w:b w:val="1"/>
          <w:sz w:val="24"/>
          <w:szCs w:val="24"/>
        </w:rPr>
      </w:pPr>
      <w:r w:rsidDel="00000000" w:rsidR="00000000" w:rsidRPr="00000000">
        <w:rPr>
          <w:b w:val="1"/>
          <w:sz w:val="24"/>
          <w:szCs w:val="24"/>
          <w:rtl w:val="0"/>
        </w:rPr>
        <w:t xml:space="preserve">Sketch Your User Interface: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Pr>
        <w:drawing>
          <wp:inline distB="114300" distT="114300" distL="114300" distR="114300">
            <wp:extent cx="6110288" cy="3440142"/>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110288" cy="3440142"/>
                    </a:xfrm>
                    <a:prstGeom prst="rect"/>
                    <a:ln/>
                  </pic:spPr>
                </pic:pic>
              </a:graphicData>
            </a:graphic>
          </wp:inline>
        </w:drawing>
      </w:r>
      <w:r w:rsidDel="00000000" w:rsidR="00000000" w:rsidRPr="00000000">
        <w:rPr>
          <w:sz w:val="24"/>
          <w:szCs w:val="24"/>
        </w:rPr>
        <w:drawing>
          <wp:inline distB="114300" distT="114300" distL="114300" distR="114300">
            <wp:extent cx="6138863" cy="3452504"/>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138863" cy="345250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6043613" cy="340796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043613" cy="340796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umulis.epa.gov/supercpad/CurSites/srchrslt.cfm?start=1" TargetMode="External"/><Relationship Id="rId10" Type="http://schemas.openxmlformats.org/officeDocument/2006/relationships/hyperlink" Target="https://sensoneo.com/references/" TargetMode="External"/><Relationship Id="rId13" Type="http://schemas.openxmlformats.org/officeDocument/2006/relationships/image" Target="media/image2.png"/><Relationship Id="rId12" Type="http://schemas.openxmlformats.org/officeDocument/2006/relationships/hyperlink" Target="https://cumulis.epa.gov/supercpad/CurSites/srchrslt.cfm?start=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eccareynolds/esm_244_term_project_1/blob/master/superfund.csv" TargetMode="External"/><Relationship Id="rId15"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beccareynolds/esm_244_term_project_1/blob/master/country_level_data_msw.csv" TargetMode="External"/><Relationship Id="rId7" Type="http://schemas.openxmlformats.org/officeDocument/2006/relationships/hyperlink" Target="https://github.com/beccareynolds/esm_244_term_project_1/blob/master/global_waste_index_2019.csv" TargetMode="External"/><Relationship Id="rId8" Type="http://schemas.openxmlformats.org/officeDocument/2006/relationships/hyperlink" Target="https://github.com/beccareynolds/esm_244_term_project_1/blob/master/landfill.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