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E9B99" w14:textId="77777777" w:rsidR="00802938" w:rsidRPr="00D4003C" w:rsidRDefault="00802938" w:rsidP="00802938">
      <w:r w:rsidRPr="00D4003C">
        <w:t>Analyzing violent crime rates in California from 2000 to 2013 reveals notable trends and regional disparities.</w:t>
      </w:r>
    </w:p>
    <w:p w14:paraId="79640BA1" w14:textId="77777777" w:rsidR="00802938" w:rsidRPr="00D4003C" w:rsidRDefault="00802938" w:rsidP="00802938">
      <w:r w:rsidRPr="00D4003C">
        <w:rPr>
          <w:b/>
          <w:bCs/>
        </w:rPr>
        <w:t>Question 1: Trends in Violent Crime Rates (2000–2013)</w:t>
      </w:r>
    </w:p>
    <w:p w14:paraId="0E1F1188" w14:textId="77777777" w:rsidR="00802938" w:rsidRPr="00D4003C" w:rsidRDefault="00802938" w:rsidP="00802938">
      <w:r w:rsidRPr="00D4003C">
        <w:t xml:space="preserve">From 2000 to 2013, California experienced a general decline in violent crime rates. In 2000, the state reported 621.56 violent crimes per 100,000 residents. By 2013, this number decreased to 402.64 per 100,000 residents, marking a significant reduction over the 13-year period. </w:t>
      </w:r>
    </w:p>
    <w:p w14:paraId="46A32683" w14:textId="77777777" w:rsidR="00FC7DB1" w:rsidRPr="00D4003C" w:rsidRDefault="00802938" w:rsidP="00802938">
      <w:pPr>
        <w:rPr>
          <w:lang w:val="en-US"/>
        </w:rPr>
      </w:pPr>
      <w:hyperlink r:id="rId5" w:tgtFrame="_blank" w:history="1">
        <w:r w:rsidRPr="00D4003C">
          <w:rPr>
            <w:rStyle w:val="Hyperlink"/>
          </w:rPr>
          <w:t>MacroTrends</w:t>
        </w:r>
      </w:hyperlink>
    </w:p>
    <w:p w14:paraId="16BCEE84" w14:textId="06109EA7" w:rsidR="00802938" w:rsidRPr="00D4003C" w:rsidRDefault="00802938" w:rsidP="00802938">
      <w:r w:rsidRPr="00D4003C">
        <w:t>Several factors contributed to this decline:</w:t>
      </w:r>
    </w:p>
    <w:p w14:paraId="6916EBBB" w14:textId="77777777" w:rsidR="00802938" w:rsidRPr="00D4003C" w:rsidRDefault="00802938" w:rsidP="00802938">
      <w:pPr>
        <w:numPr>
          <w:ilvl w:val="0"/>
          <w:numId w:val="1"/>
        </w:numPr>
      </w:pPr>
      <w:r w:rsidRPr="00D4003C">
        <w:rPr>
          <w:b/>
          <w:bCs/>
        </w:rPr>
        <w:t>Economic Improvements</w:t>
      </w:r>
      <w:r w:rsidRPr="00D4003C">
        <w:t>: The early 2000s saw economic growth, which can reduce crime by addressing poverty and unemployment.</w:t>
      </w:r>
    </w:p>
    <w:p w14:paraId="2F5E6476" w14:textId="77777777" w:rsidR="00802938" w:rsidRPr="00D4003C" w:rsidRDefault="00802938" w:rsidP="00802938">
      <w:pPr>
        <w:numPr>
          <w:ilvl w:val="0"/>
          <w:numId w:val="1"/>
        </w:numPr>
      </w:pPr>
      <w:r w:rsidRPr="00D4003C">
        <w:rPr>
          <w:b/>
          <w:bCs/>
        </w:rPr>
        <w:t>Community Policing Initiatives</w:t>
      </w:r>
      <w:r w:rsidRPr="00D4003C">
        <w:t>: Law enforcement agencies implemented community policing strategies, fostering better relationships between police and communities, leading to more effective crime prevention.</w:t>
      </w:r>
    </w:p>
    <w:p w14:paraId="5340E28D" w14:textId="77777777" w:rsidR="00802938" w:rsidRPr="00D4003C" w:rsidRDefault="00802938" w:rsidP="00802938">
      <w:pPr>
        <w:numPr>
          <w:ilvl w:val="0"/>
          <w:numId w:val="1"/>
        </w:numPr>
      </w:pPr>
      <w:r w:rsidRPr="00D4003C">
        <w:rPr>
          <w:b/>
          <w:bCs/>
        </w:rPr>
        <w:t>Technological Advancements</w:t>
      </w:r>
      <w:r w:rsidRPr="00D4003C">
        <w:t>: The adoption of new technologies in law enforcement, such as improved data analysis and surveillance tools, enhanced crime detection and deterrence.</w:t>
      </w:r>
    </w:p>
    <w:p w14:paraId="3F45C129" w14:textId="4B3DD3F5" w:rsidR="00FC7DB1" w:rsidRPr="00D4003C" w:rsidRDefault="00FC7DB1" w:rsidP="00FC7DB1">
      <w:pPr>
        <w:pStyle w:val="ListParagraph"/>
        <w:numPr>
          <w:ilvl w:val="0"/>
          <w:numId w:val="1"/>
        </w:numPr>
        <w:spacing w:before="100" w:beforeAutospacing="1" w:after="100" w:afterAutospacing="1" w:line="240" w:lineRule="auto"/>
      </w:pPr>
      <w:r w:rsidRPr="00D4003C">
        <w:rPr>
          <w:b/>
          <w:bCs/>
        </w:rPr>
        <w:t xml:space="preserve">Overall Trends: </w:t>
      </w:r>
      <w:r w:rsidRPr="00D4003C">
        <w:t>Violent crime and property crime rates fell significantly during this period. For instance, the national violent crime rate dropped by about 26% between 2000 and 2012, while the property crime rate decreased by around 24% during the same timeframe. These declines were consistent with earlier reductions starting in the 1990s due to factors like improved policing methods, the waning of the crack cocaine epidemic, and demographic shifts, particularly the aging population</w:t>
      </w:r>
      <w:r w:rsidRPr="00D4003C">
        <w:rPr>
          <w:rFonts w:ascii="Arial" w:hAnsi="Arial" w:cs="Arial"/>
        </w:rPr>
        <w:t>​</w:t>
      </w:r>
    </w:p>
    <w:p w14:paraId="59404C7E" w14:textId="77777777" w:rsidR="00FC7DB1" w:rsidRPr="00D4003C" w:rsidRDefault="00FC7DB1" w:rsidP="00FC7DB1">
      <w:pPr>
        <w:pStyle w:val="ListParagraph"/>
        <w:spacing w:before="100" w:beforeAutospacing="1" w:after="100" w:afterAutospacing="1" w:line="240" w:lineRule="auto"/>
      </w:pPr>
    </w:p>
    <w:p w14:paraId="6C3ECCE9" w14:textId="47C1191E" w:rsidR="00FC7DB1" w:rsidRPr="00D4003C" w:rsidRDefault="00FC7DB1" w:rsidP="00FC7DB1">
      <w:pPr>
        <w:pStyle w:val="ListParagraph"/>
        <w:numPr>
          <w:ilvl w:val="0"/>
          <w:numId w:val="1"/>
        </w:numPr>
        <w:spacing w:after="0" w:line="240" w:lineRule="auto"/>
      </w:pPr>
      <w:r w:rsidRPr="00D4003C">
        <w:rPr>
          <w:rFonts w:eastAsia="Times New Roman" w:cs="Times New Roman"/>
          <w:kern w:val="0"/>
          <w:lang w:val="en-US"/>
          <w14:ligatures w14:val="none"/>
        </w:rPr>
        <w:t xml:space="preserve"> </w:t>
      </w:r>
      <w:r w:rsidRPr="00D4003C">
        <w:rPr>
          <w:b/>
          <w:bCs/>
        </w:rPr>
        <w:t xml:space="preserve">Regional Variations: </w:t>
      </w:r>
      <w:r w:rsidRPr="00D4003C">
        <w:t>Despite the overall decline, certain areas experienced persistent high crime rates, especially in disadvantaged urban neighborhoods. For example, in Chicago, violent crimes like homicide remained concentrated in economically struggling areas such as the South and West sides, reflecting entrenched social inequalities</w:t>
      </w:r>
      <w:r w:rsidRPr="00D4003C">
        <w:rPr>
          <w:rFonts w:ascii="Arial" w:hAnsi="Arial" w:cs="Arial"/>
        </w:rPr>
        <w:t>​</w:t>
      </w:r>
    </w:p>
    <w:p w14:paraId="57BA7796" w14:textId="77777777" w:rsidR="00FC7DB1" w:rsidRPr="00D4003C" w:rsidRDefault="00FC7DB1" w:rsidP="00FC7DB1">
      <w:pPr>
        <w:pStyle w:val="ListParagraph"/>
      </w:pPr>
    </w:p>
    <w:p w14:paraId="7F82CB34" w14:textId="77777777" w:rsidR="00FC7DB1" w:rsidRPr="00D4003C" w:rsidRDefault="00FC7DB1" w:rsidP="00FC7DB1">
      <w:pPr>
        <w:pStyle w:val="ListParagraph"/>
        <w:spacing w:after="0" w:line="240" w:lineRule="auto"/>
      </w:pPr>
    </w:p>
    <w:p w14:paraId="393D14CD" w14:textId="432C3548" w:rsidR="00FC7DB1" w:rsidRPr="00D4003C" w:rsidRDefault="00FC7DB1" w:rsidP="00FC7DB1">
      <w:pPr>
        <w:pStyle w:val="ListParagraph"/>
        <w:numPr>
          <w:ilvl w:val="0"/>
          <w:numId w:val="1"/>
        </w:numPr>
        <w:spacing w:before="100" w:beforeAutospacing="1" w:after="100" w:afterAutospacing="1" w:line="240" w:lineRule="auto"/>
      </w:pPr>
      <w:r w:rsidRPr="00D4003C">
        <w:rPr>
          <w:rFonts w:eastAsia="Times New Roman" w:cs="Times New Roman"/>
          <w:kern w:val="0"/>
          <w:lang w:val="en-US"/>
          <w14:ligatures w14:val="none"/>
        </w:rPr>
        <w:t xml:space="preserve"> </w:t>
      </w:r>
      <w:r w:rsidRPr="00D4003C">
        <w:rPr>
          <w:b/>
          <w:bCs/>
        </w:rPr>
        <w:t xml:space="preserve">Socioeconomic Influences: </w:t>
      </w:r>
      <w:r w:rsidRPr="00D4003C">
        <w:t>Factors such as poverty, unemployment, and urban density played a significant role in shaping crime trends. Economic hardships during the Great Recession (2007–2009) did not reverse the downward trajectory of crime but likely influenced localized crime spikes</w:t>
      </w:r>
      <w:r w:rsidRPr="00D4003C">
        <w:rPr>
          <w:rFonts w:ascii="Arial" w:hAnsi="Arial" w:cs="Arial"/>
        </w:rPr>
        <w:t>​</w:t>
      </w:r>
    </w:p>
    <w:p w14:paraId="0A3526CC" w14:textId="77777777" w:rsidR="00FC7DB1" w:rsidRPr="00D4003C" w:rsidRDefault="00FC7DB1" w:rsidP="00FC7DB1">
      <w:pPr>
        <w:pStyle w:val="ListParagraph"/>
        <w:spacing w:before="100" w:beforeAutospacing="1" w:after="100" w:afterAutospacing="1" w:line="240" w:lineRule="auto"/>
      </w:pPr>
    </w:p>
    <w:p w14:paraId="037195AF" w14:textId="16B114A5" w:rsidR="00FC7DB1" w:rsidRPr="00D4003C" w:rsidRDefault="00FC7DB1" w:rsidP="00FC7DB1">
      <w:pPr>
        <w:pStyle w:val="ListParagraph"/>
        <w:numPr>
          <w:ilvl w:val="0"/>
          <w:numId w:val="1"/>
        </w:numPr>
        <w:spacing w:before="100" w:beforeAutospacing="1" w:after="100" w:afterAutospacing="1" w:line="240" w:lineRule="auto"/>
      </w:pPr>
      <w:r w:rsidRPr="00D4003C">
        <w:rPr>
          <w:b/>
          <w:bCs/>
        </w:rPr>
        <w:lastRenderedPageBreak/>
        <w:t>Policy and Law Enforcement Changes:</w:t>
      </w:r>
      <w:r w:rsidRPr="00D4003C">
        <w:rPr>
          <w:rFonts w:eastAsia="Times New Roman" w:cs="Times New Roman"/>
          <w:kern w:val="0"/>
          <w:lang w:val="en-US"/>
          <w14:ligatures w14:val="none"/>
        </w:rPr>
        <w:t xml:space="preserve"> </w:t>
      </w:r>
      <w:r w:rsidRPr="00D4003C">
        <w:t>Community policing, stricter sentencing laws, and increased incarceration rates contributed to reducing crime in some areas. However, these strategies were controversial due to concerns about mass incarceration and racial disparities in the criminal justice system</w:t>
      </w:r>
      <w:r w:rsidRPr="00D4003C">
        <w:rPr>
          <w:rFonts w:ascii="Arial" w:hAnsi="Arial" w:cs="Arial"/>
        </w:rPr>
        <w:t>​</w:t>
      </w:r>
    </w:p>
    <w:p w14:paraId="17909B6C" w14:textId="77777777" w:rsidR="00FC7DB1" w:rsidRPr="00D4003C" w:rsidRDefault="00FC7DB1" w:rsidP="00FC7DB1">
      <w:pPr>
        <w:spacing w:before="100" w:beforeAutospacing="1" w:after="100" w:afterAutospacing="1" w:line="240" w:lineRule="auto"/>
        <w:rPr>
          <w:lang w:val="en-US"/>
        </w:rPr>
      </w:pPr>
    </w:p>
    <w:p w14:paraId="5DAD4BC7" w14:textId="3A50504E" w:rsidR="00FC7DB1" w:rsidRPr="00D4003C" w:rsidRDefault="00FC7DB1" w:rsidP="00FC7DB1">
      <w:pPr>
        <w:pStyle w:val="ListParagraph"/>
        <w:numPr>
          <w:ilvl w:val="0"/>
          <w:numId w:val="1"/>
        </w:numPr>
        <w:spacing w:after="0" w:line="240" w:lineRule="auto"/>
      </w:pPr>
      <w:r w:rsidRPr="00D4003C">
        <w:rPr>
          <w:b/>
          <w:bCs/>
        </w:rPr>
        <w:t xml:space="preserve">Public Perceptions vs. Reality: </w:t>
      </w:r>
      <w:r w:rsidRPr="00D4003C">
        <w:t>Interestingly, public perception often did not align with data. Many Americans believed crime was increasing, even as official statistics indicated the opposite</w:t>
      </w:r>
      <w:r w:rsidRPr="00D4003C">
        <w:rPr>
          <w:rFonts w:ascii="Arial" w:hAnsi="Arial" w:cs="Arial"/>
        </w:rPr>
        <w:t>​</w:t>
      </w:r>
    </w:p>
    <w:p w14:paraId="0DEE27F6" w14:textId="661DAA22" w:rsidR="00FC7DB1" w:rsidRPr="00D4003C" w:rsidRDefault="00FC7DB1" w:rsidP="00FC7DB1">
      <w:pPr>
        <w:pStyle w:val="ListParagraph"/>
        <w:numPr>
          <w:ilvl w:val="0"/>
          <w:numId w:val="1"/>
        </w:numPr>
        <w:spacing w:after="0" w:line="240" w:lineRule="auto"/>
        <w:rPr>
          <w:rFonts w:eastAsia="Times New Roman" w:cs="Times New Roman"/>
          <w:kern w:val="0"/>
          <w:lang w:val="en-US"/>
          <w14:ligatures w14:val="none"/>
        </w:rPr>
      </w:pPr>
      <w:hyperlink r:id="rId6" w:tgtFrame="_blank" w:history="1">
        <w:r w:rsidRPr="00D4003C">
          <w:rPr>
            <w:rFonts w:eastAsia="Times New Roman" w:cs="Times New Roman"/>
            <w:color w:val="0000FF"/>
            <w:kern w:val="0"/>
            <w:u w:val="single"/>
            <w:lang w:val="en-US"/>
            <w14:ligatures w14:val="none"/>
          </w:rPr>
          <w:t>Pew Research Center</w:t>
        </w:r>
      </w:hyperlink>
      <w:r w:rsidRPr="00D4003C">
        <w:rPr>
          <w:rFonts w:eastAsia="Times New Roman" w:cs="Times New Roman"/>
          <w:kern w:val="0"/>
          <w:lang w:val="en-US"/>
          <w14:ligatures w14:val="none"/>
        </w:rPr>
        <w:t xml:space="preserve">  </w:t>
      </w:r>
      <w:hyperlink r:id="rId7" w:tgtFrame="_blank" w:history="1">
        <w:r w:rsidRPr="00D4003C">
          <w:rPr>
            <w:rFonts w:eastAsia="Times New Roman" w:cs="Times New Roman"/>
            <w:color w:val="0000FF"/>
            <w:kern w:val="0"/>
            <w:u w:val="single"/>
            <w:lang w:val="en-US"/>
            <w14:ligatures w14:val="none"/>
          </w:rPr>
          <w:t>Brennan Center for Justice</w:t>
        </w:r>
      </w:hyperlink>
      <w:r w:rsidRPr="00D4003C">
        <w:rPr>
          <w:rFonts w:eastAsia="Times New Roman" w:cs="Times New Roman"/>
          <w:kern w:val="0"/>
          <w:lang w:val="en-US"/>
          <w14:ligatures w14:val="none"/>
        </w:rPr>
        <w:t xml:space="preserve">  </w:t>
      </w:r>
      <w:hyperlink r:id="rId8" w:tgtFrame="_blank" w:history="1">
        <w:r w:rsidRPr="00D4003C">
          <w:rPr>
            <w:rFonts w:eastAsia="Times New Roman" w:cs="Times New Roman"/>
            <w:color w:val="0000FF"/>
            <w:kern w:val="0"/>
            <w:u w:val="single"/>
            <w:lang w:val="en-US"/>
            <w14:ligatures w14:val="none"/>
          </w:rPr>
          <w:t>ISPS</w:t>
        </w:r>
      </w:hyperlink>
    </w:p>
    <w:p w14:paraId="6B354707" w14:textId="77777777" w:rsidR="00FC7DB1" w:rsidRPr="00D4003C" w:rsidRDefault="00FC7DB1" w:rsidP="00FC7DB1">
      <w:pPr>
        <w:pStyle w:val="ListParagraph"/>
        <w:spacing w:after="0" w:line="240" w:lineRule="auto"/>
        <w:rPr>
          <w:rFonts w:eastAsia="Times New Roman" w:cs="Times New Roman"/>
          <w:kern w:val="0"/>
          <w:lang w:val="en-US"/>
          <w14:ligatures w14:val="none"/>
        </w:rPr>
      </w:pPr>
    </w:p>
    <w:p w14:paraId="7B401356" w14:textId="77777777" w:rsidR="00802938" w:rsidRPr="00D4003C" w:rsidRDefault="00802938" w:rsidP="00802938">
      <w:r w:rsidRPr="00D4003C">
        <w:rPr>
          <w:b/>
          <w:bCs/>
        </w:rPr>
        <w:t>Question 2: Regional Variations in Crime Types</w:t>
      </w:r>
    </w:p>
    <w:p w14:paraId="6432BB75" w14:textId="0F404371" w:rsidR="00802938" w:rsidRPr="00D4003C" w:rsidRDefault="00802938" w:rsidP="00802938">
      <w:r w:rsidRPr="00D4003C">
        <w:t>Crime rates varied across California's counties, influenced by factors like population density, socioeconomic conditions, and local law enforcement practices.</w:t>
      </w:r>
    </w:p>
    <w:p w14:paraId="094E6308" w14:textId="77777777" w:rsidR="00802938" w:rsidRPr="00D4003C" w:rsidRDefault="00802938" w:rsidP="00802938">
      <w:pPr>
        <w:numPr>
          <w:ilvl w:val="0"/>
          <w:numId w:val="2"/>
        </w:numPr>
      </w:pPr>
      <w:r w:rsidRPr="00D4003C">
        <w:rPr>
          <w:b/>
          <w:bCs/>
        </w:rPr>
        <w:t>Los Angeles County</w:t>
      </w:r>
      <w:r w:rsidRPr="00D4003C">
        <w:t xml:space="preserve">: As the most populous county, Los Angeles often reported higher absolute numbers of violent crimes. However, when adjusted for population size, its crime rate was comparable to other urban areas. In 2013, Los Angeles had 348 homicides, a significant decrease from previous decades. </w:t>
      </w:r>
    </w:p>
    <w:p w14:paraId="1F39D01F" w14:textId="77777777" w:rsidR="00802938" w:rsidRPr="00D4003C" w:rsidRDefault="00802938" w:rsidP="00802938">
      <w:hyperlink r:id="rId9" w:tgtFrame="_blank" w:history="1">
        <w:r w:rsidRPr="00D4003C">
          <w:rPr>
            <w:rStyle w:val="Hyperlink"/>
          </w:rPr>
          <w:t>Wikipedia</w:t>
        </w:r>
      </w:hyperlink>
    </w:p>
    <w:p w14:paraId="07F2012B" w14:textId="77777777" w:rsidR="00802938" w:rsidRPr="00D4003C" w:rsidRDefault="00802938" w:rsidP="00802938">
      <w:pPr>
        <w:numPr>
          <w:ilvl w:val="0"/>
          <w:numId w:val="2"/>
        </w:numPr>
      </w:pPr>
      <w:r w:rsidRPr="00D4003C">
        <w:rPr>
          <w:b/>
          <w:bCs/>
        </w:rPr>
        <w:t>San Francisco Bay Area</w:t>
      </w:r>
      <w:r w:rsidRPr="00D4003C">
        <w:t xml:space="preserve">: This region experienced a higher property crime rate, with 3,167 property crimes per 100,000 residents in 2023. </w:t>
      </w:r>
    </w:p>
    <w:p w14:paraId="6A23822B" w14:textId="77777777" w:rsidR="00802938" w:rsidRPr="00D4003C" w:rsidRDefault="00802938" w:rsidP="00802938">
      <w:hyperlink r:id="rId10" w:tgtFrame="_blank" w:history="1">
        <w:r w:rsidRPr="00D4003C">
          <w:rPr>
            <w:rStyle w:val="Hyperlink"/>
          </w:rPr>
          <w:t>Public Policy Institute of California</w:t>
        </w:r>
      </w:hyperlink>
    </w:p>
    <w:p w14:paraId="6F45AA9F" w14:textId="77777777" w:rsidR="00802938" w:rsidRPr="00D4003C" w:rsidRDefault="00802938" w:rsidP="00802938">
      <w:r w:rsidRPr="00D4003C">
        <w:t>These variations can be attributed to differences in urbanization, economic conditions, and community engagement strategies.</w:t>
      </w:r>
    </w:p>
    <w:p w14:paraId="5EAF9164" w14:textId="77777777" w:rsidR="00802938" w:rsidRPr="00D4003C" w:rsidRDefault="00802938" w:rsidP="00802938">
      <w:r w:rsidRPr="00D4003C">
        <w:rPr>
          <w:b/>
          <w:bCs/>
        </w:rPr>
        <w:t>Question 3: Northern vs. Southern California Crime Rates</w:t>
      </w:r>
    </w:p>
    <w:p w14:paraId="10699E4B" w14:textId="77777777" w:rsidR="00802938" w:rsidRPr="00D4003C" w:rsidRDefault="00802938" w:rsidP="00802938">
      <w:r w:rsidRPr="00D4003C">
        <w:t xml:space="preserve">Historically, Southern California, particularly Los Angeles, has had higher crime rates compared to Northern California. In 2013, Los Angeles reported 348 homicides, while San Francisco had 45. </w:t>
      </w:r>
    </w:p>
    <w:p w14:paraId="3EEA6B7A" w14:textId="77777777" w:rsidR="00802938" w:rsidRPr="00D4003C" w:rsidRDefault="00802938" w:rsidP="00802938">
      <w:hyperlink r:id="rId11" w:tgtFrame="_blank" w:history="1">
        <w:r w:rsidRPr="00D4003C">
          <w:rPr>
            <w:rStyle w:val="Hyperlink"/>
          </w:rPr>
          <w:t>Wikipedia</w:t>
        </w:r>
      </w:hyperlink>
    </w:p>
    <w:p w14:paraId="422A050E" w14:textId="77777777" w:rsidR="00802938" w:rsidRPr="00D4003C" w:rsidRDefault="00802938" w:rsidP="00802938">
      <w:pPr>
        <w:rPr>
          <w:lang w:val="en-US"/>
        </w:rPr>
      </w:pPr>
      <w:r w:rsidRPr="00D4003C">
        <w:t>Contributing factors include:</w:t>
      </w:r>
    </w:p>
    <w:p w14:paraId="47E5CD47" w14:textId="2FA56D6D" w:rsidR="00D4003C" w:rsidRPr="00D4003C" w:rsidRDefault="00D4003C" w:rsidP="00D4003C">
      <w:pPr>
        <w:pStyle w:val="ListParagraph"/>
        <w:numPr>
          <w:ilvl w:val="0"/>
          <w:numId w:val="4"/>
        </w:numPr>
        <w:spacing w:before="100" w:beforeAutospacing="1" w:after="100" w:afterAutospacing="1" w:line="240" w:lineRule="auto"/>
        <w:rPr>
          <w:rFonts w:eastAsia="Times New Roman" w:cs="Times New Roman"/>
          <w:kern w:val="0"/>
          <w:lang w:val="en-US"/>
          <w14:ligatures w14:val="none"/>
        </w:rPr>
      </w:pPr>
      <w:r w:rsidRPr="00D4003C">
        <w:rPr>
          <w:rFonts w:eastAsia="Times New Roman" w:cs="Times New Roman"/>
          <w:b/>
          <w:bCs/>
          <w:kern w:val="0"/>
          <w:lang w:val="en-US"/>
          <w14:ligatures w14:val="none"/>
        </w:rPr>
        <w:t>Population Density</w:t>
      </w:r>
      <w:r w:rsidRPr="00D4003C">
        <w:rPr>
          <w:rFonts w:eastAsia="Times New Roman" w:cs="Times New Roman"/>
          <w:kern w:val="0"/>
          <w:lang w:val="en-US"/>
          <w14:ligatures w14:val="none"/>
        </w:rPr>
        <w:t xml:space="preserve">: Southern California, particularly Los Angeles and surrounding areas, has much higher population density compared to Northern California. Larger </w:t>
      </w:r>
      <w:r w:rsidRPr="00D4003C">
        <w:rPr>
          <w:rFonts w:eastAsia="Times New Roman" w:cs="Times New Roman"/>
          <w:kern w:val="0"/>
          <w:lang w:val="en-US"/>
          <w14:ligatures w14:val="none"/>
        </w:rPr>
        <w:lastRenderedPageBreak/>
        <w:t>urban areas often correlate with higher crime rates due to increased opportunities for crime and socioeconomic challenges</w:t>
      </w:r>
      <w:r w:rsidRPr="00D4003C">
        <w:rPr>
          <w:rFonts w:ascii="Arial" w:eastAsia="Times New Roman" w:hAnsi="Arial" w:cs="Arial"/>
          <w:kern w:val="0"/>
          <w:lang w:val="en-US"/>
          <w14:ligatures w14:val="none"/>
        </w:rPr>
        <w:t>​</w:t>
      </w:r>
      <w:r w:rsidRPr="00D4003C">
        <w:rPr>
          <w:rFonts w:eastAsia="Times New Roman" w:cs="Times New Roman"/>
          <w:kern w:val="0"/>
          <w:lang w:val="en-US"/>
          <w14:ligatures w14:val="none"/>
        </w:rPr>
        <w:t>.</w:t>
      </w:r>
    </w:p>
    <w:p w14:paraId="5600FF06" w14:textId="07AA0A61" w:rsidR="00D4003C" w:rsidRPr="00D4003C" w:rsidRDefault="00D4003C" w:rsidP="00D4003C">
      <w:pPr>
        <w:pStyle w:val="ListParagraph"/>
        <w:numPr>
          <w:ilvl w:val="0"/>
          <w:numId w:val="4"/>
        </w:numPr>
        <w:spacing w:before="100" w:beforeAutospacing="1" w:after="100" w:afterAutospacing="1" w:line="240" w:lineRule="auto"/>
        <w:rPr>
          <w:rFonts w:eastAsia="Times New Roman" w:cs="Times New Roman"/>
          <w:kern w:val="0"/>
          <w:lang w:val="en-US"/>
          <w14:ligatures w14:val="none"/>
        </w:rPr>
      </w:pPr>
      <w:r w:rsidRPr="00D4003C">
        <w:rPr>
          <w:rFonts w:eastAsia="Times New Roman" w:cs="Times New Roman"/>
          <w:b/>
          <w:bCs/>
          <w:kern w:val="0"/>
          <w:lang w:val="en-US"/>
          <w14:ligatures w14:val="none"/>
        </w:rPr>
        <w:t>Economic Disparities</w:t>
      </w:r>
      <w:r w:rsidRPr="00D4003C">
        <w:rPr>
          <w:rFonts w:eastAsia="Times New Roman" w:cs="Times New Roman"/>
          <w:kern w:val="0"/>
          <w:lang w:val="en-US"/>
          <w14:ligatures w14:val="none"/>
        </w:rPr>
        <w:t>: While Northern California, especially the Bay Area, has pockets of significant wealth due to the tech industry, Southern California has more densely populated lower-income neighborhoods. Economic inequality and poverty are known to influence crime rates</w:t>
      </w:r>
      <w:r w:rsidRPr="00D4003C">
        <w:rPr>
          <w:rFonts w:ascii="Arial" w:eastAsia="Times New Roman" w:hAnsi="Arial" w:cs="Arial"/>
          <w:kern w:val="0"/>
          <w:lang w:val="en-US"/>
          <w14:ligatures w14:val="none"/>
        </w:rPr>
        <w:t>​</w:t>
      </w:r>
    </w:p>
    <w:p w14:paraId="03012259" w14:textId="77777777" w:rsidR="00D4003C" w:rsidRPr="00D4003C" w:rsidRDefault="00D4003C" w:rsidP="00D4003C">
      <w:pPr>
        <w:pStyle w:val="ListParagraph"/>
        <w:spacing w:before="100" w:beforeAutospacing="1" w:after="100" w:afterAutospacing="1" w:line="240" w:lineRule="auto"/>
        <w:rPr>
          <w:rFonts w:eastAsia="Times New Roman" w:cs="Times New Roman"/>
          <w:kern w:val="0"/>
          <w:lang w:val="en-US"/>
          <w14:ligatures w14:val="none"/>
        </w:rPr>
      </w:pPr>
    </w:p>
    <w:p w14:paraId="0CEAB4A5" w14:textId="4F778F6A" w:rsidR="00D4003C" w:rsidRPr="00D4003C" w:rsidRDefault="00D4003C" w:rsidP="00D4003C">
      <w:pPr>
        <w:pStyle w:val="ListParagraph"/>
        <w:numPr>
          <w:ilvl w:val="0"/>
          <w:numId w:val="4"/>
        </w:numPr>
        <w:spacing w:before="100" w:beforeAutospacing="1" w:after="100" w:afterAutospacing="1" w:line="240" w:lineRule="auto"/>
        <w:rPr>
          <w:rFonts w:eastAsia="Times New Roman" w:cs="Times New Roman"/>
          <w:kern w:val="0"/>
          <w:lang w:val="en-US"/>
          <w14:ligatures w14:val="none"/>
        </w:rPr>
      </w:pPr>
      <w:r w:rsidRPr="00D4003C">
        <w:rPr>
          <w:rFonts w:eastAsia="Times New Roman" w:cs="Times New Roman"/>
          <w:kern w:val="0"/>
          <w:lang w:val="en-US"/>
          <w14:ligatures w14:val="none"/>
        </w:rPr>
        <w:t xml:space="preserve"> </w:t>
      </w:r>
      <w:r w:rsidRPr="00D4003C">
        <w:rPr>
          <w:rFonts w:eastAsia="Times New Roman" w:cs="Times New Roman"/>
          <w:b/>
          <w:bCs/>
          <w:kern w:val="0"/>
          <w:lang w:val="en-US"/>
          <w14:ligatures w14:val="none"/>
        </w:rPr>
        <w:t>Gang Activity</w:t>
      </w:r>
      <w:r w:rsidRPr="00D4003C">
        <w:rPr>
          <w:rFonts w:eastAsia="Times New Roman" w:cs="Times New Roman"/>
          <w:kern w:val="0"/>
          <w:lang w:val="en-US"/>
          <w14:ligatures w14:val="none"/>
        </w:rPr>
        <w:t>: Southern California has historically been a hotspot for gang activity, particularly in Los Angeles, which contributes to higher rates of violent crime such as homicide and assault. In contrast, Northern California sees less gang-related violence, although it does have some presence</w:t>
      </w:r>
    </w:p>
    <w:p w14:paraId="62D8304D" w14:textId="77777777" w:rsidR="00D4003C" w:rsidRPr="00D4003C" w:rsidRDefault="00D4003C" w:rsidP="00D4003C">
      <w:pPr>
        <w:pStyle w:val="ListParagraph"/>
        <w:rPr>
          <w:rFonts w:eastAsia="Times New Roman" w:cs="Times New Roman"/>
          <w:kern w:val="0"/>
          <w:lang w:val="en-US"/>
          <w14:ligatures w14:val="none"/>
        </w:rPr>
      </w:pPr>
    </w:p>
    <w:p w14:paraId="0C819906" w14:textId="77777777" w:rsidR="00D4003C" w:rsidRPr="00D4003C" w:rsidRDefault="00D4003C" w:rsidP="00D4003C">
      <w:pPr>
        <w:pStyle w:val="ListParagraph"/>
        <w:spacing w:before="100" w:beforeAutospacing="1" w:after="100" w:afterAutospacing="1" w:line="240" w:lineRule="auto"/>
        <w:rPr>
          <w:rFonts w:eastAsia="Times New Roman" w:cs="Times New Roman"/>
          <w:kern w:val="0"/>
          <w:lang w:val="en-US"/>
          <w14:ligatures w14:val="none"/>
        </w:rPr>
      </w:pPr>
    </w:p>
    <w:p w14:paraId="3906D838" w14:textId="77777777" w:rsidR="00D4003C" w:rsidRPr="00D4003C" w:rsidRDefault="00D4003C" w:rsidP="00D4003C">
      <w:pPr>
        <w:pStyle w:val="ListParagraph"/>
        <w:numPr>
          <w:ilvl w:val="0"/>
          <w:numId w:val="4"/>
        </w:numPr>
        <w:spacing w:before="100" w:beforeAutospacing="1" w:after="100" w:afterAutospacing="1" w:line="240" w:lineRule="auto"/>
        <w:rPr>
          <w:rFonts w:eastAsia="Times New Roman" w:cs="Times New Roman"/>
          <w:kern w:val="0"/>
          <w:lang w:val="en-US"/>
          <w14:ligatures w14:val="none"/>
        </w:rPr>
      </w:pPr>
      <w:r w:rsidRPr="00D4003C">
        <w:rPr>
          <w:rFonts w:eastAsia="Times New Roman" w:cs="Times New Roman"/>
          <w:b/>
          <w:bCs/>
          <w:kern w:val="0"/>
          <w:lang w:val="en-US"/>
          <w14:ligatures w14:val="none"/>
        </w:rPr>
        <w:t>Law Enforcement Strategies</w:t>
      </w:r>
      <w:r w:rsidRPr="00D4003C">
        <w:rPr>
          <w:rFonts w:eastAsia="Times New Roman" w:cs="Times New Roman"/>
          <w:kern w:val="0"/>
          <w:lang w:val="en-US"/>
          <w14:ligatures w14:val="none"/>
        </w:rPr>
        <w:t>: Policing and public safety policies vary across the state. Some Northern California cities have implemented community policing strategies that emphasize crime prevention and fostering community relationships. In Southern California, larger urban populations can strain law enforcement resources</w:t>
      </w:r>
      <w:r w:rsidRPr="00D4003C">
        <w:rPr>
          <w:rFonts w:ascii="Arial" w:eastAsia="Times New Roman" w:hAnsi="Arial" w:cs="Arial"/>
          <w:kern w:val="0"/>
          <w:lang w:val="en-US"/>
          <w14:ligatures w14:val="none"/>
        </w:rPr>
        <w:t>​</w:t>
      </w:r>
    </w:p>
    <w:p w14:paraId="3F9810FA" w14:textId="17BC9758" w:rsidR="00D4003C" w:rsidRPr="00D4003C" w:rsidRDefault="00D4003C" w:rsidP="00D4003C">
      <w:pPr>
        <w:pStyle w:val="ListParagraph"/>
        <w:spacing w:before="100" w:beforeAutospacing="1" w:after="100" w:afterAutospacing="1" w:line="240" w:lineRule="auto"/>
        <w:rPr>
          <w:rFonts w:eastAsia="Times New Roman" w:cs="Times New Roman"/>
          <w:kern w:val="0"/>
          <w:lang w:val="en-US"/>
          <w14:ligatures w14:val="none"/>
        </w:rPr>
      </w:pPr>
      <w:r w:rsidRPr="00D4003C">
        <w:rPr>
          <w:rFonts w:eastAsia="Times New Roman" w:cs="Times New Roman"/>
          <w:kern w:val="0"/>
          <w:lang w:val="en-US"/>
          <w14:ligatures w14:val="none"/>
        </w:rPr>
        <w:t>.</w:t>
      </w:r>
    </w:p>
    <w:p w14:paraId="47D028C0" w14:textId="7699C993" w:rsidR="00D4003C" w:rsidRPr="00D4003C" w:rsidRDefault="00D4003C" w:rsidP="00D4003C">
      <w:pPr>
        <w:pStyle w:val="ListParagraph"/>
        <w:numPr>
          <w:ilvl w:val="0"/>
          <w:numId w:val="4"/>
        </w:numPr>
        <w:spacing w:before="100" w:beforeAutospacing="1" w:after="100" w:afterAutospacing="1" w:line="240" w:lineRule="auto"/>
        <w:rPr>
          <w:rFonts w:eastAsia="Times New Roman" w:cs="Times New Roman"/>
          <w:kern w:val="0"/>
          <w:lang w:val="en-US"/>
          <w14:ligatures w14:val="none"/>
        </w:rPr>
      </w:pPr>
      <w:r w:rsidRPr="00D4003C">
        <w:rPr>
          <w:rFonts w:eastAsia="Times New Roman" w:cs="Times New Roman"/>
          <w:b/>
          <w:bCs/>
          <w:kern w:val="0"/>
          <w:lang w:val="en-US"/>
          <w14:ligatures w14:val="none"/>
        </w:rPr>
        <w:t>Cultural and Demographic Factors</w:t>
      </w:r>
      <w:r w:rsidRPr="00D4003C">
        <w:rPr>
          <w:rFonts w:eastAsia="Times New Roman" w:cs="Times New Roman"/>
          <w:kern w:val="0"/>
          <w:lang w:val="en-US"/>
          <w14:ligatures w14:val="none"/>
        </w:rPr>
        <w:t>: Differences in population demographics, cultural attitudes, and local governance also play a role in shaping crime trends. For example, Northern California tends to have a slightly older population and smaller urban centers, which can contribute to lower crime rates</w:t>
      </w:r>
      <w:r w:rsidRPr="00D4003C">
        <w:rPr>
          <w:rFonts w:ascii="Arial" w:eastAsia="Times New Roman" w:hAnsi="Arial" w:cs="Arial"/>
          <w:kern w:val="0"/>
          <w:lang w:val="en-US"/>
          <w14:ligatures w14:val="none"/>
        </w:rPr>
        <w:t>​</w:t>
      </w:r>
    </w:p>
    <w:p w14:paraId="2B4C0CC5" w14:textId="57754409" w:rsidR="00D4003C" w:rsidRPr="00D4003C" w:rsidRDefault="00D4003C" w:rsidP="00D4003C">
      <w:pPr>
        <w:ind w:left="360"/>
        <w:rPr>
          <w:lang w:val="en-US"/>
        </w:rPr>
      </w:pPr>
      <w:r w:rsidRPr="00D4003C">
        <w:rPr>
          <w:lang w:val="en-US"/>
        </w:rPr>
        <w:t>Top Crime-Related Stories</w:t>
      </w:r>
    </w:p>
    <w:p w14:paraId="29FA4B5B" w14:textId="77777777" w:rsidR="00D4003C" w:rsidRPr="00D4003C" w:rsidRDefault="00D4003C" w:rsidP="00D4003C">
      <w:pPr>
        <w:numPr>
          <w:ilvl w:val="0"/>
          <w:numId w:val="5"/>
        </w:numPr>
        <w:rPr>
          <w:lang w:val="en-US"/>
        </w:rPr>
      </w:pPr>
      <w:r w:rsidRPr="00D4003C">
        <w:rPr>
          <w:b/>
          <w:bCs/>
          <w:lang w:val="en-US"/>
        </w:rPr>
        <w:t>Gang Violence in Los Angeles</w:t>
      </w:r>
      <w:r w:rsidRPr="00D4003C">
        <w:rPr>
          <w:lang w:val="en-US"/>
        </w:rPr>
        <w:t>: Throughout the 2000s and 2010s, gang-related violence has remained a significant issue in LA, driving up Southern California's overall violent crime statistics</w:t>
      </w:r>
      <w:r w:rsidRPr="00D4003C">
        <w:rPr>
          <w:rFonts w:ascii="Arial" w:hAnsi="Arial" w:cs="Arial"/>
          <w:lang w:val="en-US"/>
        </w:rPr>
        <w:t>​</w:t>
      </w:r>
    </w:p>
    <w:p w14:paraId="057C4A10" w14:textId="68F2EB39" w:rsidR="00D4003C" w:rsidRPr="00D4003C" w:rsidRDefault="00D4003C" w:rsidP="00D4003C">
      <w:pPr>
        <w:numPr>
          <w:ilvl w:val="0"/>
          <w:numId w:val="5"/>
        </w:numPr>
        <w:rPr>
          <w:lang w:val="en-US"/>
        </w:rPr>
      </w:pPr>
      <w:r w:rsidRPr="00D4003C">
        <w:rPr>
          <w:b/>
          <w:bCs/>
          <w:lang w:val="en-US"/>
        </w:rPr>
        <w:t>Tech Boom Impact in San Francisco</w:t>
      </w:r>
      <w:r w:rsidRPr="00D4003C">
        <w:rPr>
          <w:lang w:val="en-US"/>
        </w:rPr>
        <w:t>: While Northern California's tech boom brought wealth, it also contributed to housing shortages and displacement, causing some localized crime spikes (e.g., property theft) in cities like San Francisco</w:t>
      </w:r>
      <w:r w:rsidRPr="00D4003C">
        <w:rPr>
          <w:rFonts w:ascii="Arial" w:hAnsi="Arial" w:cs="Arial"/>
          <w:lang w:val="en-US"/>
        </w:rPr>
        <w:t>​</w:t>
      </w:r>
    </w:p>
    <w:p w14:paraId="6347EEA4" w14:textId="04AFE94C" w:rsidR="00D4003C" w:rsidRPr="00D4003C" w:rsidRDefault="00D4003C" w:rsidP="00D4003C">
      <w:pPr>
        <w:pStyle w:val="ListParagraph"/>
        <w:numPr>
          <w:ilvl w:val="0"/>
          <w:numId w:val="5"/>
        </w:numPr>
        <w:spacing w:after="0" w:line="240" w:lineRule="auto"/>
        <w:rPr>
          <w:rFonts w:eastAsia="Times New Roman" w:cs="Times New Roman"/>
          <w:kern w:val="0"/>
          <w:lang w:val="en-US"/>
          <w14:ligatures w14:val="none"/>
        </w:rPr>
      </w:pPr>
      <w:hyperlink r:id="rId12" w:tgtFrame="_blank" w:history="1">
        <w:r w:rsidRPr="00D4003C">
          <w:rPr>
            <w:rFonts w:eastAsia="Times New Roman" w:cs="Times New Roman"/>
            <w:color w:val="0000FF"/>
            <w:kern w:val="0"/>
            <w:u w:val="single"/>
            <w:lang w:val="en-US"/>
            <w14:ligatures w14:val="none"/>
          </w:rPr>
          <w:t>Pew Research Center</w:t>
        </w:r>
      </w:hyperlink>
      <w:r w:rsidRPr="00D4003C">
        <w:rPr>
          <w:rFonts w:eastAsia="Times New Roman" w:cs="Times New Roman"/>
          <w:kern w:val="0"/>
          <w:lang w:val="en-US"/>
          <w14:ligatures w14:val="none"/>
        </w:rPr>
        <w:t xml:space="preserve">  </w:t>
      </w:r>
      <w:hyperlink r:id="rId13" w:tgtFrame="_blank" w:history="1">
        <w:r w:rsidRPr="00D4003C">
          <w:rPr>
            <w:rFonts w:eastAsia="Times New Roman" w:cs="Times New Roman"/>
            <w:color w:val="0000FF"/>
            <w:kern w:val="0"/>
            <w:u w:val="single"/>
            <w:lang w:val="en-US"/>
            <w14:ligatures w14:val="none"/>
          </w:rPr>
          <w:t>Brennan Center for Justice</w:t>
        </w:r>
      </w:hyperlink>
      <w:r w:rsidRPr="00D4003C">
        <w:rPr>
          <w:rFonts w:eastAsia="Times New Roman" w:cs="Times New Roman"/>
          <w:kern w:val="0"/>
          <w:lang w:val="en-US"/>
          <w14:ligatures w14:val="none"/>
        </w:rPr>
        <w:t xml:space="preserve">  </w:t>
      </w:r>
      <w:hyperlink r:id="rId14" w:tgtFrame="_blank" w:history="1">
        <w:r w:rsidRPr="00D4003C">
          <w:rPr>
            <w:rFonts w:eastAsia="Times New Roman" w:cs="Times New Roman"/>
            <w:color w:val="0000FF"/>
            <w:kern w:val="0"/>
            <w:u w:val="single"/>
            <w:lang w:val="en-US"/>
            <w14:ligatures w14:val="none"/>
          </w:rPr>
          <w:t>ISPS</w:t>
        </w:r>
      </w:hyperlink>
    </w:p>
    <w:p w14:paraId="75627F5B" w14:textId="77777777" w:rsidR="00802938" w:rsidRPr="00D4003C" w:rsidRDefault="00802938" w:rsidP="00802938">
      <w:r w:rsidRPr="00D4003C">
        <w:t>Understanding these factors is crucial for developing targeted crime prevention strategies in different regions of California.</w:t>
      </w:r>
    </w:p>
    <w:p w14:paraId="3CB3095F" w14:textId="77777777" w:rsidR="00802938" w:rsidRDefault="00802938"/>
    <w:sectPr w:rsidR="008029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A63B4"/>
    <w:multiLevelType w:val="hybridMultilevel"/>
    <w:tmpl w:val="60D0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22D9A"/>
    <w:multiLevelType w:val="multilevel"/>
    <w:tmpl w:val="5012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D4599"/>
    <w:multiLevelType w:val="multilevel"/>
    <w:tmpl w:val="5E8C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F3C45"/>
    <w:multiLevelType w:val="multilevel"/>
    <w:tmpl w:val="C2CA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2E08A4"/>
    <w:multiLevelType w:val="multilevel"/>
    <w:tmpl w:val="7F26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955112">
    <w:abstractNumId w:val="2"/>
  </w:num>
  <w:num w:numId="2" w16cid:durableId="1999579687">
    <w:abstractNumId w:val="1"/>
  </w:num>
  <w:num w:numId="3" w16cid:durableId="1889562562">
    <w:abstractNumId w:val="4"/>
  </w:num>
  <w:num w:numId="4" w16cid:durableId="1873180417">
    <w:abstractNumId w:val="0"/>
  </w:num>
  <w:num w:numId="5" w16cid:durableId="496311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38"/>
    <w:rsid w:val="00802938"/>
    <w:rsid w:val="00A06151"/>
    <w:rsid w:val="00A568EF"/>
    <w:rsid w:val="00AC528E"/>
    <w:rsid w:val="00D4003C"/>
    <w:rsid w:val="00FC7DB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ECF4"/>
  <w15:chartTrackingRefBased/>
  <w15:docId w15:val="{36A4B234-1640-EC4F-BF8D-EE42AE0D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9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9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9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9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9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9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9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9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9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9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9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9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938"/>
    <w:rPr>
      <w:rFonts w:eastAsiaTheme="majorEastAsia" w:cstheme="majorBidi"/>
      <w:color w:val="272727" w:themeColor="text1" w:themeTint="D8"/>
    </w:rPr>
  </w:style>
  <w:style w:type="paragraph" w:styleId="Title">
    <w:name w:val="Title"/>
    <w:basedOn w:val="Normal"/>
    <w:next w:val="Normal"/>
    <w:link w:val="TitleChar"/>
    <w:uiPriority w:val="10"/>
    <w:qFormat/>
    <w:rsid w:val="00802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9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9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938"/>
    <w:pPr>
      <w:spacing w:before="160"/>
      <w:jc w:val="center"/>
    </w:pPr>
    <w:rPr>
      <w:i/>
      <w:iCs/>
      <w:color w:val="404040" w:themeColor="text1" w:themeTint="BF"/>
    </w:rPr>
  </w:style>
  <w:style w:type="character" w:customStyle="1" w:styleId="QuoteChar">
    <w:name w:val="Quote Char"/>
    <w:basedOn w:val="DefaultParagraphFont"/>
    <w:link w:val="Quote"/>
    <w:uiPriority w:val="29"/>
    <w:rsid w:val="00802938"/>
    <w:rPr>
      <w:i/>
      <w:iCs/>
      <w:color w:val="404040" w:themeColor="text1" w:themeTint="BF"/>
    </w:rPr>
  </w:style>
  <w:style w:type="paragraph" w:styleId="ListParagraph">
    <w:name w:val="List Paragraph"/>
    <w:basedOn w:val="Normal"/>
    <w:uiPriority w:val="34"/>
    <w:qFormat/>
    <w:rsid w:val="00802938"/>
    <w:pPr>
      <w:ind w:left="720"/>
      <w:contextualSpacing/>
    </w:pPr>
  </w:style>
  <w:style w:type="character" w:styleId="IntenseEmphasis">
    <w:name w:val="Intense Emphasis"/>
    <w:basedOn w:val="DefaultParagraphFont"/>
    <w:uiPriority w:val="21"/>
    <w:qFormat/>
    <w:rsid w:val="00802938"/>
    <w:rPr>
      <w:i/>
      <w:iCs/>
      <w:color w:val="0F4761" w:themeColor="accent1" w:themeShade="BF"/>
    </w:rPr>
  </w:style>
  <w:style w:type="paragraph" w:styleId="IntenseQuote">
    <w:name w:val="Intense Quote"/>
    <w:basedOn w:val="Normal"/>
    <w:next w:val="Normal"/>
    <w:link w:val="IntenseQuoteChar"/>
    <w:uiPriority w:val="30"/>
    <w:qFormat/>
    <w:rsid w:val="00802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938"/>
    <w:rPr>
      <w:i/>
      <w:iCs/>
      <w:color w:val="0F4761" w:themeColor="accent1" w:themeShade="BF"/>
    </w:rPr>
  </w:style>
  <w:style w:type="character" w:styleId="IntenseReference">
    <w:name w:val="Intense Reference"/>
    <w:basedOn w:val="DefaultParagraphFont"/>
    <w:uiPriority w:val="32"/>
    <w:qFormat/>
    <w:rsid w:val="00802938"/>
    <w:rPr>
      <w:b/>
      <w:bCs/>
      <w:smallCaps/>
      <w:color w:val="0F4761" w:themeColor="accent1" w:themeShade="BF"/>
      <w:spacing w:val="5"/>
    </w:rPr>
  </w:style>
  <w:style w:type="character" w:styleId="Hyperlink">
    <w:name w:val="Hyperlink"/>
    <w:basedOn w:val="DefaultParagraphFont"/>
    <w:uiPriority w:val="99"/>
    <w:unhideWhenUsed/>
    <w:rsid w:val="00802938"/>
    <w:rPr>
      <w:color w:val="467886" w:themeColor="hyperlink"/>
      <w:u w:val="single"/>
    </w:rPr>
  </w:style>
  <w:style w:type="character" w:styleId="UnresolvedMention">
    <w:name w:val="Unresolved Mention"/>
    <w:basedOn w:val="DefaultParagraphFont"/>
    <w:uiPriority w:val="99"/>
    <w:semiHidden/>
    <w:unhideWhenUsed/>
    <w:rsid w:val="00802938"/>
    <w:rPr>
      <w:color w:val="605E5C"/>
      <w:shd w:val="clear" w:color="auto" w:fill="E1DFDD"/>
    </w:rPr>
  </w:style>
  <w:style w:type="character" w:styleId="FollowedHyperlink">
    <w:name w:val="FollowedHyperlink"/>
    <w:basedOn w:val="DefaultParagraphFont"/>
    <w:uiPriority w:val="99"/>
    <w:semiHidden/>
    <w:unhideWhenUsed/>
    <w:rsid w:val="00802938"/>
    <w:rPr>
      <w:color w:val="96607D" w:themeColor="followedHyperlink"/>
      <w:u w:val="single"/>
    </w:rPr>
  </w:style>
  <w:style w:type="paragraph" w:styleId="NormalWeb">
    <w:name w:val="Normal (Web)"/>
    <w:basedOn w:val="Normal"/>
    <w:uiPriority w:val="99"/>
    <w:semiHidden/>
    <w:unhideWhenUsed/>
    <w:rsid w:val="00FC7DB1"/>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FC7DB1"/>
    <w:rPr>
      <w:b/>
      <w:bCs/>
    </w:rPr>
  </w:style>
  <w:style w:type="character" w:customStyle="1" w:styleId="truncate">
    <w:name w:val="truncate"/>
    <w:basedOn w:val="DefaultParagraphFont"/>
    <w:rsid w:val="00FC7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304422">
      <w:bodyDiv w:val="1"/>
      <w:marLeft w:val="0"/>
      <w:marRight w:val="0"/>
      <w:marTop w:val="0"/>
      <w:marBottom w:val="0"/>
      <w:divBdr>
        <w:top w:val="none" w:sz="0" w:space="0" w:color="auto"/>
        <w:left w:val="none" w:sz="0" w:space="0" w:color="auto"/>
        <w:bottom w:val="none" w:sz="0" w:space="0" w:color="auto"/>
        <w:right w:val="none" w:sz="0" w:space="0" w:color="auto"/>
      </w:divBdr>
      <w:divsChild>
        <w:div w:id="988940612">
          <w:marLeft w:val="0"/>
          <w:marRight w:val="0"/>
          <w:marTop w:val="0"/>
          <w:marBottom w:val="0"/>
          <w:divBdr>
            <w:top w:val="none" w:sz="0" w:space="0" w:color="auto"/>
            <w:left w:val="none" w:sz="0" w:space="0" w:color="auto"/>
            <w:bottom w:val="none" w:sz="0" w:space="0" w:color="auto"/>
            <w:right w:val="none" w:sz="0" w:space="0" w:color="auto"/>
          </w:divBdr>
        </w:div>
        <w:div w:id="1570463744">
          <w:marLeft w:val="0"/>
          <w:marRight w:val="0"/>
          <w:marTop w:val="0"/>
          <w:marBottom w:val="0"/>
          <w:divBdr>
            <w:top w:val="none" w:sz="0" w:space="0" w:color="auto"/>
            <w:left w:val="none" w:sz="0" w:space="0" w:color="auto"/>
            <w:bottom w:val="none" w:sz="0" w:space="0" w:color="auto"/>
            <w:right w:val="none" w:sz="0" w:space="0" w:color="auto"/>
          </w:divBdr>
        </w:div>
        <w:div w:id="2121335632">
          <w:marLeft w:val="0"/>
          <w:marRight w:val="0"/>
          <w:marTop w:val="0"/>
          <w:marBottom w:val="0"/>
          <w:divBdr>
            <w:top w:val="none" w:sz="0" w:space="0" w:color="auto"/>
            <w:left w:val="none" w:sz="0" w:space="0" w:color="auto"/>
            <w:bottom w:val="none" w:sz="0" w:space="0" w:color="auto"/>
            <w:right w:val="none" w:sz="0" w:space="0" w:color="auto"/>
          </w:divBdr>
        </w:div>
        <w:div w:id="320618667">
          <w:marLeft w:val="0"/>
          <w:marRight w:val="0"/>
          <w:marTop w:val="0"/>
          <w:marBottom w:val="0"/>
          <w:divBdr>
            <w:top w:val="none" w:sz="0" w:space="0" w:color="auto"/>
            <w:left w:val="none" w:sz="0" w:space="0" w:color="auto"/>
            <w:bottom w:val="none" w:sz="0" w:space="0" w:color="auto"/>
            <w:right w:val="none" w:sz="0" w:space="0" w:color="auto"/>
          </w:divBdr>
        </w:div>
      </w:divsChild>
    </w:div>
    <w:div w:id="548999704">
      <w:bodyDiv w:val="1"/>
      <w:marLeft w:val="0"/>
      <w:marRight w:val="0"/>
      <w:marTop w:val="0"/>
      <w:marBottom w:val="0"/>
      <w:divBdr>
        <w:top w:val="none" w:sz="0" w:space="0" w:color="auto"/>
        <w:left w:val="none" w:sz="0" w:space="0" w:color="auto"/>
        <w:bottom w:val="none" w:sz="0" w:space="0" w:color="auto"/>
        <w:right w:val="none" w:sz="0" w:space="0" w:color="auto"/>
      </w:divBdr>
      <w:divsChild>
        <w:div w:id="989214266">
          <w:marLeft w:val="0"/>
          <w:marRight w:val="0"/>
          <w:marTop w:val="0"/>
          <w:marBottom w:val="0"/>
          <w:divBdr>
            <w:top w:val="none" w:sz="0" w:space="0" w:color="auto"/>
            <w:left w:val="none" w:sz="0" w:space="0" w:color="auto"/>
            <w:bottom w:val="none" w:sz="0" w:space="0" w:color="auto"/>
            <w:right w:val="none" w:sz="0" w:space="0" w:color="auto"/>
          </w:divBdr>
        </w:div>
        <w:div w:id="1939098191">
          <w:marLeft w:val="0"/>
          <w:marRight w:val="0"/>
          <w:marTop w:val="0"/>
          <w:marBottom w:val="0"/>
          <w:divBdr>
            <w:top w:val="none" w:sz="0" w:space="0" w:color="auto"/>
            <w:left w:val="none" w:sz="0" w:space="0" w:color="auto"/>
            <w:bottom w:val="none" w:sz="0" w:space="0" w:color="auto"/>
            <w:right w:val="none" w:sz="0" w:space="0" w:color="auto"/>
          </w:divBdr>
        </w:div>
        <w:div w:id="1306351291">
          <w:marLeft w:val="0"/>
          <w:marRight w:val="0"/>
          <w:marTop w:val="0"/>
          <w:marBottom w:val="0"/>
          <w:divBdr>
            <w:top w:val="none" w:sz="0" w:space="0" w:color="auto"/>
            <w:left w:val="none" w:sz="0" w:space="0" w:color="auto"/>
            <w:bottom w:val="none" w:sz="0" w:space="0" w:color="auto"/>
            <w:right w:val="none" w:sz="0" w:space="0" w:color="auto"/>
          </w:divBdr>
        </w:div>
        <w:div w:id="1786843989">
          <w:marLeft w:val="0"/>
          <w:marRight w:val="0"/>
          <w:marTop w:val="0"/>
          <w:marBottom w:val="0"/>
          <w:divBdr>
            <w:top w:val="none" w:sz="0" w:space="0" w:color="auto"/>
            <w:left w:val="none" w:sz="0" w:space="0" w:color="auto"/>
            <w:bottom w:val="none" w:sz="0" w:space="0" w:color="auto"/>
            <w:right w:val="none" w:sz="0" w:space="0" w:color="auto"/>
          </w:divBdr>
        </w:div>
        <w:div w:id="1151752496">
          <w:marLeft w:val="0"/>
          <w:marRight w:val="0"/>
          <w:marTop w:val="0"/>
          <w:marBottom w:val="0"/>
          <w:divBdr>
            <w:top w:val="none" w:sz="0" w:space="0" w:color="auto"/>
            <w:left w:val="none" w:sz="0" w:space="0" w:color="auto"/>
            <w:bottom w:val="none" w:sz="0" w:space="0" w:color="auto"/>
            <w:right w:val="none" w:sz="0" w:space="0" w:color="auto"/>
          </w:divBdr>
        </w:div>
        <w:div w:id="963122415">
          <w:marLeft w:val="0"/>
          <w:marRight w:val="0"/>
          <w:marTop w:val="0"/>
          <w:marBottom w:val="0"/>
          <w:divBdr>
            <w:top w:val="none" w:sz="0" w:space="0" w:color="auto"/>
            <w:left w:val="none" w:sz="0" w:space="0" w:color="auto"/>
            <w:bottom w:val="none" w:sz="0" w:space="0" w:color="auto"/>
            <w:right w:val="none" w:sz="0" w:space="0" w:color="auto"/>
          </w:divBdr>
        </w:div>
        <w:div w:id="625820313">
          <w:marLeft w:val="0"/>
          <w:marRight w:val="0"/>
          <w:marTop w:val="0"/>
          <w:marBottom w:val="0"/>
          <w:divBdr>
            <w:top w:val="none" w:sz="0" w:space="0" w:color="auto"/>
            <w:left w:val="none" w:sz="0" w:space="0" w:color="auto"/>
            <w:bottom w:val="none" w:sz="0" w:space="0" w:color="auto"/>
            <w:right w:val="none" w:sz="0" w:space="0" w:color="auto"/>
          </w:divBdr>
        </w:div>
        <w:div w:id="125709249">
          <w:marLeft w:val="0"/>
          <w:marRight w:val="0"/>
          <w:marTop w:val="0"/>
          <w:marBottom w:val="0"/>
          <w:divBdr>
            <w:top w:val="none" w:sz="0" w:space="0" w:color="auto"/>
            <w:left w:val="none" w:sz="0" w:space="0" w:color="auto"/>
            <w:bottom w:val="none" w:sz="0" w:space="0" w:color="auto"/>
            <w:right w:val="none" w:sz="0" w:space="0" w:color="auto"/>
          </w:divBdr>
        </w:div>
      </w:divsChild>
    </w:div>
    <w:div w:id="1005284278">
      <w:bodyDiv w:val="1"/>
      <w:marLeft w:val="0"/>
      <w:marRight w:val="0"/>
      <w:marTop w:val="0"/>
      <w:marBottom w:val="0"/>
      <w:divBdr>
        <w:top w:val="none" w:sz="0" w:space="0" w:color="auto"/>
        <w:left w:val="none" w:sz="0" w:space="0" w:color="auto"/>
        <w:bottom w:val="none" w:sz="0" w:space="0" w:color="auto"/>
        <w:right w:val="none" w:sz="0" w:space="0" w:color="auto"/>
      </w:divBdr>
      <w:divsChild>
        <w:div w:id="1345934263">
          <w:marLeft w:val="0"/>
          <w:marRight w:val="0"/>
          <w:marTop w:val="0"/>
          <w:marBottom w:val="0"/>
          <w:divBdr>
            <w:top w:val="none" w:sz="0" w:space="0" w:color="auto"/>
            <w:left w:val="none" w:sz="0" w:space="0" w:color="auto"/>
            <w:bottom w:val="none" w:sz="0" w:space="0" w:color="auto"/>
            <w:right w:val="none" w:sz="0" w:space="0" w:color="auto"/>
          </w:divBdr>
        </w:div>
      </w:divsChild>
    </w:div>
    <w:div w:id="1042484105">
      <w:bodyDiv w:val="1"/>
      <w:marLeft w:val="0"/>
      <w:marRight w:val="0"/>
      <w:marTop w:val="0"/>
      <w:marBottom w:val="0"/>
      <w:divBdr>
        <w:top w:val="none" w:sz="0" w:space="0" w:color="auto"/>
        <w:left w:val="none" w:sz="0" w:space="0" w:color="auto"/>
        <w:bottom w:val="none" w:sz="0" w:space="0" w:color="auto"/>
        <w:right w:val="none" w:sz="0" w:space="0" w:color="auto"/>
      </w:divBdr>
      <w:divsChild>
        <w:div w:id="1869298910">
          <w:marLeft w:val="0"/>
          <w:marRight w:val="0"/>
          <w:marTop w:val="0"/>
          <w:marBottom w:val="0"/>
          <w:divBdr>
            <w:top w:val="none" w:sz="0" w:space="0" w:color="auto"/>
            <w:left w:val="none" w:sz="0" w:space="0" w:color="auto"/>
            <w:bottom w:val="none" w:sz="0" w:space="0" w:color="auto"/>
            <w:right w:val="none" w:sz="0" w:space="0" w:color="auto"/>
          </w:divBdr>
        </w:div>
        <w:div w:id="1157307893">
          <w:marLeft w:val="0"/>
          <w:marRight w:val="0"/>
          <w:marTop w:val="0"/>
          <w:marBottom w:val="0"/>
          <w:divBdr>
            <w:top w:val="none" w:sz="0" w:space="0" w:color="auto"/>
            <w:left w:val="none" w:sz="0" w:space="0" w:color="auto"/>
            <w:bottom w:val="none" w:sz="0" w:space="0" w:color="auto"/>
            <w:right w:val="none" w:sz="0" w:space="0" w:color="auto"/>
          </w:divBdr>
        </w:div>
        <w:div w:id="1517767507">
          <w:marLeft w:val="0"/>
          <w:marRight w:val="0"/>
          <w:marTop w:val="0"/>
          <w:marBottom w:val="0"/>
          <w:divBdr>
            <w:top w:val="none" w:sz="0" w:space="0" w:color="auto"/>
            <w:left w:val="none" w:sz="0" w:space="0" w:color="auto"/>
            <w:bottom w:val="none" w:sz="0" w:space="0" w:color="auto"/>
            <w:right w:val="none" w:sz="0" w:space="0" w:color="auto"/>
          </w:divBdr>
        </w:div>
        <w:div w:id="1336029227">
          <w:marLeft w:val="0"/>
          <w:marRight w:val="0"/>
          <w:marTop w:val="0"/>
          <w:marBottom w:val="0"/>
          <w:divBdr>
            <w:top w:val="none" w:sz="0" w:space="0" w:color="auto"/>
            <w:left w:val="none" w:sz="0" w:space="0" w:color="auto"/>
            <w:bottom w:val="none" w:sz="0" w:space="0" w:color="auto"/>
            <w:right w:val="none" w:sz="0" w:space="0" w:color="auto"/>
          </w:divBdr>
        </w:div>
      </w:divsChild>
    </w:div>
    <w:div w:id="1216577037">
      <w:bodyDiv w:val="1"/>
      <w:marLeft w:val="0"/>
      <w:marRight w:val="0"/>
      <w:marTop w:val="0"/>
      <w:marBottom w:val="0"/>
      <w:divBdr>
        <w:top w:val="none" w:sz="0" w:space="0" w:color="auto"/>
        <w:left w:val="none" w:sz="0" w:space="0" w:color="auto"/>
        <w:bottom w:val="none" w:sz="0" w:space="0" w:color="auto"/>
        <w:right w:val="none" w:sz="0" w:space="0" w:color="auto"/>
      </w:divBdr>
      <w:divsChild>
        <w:div w:id="533886468">
          <w:marLeft w:val="0"/>
          <w:marRight w:val="0"/>
          <w:marTop w:val="0"/>
          <w:marBottom w:val="0"/>
          <w:divBdr>
            <w:top w:val="none" w:sz="0" w:space="0" w:color="auto"/>
            <w:left w:val="none" w:sz="0" w:space="0" w:color="auto"/>
            <w:bottom w:val="none" w:sz="0" w:space="0" w:color="auto"/>
            <w:right w:val="none" w:sz="0" w:space="0" w:color="auto"/>
          </w:divBdr>
        </w:div>
        <w:div w:id="792558686">
          <w:marLeft w:val="0"/>
          <w:marRight w:val="0"/>
          <w:marTop w:val="0"/>
          <w:marBottom w:val="0"/>
          <w:divBdr>
            <w:top w:val="none" w:sz="0" w:space="0" w:color="auto"/>
            <w:left w:val="none" w:sz="0" w:space="0" w:color="auto"/>
            <w:bottom w:val="none" w:sz="0" w:space="0" w:color="auto"/>
            <w:right w:val="none" w:sz="0" w:space="0" w:color="auto"/>
          </w:divBdr>
        </w:div>
      </w:divsChild>
    </w:div>
    <w:div w:id="1389652269">
      <w:bodyDiv w:val="1"/>
      <w:marLeft w:val="0"/>
      <w:marRight w:val="0"/>
      <w:marTop w:val="0"/>
      <w:marBottom w:val="0"/>
      <w:divBdr>
        <w:top w:val="none" w:sz="0" w:space="0" w:color="auto"/>
        <w:left w:val="none" w:sz="0" w:space="0" w:color="auto"/>
        <w:bottom w:val="none" w:sz="0" w:space="0" w:color="auto"/>
        <w:right w:val="none" w:sz="0" w:space="0" w:color="auto"/>
      </w:divBdr>
      <w:divsChild>
        <w:div w:id="334039756">
          <w:marLeft w:val="0"/>
          <w:marRight w:val="0"/>
          <w:marTop w:val="0"/>
          <w:marBottom w:val="0"/>
          <w:divBdr>
            <w:top w:val="none" w:sz="0" w:space="0" w:color="auto"/>
            <w:left w:val="none" w:sz="0" w:space="0" w:color="auto"/>
            <w:bottom w:val="none" w:sz="0" w:space="0" w:color="auto"/>
            <w:right w:val="none" w:sz="0" w:space="0" w:color="auto"/>
          </w:divBdr>
        </w:div>
        <w:div w:id="1218856278">
          <w:marLeft w:val="0"/>
          <w:marRight w:val="0"/>
          <w:marTop w:val="0"/>
          <w:marBottom w:val="0"/>
          <w:divBdr>
            <w:top w:val="none" w:sz="0" w:space="0" w:color="auto"/>
            <w:left w:val="none" w:sz="0" w:space="0" w:color="auto"/>
            <w:bottom w:val="none" w:sz="0" w:space="0" w:color="auto"/>
            <w:right w:val="none" w:sz="0" w:space="0" w:color="auto"/>
          </w:divBdr>
        </w:div>
        <w:div w:id="541790668">
          <w:marLeft w:val="0"/>
          <w:marRight w:val="0"/>
          <w:marTop w:val="0"/>
          <w:marBottom w:val="0"/>
          <w:divBdr>
            <w:top w:val="none" w:sz="0" w:space="0" w:color="auto"/>
            <w:left w:val="none" w:sz="0" w:space="0" w:color="auto"/>
            <w:bottom w:val="none" w:sz="0" w:space="0" w:color="auto"/>
            <w:right w:val="none" w:sz="0" w:space="0" w:color="auto"/>
          </w:divBdr>
        </w:div>
      </w:divsChild>
    </w:div>
    <w:div w:id="1948459968">
      <w:bodyDiv w:val="1"/>
      <w:marLeft w:val="0"/>
      <w:marRight w:val="0"/>
      <w:marTop w:val="0"/>
      <w:marBottom w:val="0"/>
      <w:divBdr>
        <w:top w:val="none" w:sz="0" w:space="0" w:color="auto"/>
        <w:left w:val="none" w:sz="0" w:space="0" w:color="auto"/>
        <w:bottom w:val="none" w:sz="0" w:space="0" w:color="auto"/>
        <w:right w:val="none" w:sz="0" w:space="0" w:color="auto"/>
      </w:divBdr>
      <w:divsChild>
        <w:div w:id="816799981">
          <w:marLeft w:val="0"/>
          <w:marRight w:val="0"/>
          <w:marTop w:val="0"/>
          <w:marBottom w:val="0"/>
          <w:divBdr>
            <w:top w:val="none" w:sz="0" w:space="0" w:color="auto"/>
            <w:left w:val="none" w:sz="0" w:space="0" w:color="auto"/>
            <w:bottom w:val="none" w:sz="0" w:space="0" w:color="auto"/>
            <w:right w:val="none" w:sz="0" w:space="0" w:color="auto"/>
          </w:divBdr>
        </w:div>
        <w:div w:id="53163453">
          <w:marLeft w:val="0"/>
          <w:marRight w:val="0"/>
          <w:marTop w:val="0"/>
          <w:marBottom w:val="0"/>
          <w:divBdr>
            <w:top w:val="none" w:sz="0" w:space="0" w:color="auto"/>
            <w:left w:val="none" w:sz="0" w:space="0" w:color="auto"/>
            <w:bottom w:val="none" w:sz="0" w:space="0" w:color="auto"/>
            <w:right w:val="none" w:sz="0" w:space="0" w:color="auto"/>
          </w:divBdr>
        </w:div>
        <w:div w:id="623315011">
          <w:marLeft w:val="0"/>
          <w:marRight w:val="0"/>
          <w:marTop w:val="0"/>
          <w:marBottom w:val="0"/>
          <w:divBdr>
            <w:top w:val="none" w:sz="0" w:space="0" w:color="auto"/>
            <w:left w:val="none" w:sz="0" w:space="0" w:color="auto"/>
            <w:bottom w:val="none" w:sz="0" w:space="0" w:color="auto"/>
            <w:right w:val="none" w:sz="0" w:space="0" w:color="auto"/>
          </w:divBdr>
        </w:div>
      </w:divsChild>
    </w:div>
    <w:div w:id="2002853390">
      <w:bodyDiv w:val="1"/>
      <w:marLeft w:val="0"/>
      <w:marRight w:val="0"/>
      <w:marTop w:val="0"/>
      <w:marBottom w:val="0"/>
      <w:divBdr>
        <w:top w:val="none" w:sz="0" w:space="0" w:color="auto"/>
        <w:left w:val="none" w:sz="0" w:space="0" w:color="auto"/>
        <w:bottom w:val="none" w:sz="0" w:space="0" w:color="auto"/>
        <w:right w:val="none" w:sz="0" w:space="0" w:color="auto"/>
      </w:divBdr>
      <w:divsChild>
        <w:div w:id="1120143467">
          <w:marLeft w:val="0"/>
          <w:marRight w:val="0"/>
          <w:marTop w:val="0"/>
          <w:marBottom w:val="0"/>
          <w:divBdr>
            <w:top w:val="none" w:sz="0" w:space="0" w:color="auto"/>
            <w:left w:val="none" w:sz="0" w:space="0" w:color="auto"/>
            <w:bottom w:val="none" w:sz="0" w:space="0" w:color="auto"/>
            <w:right w:val="none" w:sz="0" w:space="0" w:color="auto"/>
          </w:divBdr>
        </w:div>
        <w:div w:id="2063669289">
          <w:marLeft w:val="0"/>
          <w:marRight w:val="0"/>
          <w:marTop w:val="0"/>
          <w:marBottom w:val="0"/>
          <w:divBdr>
            <w:top w:val="none" w:sz="0" w:space="0" w:color="auto"/>
            <w:left w:val="none" w:sz="0" w:space="0" w:color="auto"/>
            <w:bottom w:val="none" w:sz="0" w:space="0" w:color="auto"/>
            <w:right w:val="none" w:sz="0" w:space="0" w:color="auto"/>
          </w:divBdr>
        </w:div>
      </w:divsChild>
    </w:div>
    <w:div w:id="2054110515">
      <w:bodyDiv w:val="1"/>
      <w:marLeft w:val="0"/>
      <w:marRight w:val="0"/>
      <w:marTop w:val="0"/>
      <w:marBottom w:val="0"/>
      <w:divBdr>
        <w:top w:val="none" w:sz="0" w:space="0" w:color="auto"/>
        <w:left w:val="none" w:sz="0" w:space="0" w:color="auto"/>
        <w:bottom w:val="none" w:sz="0" w:space="0" w:color="auto"/>
        <w:right w:val="none" w:sz="0" w:space="0" w:color="auto"/>
      </w:divBdr>
      <w:divsChild>
        <w:div w:id="1257401624">
          <w:marLeft w:val="0"/>
          <w:marRight w:val="0"/>
          <w:marTop w:val="0"/>
          <w:marBottom w:val="0"/>
          <w:divBdr>
            <w:top w:val="none" w:sz="0" w:space="0" w:color="auto"/>
            <w:left w:val="none" w:sz="0" w:space="0" w:color="auto"/>
            <w:bottom w:val="none" w:sz="0" w:space="0" w:color="auto"/>
            <w:right w:val="none" w:sz="0" w:space="0" w:color="auto"/>
          </w:divBdr>
        </w:div>
        <w:div w:id="1801917998">
          <w:marLeft w:val="0"/>
          <w:marRight w:val="0"/>
          <w:marTop w:val="0"/>
          <w:marBottom w:val="0"/>
          <w:divBdr>
            <w:top w:val="none" w:sz="0" w:space="0" w:color="auto"/>
            <w:left w:val="none" w:sz="0" w:space="0" w:color="auto"/>
            <w:bottom w:val="none" w:sz="0" w:space="0" w:color="auto"/>
            <w:right w:val="none" w:sz="0" w:space="0" w:color="auto"/>
          </w:divBdr>
        </w:div>
        <w:div w:id="1769497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ps.yale.edu/sites/default/files/publication/2013/12/48yearsofcrime_final_ispsworkingpaper023.pdf" TargetMode="External"/><Relationship Id="rId13" Type="http://schemas.openxmlformats.org/officeDocument/2006/relationships/hyperlink" Target="https://www.brennancenter.org/our-work/research-reports/crime-trends-1990-2016" TargetMode="External"/><Relationship Id="rId3" Type="http://schemas.openxmlformats.org/officeDocument/2006/relationships/settings" Target="settings.xml"/><Relationship Id="rId7" Type="http://schemas.openxmlformats.org/officeDocument/2006/relationships/hyperlink" Target="https://www.brennancenter.org/our-work/research-reports/crime-trends-1990-2016" TargetMode="External"/><Relationship Id="rId12" Type="http://schemas.openxmlformats.org/officeDocument/2006/relationships/hyperlink" Target="https://www.pewresearch.org/short-reads/2024/04/24/what-the-data-says-about-crime-in-the-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ewresearch.org/short-reads/2024/04/24/what-the-data-says-about-crime-in-the-us/" TargetMode="External"/><Relationship Id="rId11" Type="http://schemas.openxmlformats.org/officeDocument/2006/relationships/hyperlink" Target="https://en.wikipedia.org/wiki/Los_Angeles" TargetMode="External"/><Relationship Id="rId5" Type="http://schemas.openxmlformats.org/officeDocument/2006/relationships/hyperlink" Target="https://www.macrotrends.net/global-metrics/states/california/crime-rate-statistics" TargetMode="External"/><Relationship Id="rId15" Type="http://schemas.openxmlformats.org/officeDocument/2006/relationships/fontTable" Target="fontTable.xml"/><Relationship Id="rId10" Type="http://schemas.openxmlformats.org/officeDocument/2006/relationships/hyperlink" Target="https://www.ppic.org/publication/crime-trends-in-california/" TargetMode="External"/><Relationship Id="rId4" Type="http://schemas.openxmlformats.org/officeDocument/2006/relationships/webSettings" Target="webSettings.xml"/><Relationship Id="rId9" Type="http://schemas.openxmlformats.org/officeDocument/2006/relationships/hyperlink" Target="https://en.wikipedia.org/wiki/Los_Angeles" TargetMode="External"/><Relationship Id="rId14" Type="http://schemas.openxmlformats.org/officeDocument/2006/relationships/hyperlink" Target="https://isps.yale.edu/sites/default/files/publication/2013/12/48yearsofcrime_final_ispsworkingpaper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 Sara</dc:creator>
  <cp:keywords/>
  <dc:description/>
  <cp:lastModifiedBy>allisonramirezaguilar779@gmail.com</cp:lastModifiedBy>
  <cp:revision>2</cp:revision>
  <dcterms:created xsi:type="dcterms:W3CDTF">2024-11-17T00:26:00Z</dcterms:created>
  <dcterms:modified xsi:type="dcterms:W3CDTF">2024-11-17T00:26:00Z</dcterms:modified>
</cp:coreProperties>
</file>