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4.png" ContentType="image/png"/>
  <Override PartName="/word/media/rId50.png" ContentType="image/png"/>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Nowcasting del crecimiento económico en Colombia mediante modelos bayesianos de frecuencia mixta</w:t>
      </w:r>
    </w:p>
    <w:p>
      <w:pPr>
        <w:pStyle w:val="Author"/>
      </w:pPr>
      <w:r>
        <w:t xml:space="preserve"> </w:t>
      </w:r>
    </w:p>
    <w:p>
      <w:pPr>
        <w:pStyle w:val="Author"/>
      </w:pPr>
      <w:r>
        <w:t xml:space="preserve">Jacobo Campo Robledo</w:t>
      </w:r>
      <w:r>
        <w:rPr>
          <w:vertAlign w:val="superscript"/>
        </w:rPr>
        <w:t xml:space="preserve">1</w:t>
      </w:r>
      <w:r>
        <w:t xml:space="preserve">, Juan Diego Moreno Sánchez</w:t>
      </w:r>
      <w:r>
        <w:rPr>
          <w:vertAlign w:val="superscript"/>
        </w:rPr>
        <w:t xml:space="preserve">2</w:t>
      </w:r>
      <w:r>
        <w:t xml:space="preserve">, and Zeneth Olivero Tapia</w:t>
      </w:r>
      <w:r>
        <w:rPr>
          <w:vertAlign w:val="superscript"/>
        </w:rPr>
        <w:t xml:space="preserve">1</w:t>
      </w:r>
    </w:p>
    <w:p>
      <w:pPr>
        <w:pStyle w:val="Author"/>
      </w:pPr>
      <w:r>
        <w:rPr>
          <w:vertAlign w:val="superscript"/>
        </w:rPr>
        <w:t xml:space="preserve">1</w:t>
      </w:r>
      <w:r>
        <w:t xml:space="preserve">Facultad de Ciencias Económicas y Administrativas, Universidad Católica de Colombia</w:t>
      </w:r>
    </w:p>
    <w:p>
      <w:pPr>
        <w:pStyle w:val="Author"/>
      </w:pPr>
      <w:r>
        <w:rPr>
          <w:vertAlign w:val="superscript"/>
        </w:rPr>
        <w:t xml:space="preserve">2</w:t>
      </w:r>
      <w:r>
        <w:t xml:space="preserve">Facultad de Economía, Universidad Externado de Colombia</w:t>
      </w:r>
    </w:p>
    <w:p>
      <w:pPr>
        <w:pStyle w:val="BodyText"/>
      </w:pPr>
      <w:r>
        <w:t xml:space="preserve"> </w:t>
      </w:r>
    </w:p>
    <w:p>
      <w:pPr>
        <w:pStyle w:val="BodyText"/>
      </w:pPr>
      <w:r>
        <w:t xml:space="preserve"> </w:t>
      </w:r>
    </w:p>
    <w:bookmarkEnd w:id="22"/>
    <w:bookmarkStart w:id="32" w:name="author-note"/>
    <w:p>
      <w:pPr>
        <w:pStyle w:val="Heading1"/>
      </w:pPr>
      <w:r>
        <w:t xml:space="preserve">Author Note</w:t>
      </w:r>
    </w:p>
    <w:p>
      <w:pPr>
        <w:pStyle w:val="FirstParagraph"/>
      </w:pPr>
      <w:r>
        <w:t xml:space="preserve">Jacobo Campo Robledo</w:t>
      </w:r>
      <w:r>
        <w:t xml:space="preserve"> </w:t>
      </w:r>
      <w:bookmarkStart w:id="26" w:name="orc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https://orcid.org/0000-0000-0000-0000</w:t>
        </w:r>
      </w:hyperlink>
    </w:p>
    <w:p>
      <w:pPr>
        <w:pStyle w:val="BodyText"/>
      </w:pPr>
      <w:r>
        <w:t xml:space="preserve">Juan Diego Moreno Sánchez</w:t>
      </w:r>
      <w:r>
        <w:t xml:space="preserve"> </w:t>
      </w:r>
      <w:bookmarkStart w:id="30" w:name="orcid"/>
      <w:r>
        <w:drawing>
          <wp:inline>
            <wp:extent cx="152279" cy="152279"/>
            <wp:effectExtent b="0" l="0" r="0" t="0"/>
            <wp:docPr descr="Orcid ID Logo: A green circle with white letters ID" title="" id="28" name="Picture"/>
            <a:graphic>
              <a:graphicData uri="http://schemas.openxmlformats.org/drawingml/2006/picture">
                <pic:pic>
                  <pic:nvPicPr>
                    <pic:cNvPr descr="_extensions/wjschne/apaquarto/ORCID-iD_icon-vector.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0"/>
      <w:r>
        <w:t xml:space="preserve"> </w:t>
      </w:r>
      <w:hyperlink r:id="rId27">
        <w:r>
          <w:rPr>
            <w:rStyle w:val="Hyperlink"/>
          </w:rPr>
          <w:t xml:space="preserve">https://orcid.org/0000-0000-0000-0000</w:t>
        </w:r>
      </w:hyperlink>
    </w:p>
    <w:p>
      <w:pPr>
        <w:pStyle w:val="BodyText"/>
      </w:pPr>
      <w:r>
        <w:t xml:space="preserve">Los autores declaran que no tienen conflictos de intereses.</w:t>
      </w:r>
    </w:p>
    <w:p>
      <w:pPr>
        <w:pStyle w:val="BodyText"/>
      </w:pPr>
      <w:r>
        <w:t xml:space="preserve">Author roles were classified using the Contributor Role Taxonomy (CRediT; https://credit.niso.org/) as follows: </w:t>
      </w:r>
      <w:r>
        <w:rPr>
          <w:i/>
          <w:iCs/>
        </w:rPr>
        <w:t xml:space="preserve">Jacobo Campo Robledo</w:t>
      </w:r>
      <w:r>
        <w:rPr>
          <w:b/>
          <w:bCs/>
        </w:rPr>
        <w:t xml:space="preserve">: </w:t>
      </w:r>
      <w:r>
        <w:t xml:space="preserve">writing – original draft, conceptualization, and formal analysis. </w:t>
      </w:r>
      <w:r>
        <w:rPr>
          <w:i/>
          <w:iCs/>
        </w:rPr>
        <w:t xml:space="preserve">Juan Diego Moreno Sánchez</w:t>
      </w:r>
      <w:r>
        <w:rPr>
          <w:b/>
          <w:bCs/>
        </w:rPr>
        <w:t xml:space="preserve">: </w:t>
      </w:r>
      <w:r>
        <w:t xml:space="preserve">methodology and writing – original draft</w:t>
      </w:r>
    </w:p>
    <w:p>
      <w:pPr>
        <w:pStyle w:val="BodyText"/>
      </w:pPr>
      <w:r>
        <w:t xml:space="preserve">Correspondence concerning this article should be addressed to Jacobo Campo Robledo, Facultad de Ciencias Económicas y Administrativas, Universidad Católica de Colombia, Email:</w:t>
      </w:r>
      <w:r>
        <w:t xml:space="preserve"> </w:t>
      </w:r>
      <w:hyperlink r:id="rId31">
        <w:r>
          <w:rPr>
            <w:rStyle w:val="Hyperlink"/>
          </w:rPr>
          <w:t xml:space="preserve">jacampo@ucatolica.edu.co</w:t>
        </w:r>
      </w:hyperlink>
    </w:p>
    <w:p>
      <w:r>
        <w:br w:type="page"/>
      </w:r>
    </w:p>
    <w:bookmarkEnd w:id="32"/>
    <w:bookmarkStart w:id="33" w:name="abstract"/>
    <w:p>
      <w:pPr>
        <w:pStyle w:val="Heading1"/>
      </w:pPr>
      <w:r>
        <w:t xml:space="preserve">Resumen</w:t>
      </w:r>
    </w:p>
    <w:p>
      <w:pPr>
        <w:pStyle w:val="FirstParagraph"/>
      </w:pPr>
      <w:r>
        <w:rPr>
          <w:i/>
          <w:iCs/>
        </w:rPr>
        <w:t xml:space="preserve">Palabras clave</w:t>
      </w:r>
      <w:r>
        <w:t xml:space="preserve">:</w:t>
      </w:r>
    </w:p>
    <w:p>
      <w:r>
        <w:br w:type="page"/>
      </w:r>
    </w:p>
    <w:bookmarkEnd w:id="33"/>
    <w:bookmarkStart w:id="35" w:name="firstheader"/>
    <w:p>
      <w:pPr>
        <w:pStyle w:val="Heading1"/>
      </w:pPr>
      <w:r>
        <w:t xml:space="preserve">Nowcasting del crecimiento económico en Colombia mediante modelos bayesianos de frecuencia mixta</w:t>
      </w:r>
    </w:p>
    <w:bookmarkStart w:id="34" w:name="nota-para-el-profe"/>
    <w:p>
      <w:pPr>
        <w:pStyle w:val="Heading2"/>
      </w:pPr>
      <w:r>
        <w:t xml:space="preserve">Nota para el profe</w:t>
      </w:r>
    </w:p>
    <w:p>
      <w:pPr>
        <w:pStyle w:val="FirstParagraph"/>
      </w:pPr>
      <w:r>
        <w:t xml:space="preserve">Voy a seguir la siguiente estructura para la metodologia, esta pensada para ser ordenada y ser coherente con el objetivo de la investigación.</w:t>
      </w:r>
    </w:p>
    <w:p>
      <w:pPr>
        <w:numPr>
          <w:ilvl w:val="0"/>
          <w:numId w:val="1001"/>
        </w:numPr>
      </w:pPr>
      <w:r>
        <w:t xml:space="preserve">Econometric Methodology</w:t>
      </w:r>
    </w:p>
    <w:p>
      <w:pPr>
        <w:numPr>
          <w:ilvl w:val="0"/>
          <w:numId w:val="1000"/>
        </w:numPr>
      </w:pPr>
      <w:r>
        <w:t xml:space="preserve">3.1. Mixed-Frequency BVAR in State-Space Form</w:t>
      </w:r>
    </w:p>
    <w:p>
      <w:pPr>
        <w:pStyle w:val="SourceCode"/>
        <w:numPr>
          <w:ilvl w:val="0"/>
          <w:numId w:val="1000"/>
        </w:numPr>
      </w:pPr>
      <w:r>
        <w:rPr>
          <w:rStyle w:val="VerbatimChar"/>
        </w:rPr>
        <w:t xml:space="preserve"> 3.1.1. State-Space Representation of the MF-BVAR</w:t>
      </w:r>
      <w:r>
        <w:br/>
      </w:r>
      <w:r>
        <w:br/>
      </w:r>
      <w:r>
        <w:rPr>
          <w:rStyle w:val="VerbatimChar"/>
        </w:rPr>
        <w:t xml:space="preserve"> 3.1.2. Transition Equation and Latent Dynamics</w:t>
      </w:r>
      <w:r>
        <w:br/>
      </w:r>
      <w:r>
        <w:br/>
      </w:r>
      <w:r>
        <w:rPr>
          <w:rStyle w:val="VerbatimChar"/>
        </w:rPr>
        <w:t xml:space="preserve"> 3.1.3. Temporal Aggregation and the Measurement Equation</w:t>
      </w:r>
    </w:p>
    <w:p>
      <w:pPr>
        <w:numPr>
          <w:ilvl w:val="0"/>
          <w:numId w:val="1000"/>
        </w:numPr>
      </w:pPr>
      <w:r>
        <w:t xml:space="preserve">3.2. Prior Distribution and Bayesian Shrinkage</w:t>
      </w:r>
    </w:p>
    <w:p>
      <w:pPr>
        <w:pStyle w:val="SourceCode"/>
        <w:numPr>
          <w:ilvl w:val="0"/>
          <w:numId w:val="1000"/>
        </w:numPr>
      </w:pPr>
      <w:r>
        <w:rPr>
          <w:rStyle w:val="VerbatimChar"/>
        </w:rPr>
        <w:t xml:space="preserve"> 3.2.1. Conjugate Matrix Normal-Inverse Wishart Prior</w:t>
      </w:r>
      <w:r>
        <w:br/>
      </w:r>
      <w:r>
        <w:br/>
      </w:r>
      <w:r>
        <w:rPr>
          <w:rStyle w:val="VerbatimChar"/>
        </w:rPr>
        <w:t xml:space="preserve"> 3.2.2. Minnesota Prior Specification and Hyperparameter Tuning</w:t>
      </w:r>
    </w:p>
    <w:p>
      <w:pPr>
        <w:numPr>
          <w:ilvl w:val="0"/>
          <w:numId w:val="1000"/>
        </w:numPr>
      </w:pPr>
      <w:r>
        <w:t xml:space="preserve">3.3. Posterior Inference via Gibbs Sampling (Carter-Kohn Smoother)</w:t>
      </w:r>
    </w:p>
    <w:p>
      <w:pPr>
        <w:numPr>
          <w:ilvl w:val="0"/>
          <w:numId w:val="1000"/>
        </w:numPr>
      </w:pPr>
      <w:r>
        <w:t xml:space="preserve">3.4. Benchmark Model: The Unrestricted Mixed-Data Sampling (U-MIDAS)</w:t>
      </w:r>
    </w:p>
    <w:p>
      <w:pPr>
        <w:numPr>
          <w:ilvl w:val="0"/>
          <w:numId w:val="1000"/>
        </w:numPr>
      </w:pPr>
      <w:r>
        <w:t xml:space="preserve">3.5. Out-of-Sample Evaluation Scheme and Forecast Metrics</w:t>
      </w:r>
    </w:p>
    <w:bookmarkEnd w:id="34"/>
    <w:bookmarkEnd w:id="35"/>
    <w:bookmarkStart w:id="36" w:name="data"/>
    <w:p>
      <w:pPr>
        <w:pStyle w:val="Heading1"/>
      </w:pPr>
      <w:r>
        <w:t xml:space="preserve">Data</w:t>
      </w:r>
    </w:p>
    <w:p>
      <w:pPr>
        <w:pStyle w:val="FirstParagraph"/>
      </w:pPr>
      <w:r>
        <w:t xml:space="preserve">To empirically illustrate the asynchronous data publication problem (the</w:t>
      </w:r>
      <w:r>
        <w:t xml:space="preserve"> </w:t>
      </w:r>
      <w:r>
        <w:rPr>
          <w:i/>
          <w:iCs/>
        </w:rPr>
        <w:t xml:space="preserve">ragged edge</w:t>
      </w:r>
      <w:r>
        <w:t xml:space="preserve">), we evaluate a real-time data vintage with a cutoff date of July 1, 2026. The objective is to nowcast the second quarter (Q2-2026) Gross Domestic Product (GDP), which the National Administrative Department of Statistics (DANE) officially releases on August 15, 2026. Table X details the exact availability of each variable in the information set at this specific cutoff, reflecting the official publication lags of the respective sources.</w:t>
      </w:r>
    </w:p>
    <w:tbl>
      <w:tblPr>
        <w:tblStyle w:val="Table"/>
        <w:tblW w:type="pct" w:w="5000"/>
        <w:tblLayout w:type="fixed"/>
        <w:tblLook w:firstRow="1" w:lastRow="0" w:firstColumn="0" w:lastColumn="0" w:noHBand="0" w:noVBand="0" w:val="0020"/>
      </w:tblPr>
      <w:tblGrid>
        <w:gridCol w:w="1440"/>
        <w:gridCol w:w="1800"/>
        <w:gridCol w:w="1440"/>
        <w:gridCol w:w="1800"/>
        <w:gridCol w:w="1440"/>
      </w:tblGrid>
      <w:tr>
        <w:trPr>
          <w:tblHeader w:val="on"/>
        </w:trPr>
        <w:tc>
          <w:tcPr/>
          <w:p>
            <w:pPr>
              <w:pStyle w:val="Compact"/>
              <w:jc w:val="left"/>
            </w:pPr>
            <w:r>
              <w:t xml:space="preserve">Variable</w:t>
            </w:r>
          </w:p>
        </w:tc>
        <w:tc>
          <w:tcPr/>
          <w:p>
            <w:pPr>
              <w:pStyle w:val="Compact"/>
              <w:jc w:val="center"/>
            </w:pPr>
            <w:r>
              <w:t xml:space="preserve">Frequency</w:t>
            </w:r>
          </w:p>
        </w:tc>
        <w:tc>
          <w:tcPr/>
          <w:p>
            <w:pPr>
              <w:pStyle w:val="Compact"/>
              <w:jc w:val="left"/>
            </w:pPr>
            <w:r>
              <w:t xml:space="preserve">Source</w:t>
            </w:r>
          </w:p>
        </w:tc>
        <w:tc>
          <w:tcPr/>
          <w:p>
            <w:pPr>
              <w:pStyle w:val="Compact"/>
              <w:jc w:val="center"/>
            </w:pPr>
            <w:r>
              <w:t xml:space="preserve">Last Available Observation</w:t>
            </w:r>
          </w:p>
        </w:tc>
        <w:tc>
          <w:tcPr/>
          <w:p>
            <w:pPr>
              <w:pStyle w:val="Compact"/>
              <w:jc w:val="left"/>
            </w:pPr>
            <w:r>
              <w:t xml:space="preserve">Status at Cutoff (July 1, 2026)</w:t>
            </w:r>
          </w:p>
        </w:tc>
      </w:tr>
      <w:tr>
        <w:tc>
          <w:tcPr/>
          <w:p>
            <w:pPr>
              <w:pStyle w:val="Compact"/>
              <w:jc w:val="left"/>
            </w:pPr>
            <w:r>
              <w:t xml:space="preserve">Gross Domestic Product (GDP)</w:t>
            </w:r>
          </w:p>
        </w:tc>
        <w:tc>
          <w:tcPr/>
          <w:p>
            <w:pPr>
              <w:pStyle w:val="Compact"/>
              <w:jc w:val="center"/>
            </w:pPr>
            <w:r>
              <w:t xml:space="preserve">Quarterly</w:t>
            </w:r>
          </w:p>
        </w:tc>
        <w:tc>
          <w:tcPr/>
          <w:p>
            <w:pPr>
              <w:pStyle w:val="Compact"/>
              <w:jc w:val="left"/>
            </w:pPr>
            <w:r>
              <w:t xml:space="preserve">DANE</w:t>
            </w:r>
          </w:p>
        </w:tc>
        <w:tc>
          <w:tcPr/>
          <w:p>
            <w:pPr>
              <w:pStyle w:val="Compact"/>
              <w:jc w:val="center"/>
            </w:pPr>
            <w:r>
              <w:t xml:space="preserve">Q1-2026</w:t>
            </w:r>
          </w:p>
        </w:tc>
        <w:tc>
          <w:tcPr/>
          <w:p>
            <w:pPr>
              <w:pStyle w:val="Compact"/>
              <w:jc w:val="left"/>
            </w:pPr>
            <w:r>
              <w:t xml:space="preserve">Missing Q2-2026</w:t>
            </w:r>
          </w:p>
        </w:tc>
      </w:tr>
      <w:tr>
        <w:tc>
          <w:tcPr/>
          <w:p>
            <w:pPr>
              <w:pStyle w:val="Compact"/>
              <w:jc w:val="left"/>
            </w:pPr>
            <w:r>
              <w:t xml:space="preserve">Economic Tracking Indicator (ISE)</w:t>
            </w:r>
          </w:p>
        </w:tc>
        <w:tc>
          <w:tcPr/>
          <w:p>
            <w:pPr>
              <w:pStyle w:val="Compact"/>
              <w:jc w:val="center"/>
            </w:pPr>
            <w:r>
              <w:t xml:space="preserve">Monthly</w:t>
            </w:r>
          </w:p>
        </w:tc>
        <w:tc>
          <w:tcPr/>
          <w:p>
            <w:pPr>
              <w:pStyle w:val="Compact"/>
              <w:jc w:val="left"/>
            </w:pPr>
            <w:r>
              <w:t xml:space="preserve">DANE</w:t>
            </w:r>
          </w:p>
        </w:tc>
        <w:tc>
          <w:tcPr/>
          <w:p>
            <w:pPr>
              <w:pStyle w:val="Compact"/>
              <w:jc w:val="center"/>
            </w:pPr>
            <w:r>
              <w:t xml:space="preserve">April 2026</w:t>
            </w:r>
          </w:p>
        </w:tc>
        <w:tc>
          <w:tcPr/>
          <w:p>
            <w:pPr>
              <w:pStyle w:val="Compact"/>
              <w:jc w:val="left"/>
            </w:pPr>
            <w:r>
              <w:t xml:space="preserve">Missing May &amp; June</w:t>
            </w:r>
          </w:p>
        </w:tc>
      </w:tr>
      <w:tr>
        <w:tc>
          <w:tcPr/>
          <w:p>
            <w:pPr>
              <w:pStyle w:val="Compact"/>
              <w:jc w:val="left"/>
            </w:pPr>
            <w:r>
              <w:t xml:space="preserve">Industrial Production Index (IPI)</w:t>
            </w:r>
          </w:p>
        </w:tc>
        <w:tc>
          <w:tcPr/>
          <w:p>
            <w:pPr>
              <w:pStyle w:val="Compact"/>
              <w:jc w:val="center"/>
            </w:pPr>
            <w:r>
              <w:t xml:space="preserve">Monthly</w:t>
            </w:r>
          </w:p>
        </w:tc>
        <w:tc>
          <w:tcPr/>
          <w:p>
            <w:pPr>
              <w:pStyle w:val="Compact"/>
              <w:jc w:val="left"/>
            </w:pPr>
            <w:r>
              <w:t xml:space="preserve">DANE</w:t>
            </w:r>
          </w:p>
        </w:tc>
        <w:tc>
          <w:tcPr/>
          <w:p>
            <w:pPr>
              <w:pStyle w:val="Compact"/>
              <w:jc w:val="center"/>
            </w:pPr>
            <w:r>
              <w:t xml:space="preserve">April 2026</w:t>
            </w:r>
          </w:p>
        </w:tc>
        <w:tc>
          <w:tcPr/>
          <w:p>
            <w:pPr>
              <w:pStyle w:val="Compact"/>
              <w:jc w:val="left"/>
            </w:pPr>
            <w:r>
              <w:t xml:space="preserve">Missing May &amp; June</w:t>
            </w:r>
          </w:p>
        </w:tc>
      </w:tr>
      <w:tr>
        <w:tc>
          <w:tcPr/>
          <w:p>
            <w:pPr>
              <w:pStyle w:val="Compact"/>
              <w:jc w:val="left"/>
            </w:pPr>
            <w:r>
              <w:t xml:space="preserve">Retail Trade Index (ICM)</w:t>
            </w:r>
          </w:p>
        </w:tc>
        <w:tc>
          <w:tcPr/>
          <w:p>
            <w:pPr>
              <w:pStyle w:val="Compact"/>
              <w:jc w:val="center"/>
            </w:pPr>
            <w:r>
              <w:t xml:space="preserve">Monthly</w:t>
            </w:r>
          </w:p>
        </w:tc>
        <w:tc>
          <w:tcPr/>
          <w:p>
            <w:pPr>
              <w:pStyle w:val="Compact"/>
              <w:jc w:val="left"/>
            </w:pPr>
            <w:r>
              <w:t xml:space="preserve">DANE</w:t>
            </w:r>
          </w:p>
        </w:tc>
        <w:tc>
          <w:tcPr/>
          <w:p>
            <w:pPr>
              <w:pStyle w:val="Compact"/>
              <w:jc w:val="center"/>
            </w:pPr>
            <w:r>
              <w:t xml:space="preserve">April 2026</w:t>
            </w:r>
          </w:p>
        </w:tc>
        <w:tc>
          <w:tcPr/>
          <w:p>
            <w:pPr>
              <w:pStyle w:val="Compact"/>
              <w:jc w:val="left"/>
            </w:pPr>
            <w:r>
              <w:t xml:space="preserve">Missing May &amp; June</w:t>
            </w:r>
          </w:p>
        </w:tc>
      </w:tr>
      <w:tr>
        <w:tc>
          <w:tcPr/>
          <w:p>
            <w:pPr>
              <w:pStyle w:val="Compact"/>
              <w:jc w:val="left"/>
            </w:pPr>
            <w:r>
              <w:t xml:space="preserve">Unemployment Rate (TD)</w:t>
            </w:r>
          </w:p>
        </w:tc>
        <w:tc>
          <w:tcPr/>
          <w:p>
            <w:pPr>
              <w:pStyle w:val="Compact"/>
              <w:jc w:val="center"/>
            </w:pPr>
            <w:r>
              <w:t xml:space="preserve">Monthly</w:t>
            </w:r>
          </w:p>
        </w:tc>
        <w:tc>
          <w:tcPr/>
          <w:p>
            <w:pPr>
              <w:pStyle w:val="Compact"/>
              <w:jc w:val="left"/>
            </w:pPr>
            <w:r>
              <w:t xml:space="preserve">DANE</w:t>
            </w:r>
          </w:p>
        </w:tc>
        <w:tc>
          <w:tcPr/>
          <w:p>
            <w:pPr>
              <w:pStyle w:val="Compact"/>
              <w:jc w:val="center"/>
            </w:pPr>
            <w:r>
              <w:t xml:space="preserve">May 2026</w:t>
            </w:r>
          </w:p>
        </w:tc>
        <w:tc>
          <w:tcPr/>
          <w:p>
            <w:pPr>
              <w:pStyle w:val="Compact"/>
              <w:jc w:val="left"/>
            </w:pPr>
            <w:r>
              <w:t xml:space="preserve">Missing June</w:t>
            </w:r>
          </w:p>
        </w:tc>
      </w:tr>
      <w:tr>
        <w:tc>
          <w:tcPr/>
          <w:p>
            <w:pPr>
              <w:pStyle w:val="Compact"/>
              <w:jc w:val="left"/>
            </w:pPr>
            <w:r>
              <w:t xml:space="preserve">Inflation (CPI)</w:t>
            </w:r>
          </w:p>
        </w:tc>
        <w:tc>
          <w:tcPr/>
          <w:p>
            <w:pPr>
              <w:pStyle w:val="Compact"/>
              <w:jc w:val="center"/>
            </w:pPr>
            <w:r>
              <w:t xml:space="preserve">Monthly</w:t>
            </w:r>
          </w:p>
        </w:tc>
        <w:tc>
          <w:tcPr/>
          <w:p>
            <w:pPr>
              <w:pStyle w:val="Compact"/>
              <w:jc w:val="left"/>
            </w:pPr>
            <w:r>
              <w:t xml:space="preserve">DANE</w:t>
            </w:r>
          </w:p>
        </w:tc>
        <w:tc>
          <w:tcPr/>
          <w:p>
            <w:pPr>
              <w:pStyle w:val="Compact"/>
              <w:jc w:val="center"/>
            </w:pPr>
            <w:r>
              <w:t xml:space="preserve">May 2026</w:t>
            </w:r>
          </w:p>
        </w:tc>
        <w:tc>
          <w:tcPr/>
          <w:p>
            <w:pPr>
              <w:pStyle w:val="Compact"/>
              <w:jc w:val="left"/>
            </w:pPr>
            <w:r>
              <w:t xml:space="preserve">Missing June</w:t>
            </w:r>
          </w:p>
        </w:tc>
      </w:tr>
      <w:tr>
        <w:tc>
          <w:tcPr/>
          <w:p>
            <w:pPr>
              <w:pStyle w:val="Compact"/>
              <w:jc w:val="left"/>
            </w:pPr>
            <w:r>
              <w:t xml:space="preserve">Consumer Confidence Index (ICC)</w:t>
            </w:r>
          </w:p>
        </w:tc>
        <w:tc>
          <w:tcPr/>
          <w:p>
            <w:pPr>
              <w:pStyle w:val="Compact"/>
              <w:jc w:val="center"/>
            </w:pPr>
            <w:r>
              <w:t xml:space="preserve">Monthly</w:t>
            </w:r>
          </w:p>
        </w:tc>
        <w:tc>
          <w:tcPr/>
          <w:p>
            <w:pPr>
              <w:pStyle w:val="Compact"/>
              <w:jc w:val="left"/>
            </w:pPr>
            <w:r>
              <w:t xml:space="preserve">Fedesarrollo</w:t>
            </w:r>
          </w:p>
        </w:tc>
        <w:tc>
          <w:tcPr/>
          <w:p>
            <w:pPr>
              <w:pStyle w:val="Compact"/>
              <w:jc w:val="center"/>
            </w:pPr>
            <w:r>
              <w:t xml:space="preserve">May 2026</w:t>
            </w:r>
          </w:p>
        </w:tc>
        <w:tc>
          <w:tcPr/>
          <w:p>
            <w:pPr>
              <w:pStyle w:val="Compact"/>
              <w:jc w:val="left"/>
            </w:pPr>
            <w:r>
              <w:t xml:space="preserve">Missing June</w:t>
            </w:r>
          </w:p>
        </w:tc>
      </w:tr>
      <w:tr>
        <w:tc>
          <w:tcPr/>
          <w:p>
            <w:pPr>
              <w:pStyle w:val="Compact"/>
              <w:jc w:val="left"/>
            </w:pPr>
            <w:r>
              <w:t xml:space="preserve">Exchange Rate (TRM)</w:t>
            </w:r>
          </w:p>
        </w:tc>
        <w:tc>
          <w:tcPr/>
          <w:p>
            <w:pPr>
              <w:pStyle w:val="Compact"/>
              <w:jc w:val="center"/>
            </w:pPr>
            <w:r>
              <w:t xml:space="preserve">Monthly</w:t>
            </w:r>
          </w:p>
        </w:tc>
        <w:tc>
          <w:tcPr/>
          <w:p>
            <w:pPr>
              <w:pStyle w:val="Compact"/>
              <w:jc w:val="left"/>
            </w:pPr>
            <w:r>
              <w:t xml:space="preserve">BanRep / SFC</w:t>
            </w:r>
          </w:p>
        </w:tc>
        <w:tc>
          <w:tcPr/>
          <w:p>
            <w:pPr>
              <w:pStyle w:val="Compact"/>
              <w:jc w:val="center"/>
            </w:pPr>
            <w:r>
              <w:t xml:space="preserve">May 2026</w:t>
            </w:r>
          </w:p>
        </w:tc>
        <w:tc>
          <w:tcPr/>
          <w:p>
            <w:pPr>
              <w:pStyle w:val="Compact"/>
              <w:jc w:val="left"/>
            </w:pPr>
            <w:r>
              <w:t xml:space="preserve">Missing June</w:t>
            </w:r>
          </w:p>
        </w:tc>
      </w:tr>
      <w:tr>
        <w:tc>
          <w:tcPr/>
          <w:p>
            <w:pPr>
              <w:pStyle w:val="Compact"/>
              <w:jc w:val="left"/>
            </w:pPr>
            <w:r>
              <w:t xml:space="preserve">Monetary Policy Rate</w:t>
            </w:r>
          </w:p>
        </w:tc>
        <w:tc>
          <w:tcPr/>
          <w:p>
            <w:pPr>
              <w:pStyle w:val="Compact"/>
              <w:jc w:val="center"/>
            </w:pPr>
            <w:r>
              <w:t xml:space="preserve">Monthly</w:t>
            </w:r>
          </w:p>
        </w:tc>
        <w:tc>
          <w:tcPr/>
          <w:p>
            <w:pPr>
              <w:pStyle w:val="Compact"/>
              <w:jc w:val="left"/>
            </w:pPr>
            <w:r>
              <w:t xml:space="preserve">BanRep</w:t>
            </w:r>
          </w:p>
        </w:tc>
        <w:tc>
          <w:tcPr/>
          <w:p>
            <w:pPr>
              <w:pStyle w:val="Compact"/>
              <w:jc w:val="center"/>
            </w:pPr>
            <w:r>
              <w:t xml:space="preserve">May 2026</w:t>
            </w:r>
          </w:p>
        </w:tc>
        <w:tc>
          <w:tcPr/>
          <w:p>
            <w:pPr>
              <w:pStyle w:val="Compact"/>
              <w:jc w:val="left"/>
            </w:pPr>
            <w:r>
              <w:t xml:space="preserve">Missing June</w:t>
            </w:r>
          </w:p>
        </w:tc>
      </w:tr>
      <w:tr>
        <w:tc>
          <w:tcPr/>
          <w:p>
            <w:pPr>
              <w:pStyle w:val="Compact"/>
              <w:jc w:val="left"/>
            </w:pPr>
            <w:r>
              <w:t xml:space="preserve">Brent Oil Price</w:t>
            </w:r>
          </w:p>
        </w:tc>
        <w:tc>
          <w:tcPr/>
          <w:p>
            <w:pPr>
              <w:pStyle w:val="Compact"/>
              <w:jc w:val="center"/>
            </w:pPr>
            <w:r>
              <w:t xml:space="preserve">Monthly</w:t>
            </w:r>
          </w:p>
        </w:tc>
        <w:tc>
          <w:tcPr/>
          <w:p>
            <w:pPr>
              <w:pStyle w:val="Compact"/>
              <w:jc w:val="left"/>
            </w:pPr>
            <w:r>
              <w:t xml:space="preserve">World Bank / FRED</w:t>
            </w:r>
          </w:p>
        </w:tc>
        <w:tc>
          <w:tcPr/>
          <w:p>
            <w:pPr>
              <w:pStyle w:val="Compact"/>
              <w:jc w:val="center"/>
            </w:pPr>
            <w:r>
              <w:t xml:space="preserve">May 2026</w:t>
            </w:r>
          </w:p>
        </w:tc>
        <w:tc>
          <w:tcPr/>
          <w:p>
            <w:pPr>
              <w:pStyle w:val="Compact"/>
              <w:jc w:val="left"/>
            </w:pPr>
            <w:r>
              <w:t xml:space="preserve">Missing June</w:t>
            </w:r>
          </w:p>
        </w:tc>
      </w:tr>
    </w:tbl>
    <w:bookmarkEnd w:id="36"/>
    <w:bookmarkStart w:id="46" w:name="methodology"/>
    <w:p>
      <w:pPr>
        <w:pStyle w:val="Heading1"/>
      </w:pPr>
      <w:r>
        <w:t xml:space="preserve">Methodology</w:t>
      </w:r>
    </w:p>
    <w:p>
      <w:pPr>
        <w:pStyle w:val="FirstParagraph"/>
      </w:pPr>
      <w:r>
        <w:t xml:space="preserve">Real-time macroeconomic forecasting and inference face two primary data constraints: the frequency mismatch between monthly high-frequency indicators and quarterly national accounts, and the asynchronous release calendars across statistical agencies (the ragged-edge problem). Standard workarounds typically aggregate monthly indicators to quarterly frequency—discarding valuable intra-quarterly dynamics—or interpolate quarterly series using monthly proxies, which distorts the true behavior of the target variable. Instead, we implement a Mixed-Frequency Bayesian Vector Autoregressive (MF-BVAR) framework cast in state-space form</w:t>
      </w:r>
      <w:r>
        <w:t xml:space="preserve"> </w:t>
      </w:r>
      <w:r>
        <w:t xml:space="preserve">(</w:t>
      </w:r>
      <w:hyperlink w:anchor="ref-ankargren2020mfbvar">
        <w:r>
          <w:rPr>
            <w:rStyle w:val="Hyperlink"/>
          </w:rPr>
          <w:t xml:space="preserve">Ankargren &amp; Jonéus, 2020</w:t>
        </w:r>
      </w:hyperlink>
      <w:r>
        <w:t xml:space="preserve">;</w:t>
      </w:r>
      <w:r>
        <w:t xml:space="preserve"> </w:t>
      </w:r>
      <w:hyperlink w:anchor="ref-schorfheide2015real">
        <w:r>
          <w:rPr>
            <w:rStyle w:val="Hyperlink"/>
          </w:rPr>
          <w:t xml:space="preserve">Schorfheide &amp; Song, 2015</w:t>
        </w:r>
      </w:hyperlink>
      <w:r>
        <w:t xml:space="preserve">)</w:t>
      </w:r>
      <w:r>
        <w:t xml:space="preserve">. Under this setup, quarterly Gross Domestic Product (GDP) is treated as a partially observed latent monthly process linked to the system through a deterministic temporal aggregation identity.</w:t>
      </w:r>
    </w:p>
    <w:p>
      <w:pPr>
        <w:pStyle w:val="BodyText"/>
      </w:pPr>
      <w:r>
        <w:t xml:space="preserve">To discipline parameter estimation in a medium-scale system subject to finite-sample overparameterization, we employ a conjugate Matrix Normal-Inverse Wishart prior with Minnesota-type shrinkage and simulate the joint posterior distribution via Gibbs sampling with the Carter-Kohn filter-smoother</w:t>
      </w:r>
      <w:r>
        <w:t xml:space="preserve"> </w:t>
      </w:r>
      <w:r>
        <w:t xml:space="preserve">(</w:t>
      </w:r>
      <w:hyperlink w:anchor="ref-banbura2010large">
        <w:r>
          <w:rPr>
            <w:rStyle w:val="Hyperlink"/>
          </w:rPr>
          <w:t xml:space="preserve">Bańbura et al., 2010</w:t>
        </w:r>
      </w:hyperlink>
      <w:r>
        <w:t xml:space="preserve">;</w:t>
      </w:r>
      <w:r>
        <w:t xml:space="preserve"> </w:t>
      </w:r>
      <w:hyperlink w:anchor="ref-carter1994gibbs">
        <w:r>
          <w:rPr>
            <w:rStyle w:val="Hyperlink"/>
          </w:rPr>
          <w:t xml:space="preserve">Carter &amp; Kohn, 1994</w:t>
        </w:r>
      </w:hyperlink>
      <w:r>
        <w:t xml:space="preserve">)</w:t>
      </w:r>
      <w:r>
        <w:t xml:space="preserve">. Furthermore, to evaluate predictive gains against established single-equation methods, we specify an Unrestricted Mixed-Data Sampling (U-MIDAS) model as a competing benchmark</w:t>
      </w:r>
      <w:r>
        <w:t xml:space="preserve"> </w:t>
      </w:r>
      <w:r>
        <w:t xml:space="preserve">(</w:t>
      </w:r>
      <w:hyperlink w:anchor="ref-foroni2015unrestricted">
        <w:r>
          <w:rPr>
            <w:rStyle w:val="Hyperlink"/>
          </w:rPr>
          <w:t xml:space="preserve">Foroni et al., 2015</w:t>
        </w:r>
      </w:hyperlink>
      <w:r>
        <w:t xml:space="preserve">;</w:t>
      </w:r>
      <w:r>
        <w:t xml:space="preserve"> </w:t>
      </w:r>
      <w:hyperlink w:anchor="ref-kuzin2011midas">
        <w:r>
          <w:rPr>
            <w:rStyle w:val="Hyperlink"/>
          </w:rPr>
          <w:t xml:space="preserve">Kuzin et al., 2011</w:t>
        </w:r>
      </w:hyperlink>
      <w:r>
        <w:t xml:space="preserve">)</w:t>
      </w:r>
      <w:r>
        <w:t xml:space="preserve">.</w:t>
      </w:r>
    </w:p>
    <w:bookmarkStart w:id="39" w:name="X852829dd599ad337306164b0affda9dd8203351"/>
    <w:p>
      <w:pPr>
        <w:pStyle w:val="Heading2"/>
      </w:pPr>
      <w:r>
        <w:t xml:space="preserve">State-Space Representation of the MF-BVAR</w:t>
      </w:r>
    </w:p>
    <w:p>
      <w:pPr>
        <w:pStyle w:val="FirstParagraph"/>
      </w:pPr>
      <w:r>
        <w:t xml:space="preserve">Let</w:t>
      </w:r>
      <w:r>
        <w:t xml:space="preserve"> </w:t>
      </w:r>
      <m:oMath>
        <m:sSub>
          <m:e>
            <m:r>
              <m:t>x</m:t>
            </m:r>
          </m:e>
          <m:sub>
            <m:r>
              <m:t>t</m:t>
            </m:r>
          </m:sub>
        </m:sSub>
      </m:oMath>
      <w:r>
        <w:t xml:space="preserve"> </w:t>
      </w:r>
      <w:r>
        <w:t xml:space="preserve">denote an</w:t>
      </w:r>
      <w:r>
        <w:t xml:space="preserve"> </w:t>
      </w:r>
      <m:oMath>
        <m:r>
          <m:t>n</m:t>
        </m:r>
        <m:r>
          <m:rPr>
            <m:sty m:val="p"/>
          </m:rPr>
          <m:t>×</m:t>
        </m:r>
        <m:r>
          <m:t>1</m:t>
        </m:r>
      </m:oMath>
      <w:r>
        <w:t xml:space="preserve"> </w:t>
      </w:r>
      <w:r>
        <w:t xml:space="preserve">stochastic vector evolving at a monthly frequency</w:t>
      </w:r>
      <w:r>
        <w:t xml:space="preserve"> </w:t>
      </w:r>
      <m:oMath>
        <m:r>
          <m:t>t</m:t>
        </m:r>
      </m:oMath>
      <w:r>
        <w:t xml:space="preserve">, partitioned into observable high-frequency variables and unobserved latent processes:</w:t>
      </w:r>
    </w:p>
    <w:p>
      <w:pPr>
        <w:pStyle w:val="BodyText"/>
      </w:pPr>
      <m:oMathPara>
        <m:oMathParaPr>
          <m:jc m:val="center"/>
        </m:oMathParaPr>
        <m:oMath>
          <m:sSub>
            <m:e>
              <m:r>
                <m:t>x</m:t>
              </m:r>
            </m:e>
            <m:sub>
              <m:r>
                <m:t>t</m:t>
              </m:r>
            </m:sub>
          </m:sSub>
          <m:r>
            <m:rPr>
              <m:sty m:val="p"/>
            </m:rPr>
            <m:t>=</m:t>
          </m:r>
          <m:d>
            <m:dPr>
              <m:begChr m:val="["/>
              <m:sepChr m:val=""/>
              <m:endChr m:val="]"/>
              <m:grow/>
            </m:dPr>
            <m:e>
              <m:m>
                <m:mPr>
                  <m:baseJc m:val="center"/>
                  <m:plcHide m:val="on"/>
                  <m:mcs>
                    <m:mc>
                      <m:mcPr>
                        <m:mcJc m:val="center"/>
                        <m:count m:val="1"/>
                      </m:mcPr>
                    </m:mc>
                  </m:mcs>
                </m:mPr>
                <m:mr>
                  <m:e>
                    <m:sSub>
                      <m:e>
                        <m:r>
                          <m:t>x</m:t>
                        </m:r>
                      </m:e>
                      <m:sub>
                        <m:r>
                          <m:t>m</m:t>
                        </m:r>
                        <m:r>
                          <m:rPr>
                            <m:sty m:val="p"/>
                          </m:rPr>
                          <m:t>,</m:t>
                        </m:r>
                        <m:r>
                          <m:t>t</m:t>
                        </m:r>
                      </m:sub>
                    </m:sSub>
                  </m:e>
                </m:mr>
                <m:mr>
                  <m:e>
                    <m:sSubSup>
                      <m:e>
                        <m:r>
                          <m:t>x</m:t>
                        </m:r>
                      </m:e>
                      <m:sub>
                        <m:r>
                          <m:t>q</m:t>
                        </m:r>
                        <m:r>
                          <m:rPr>
                            <m:sty m:val="p"/>
                          </m:rPr>
                          <m:t>,</m:t>
                        </m:r>
                        <m:r>
                          <m:t>t</m:t>
                        </m:r>
                      </m:sub>
                      <m:sup>
                        <m:r>
                          <m:rPr>
                            <m:sty m:val="p"/>
                          </m:rPr>
                          <m:t>*</m:t>
                        </m:r>
                      </m:sup>
                    </m:sSubSup>
                  </m:e>
                </m:mr>
              </m:m>
            </m:e>
          </m:d>
        </m:oMath>
      </m:oMathPara>
    </w:p>
    <w:p>
      <w:pPr>
        <w:pStyle w:val="FirstParagraph"/>
      </w:pPr>
      <w:r>
        <w:t xml:space="preserve">where:</w:t>
      </w:r>
    </w:p>
    <w:p>
      <w:pPr>
        <w:numPr>
          <w:ilvl w:val="0"/>
          <w:numId w:val="1002"/>
        </w:numPr>
      </w:pPr>
      <m:oMath>
        <m:sSub>
          <m:e>
            <m:r>
              <m:t>x</m:t>
            </m:r>
          </m:e>
          <m:sub>
            <m:r>
              <m:t>m</m:t>
            </m:r>
            <m:r>
              <m:rPr>
                <m:sty m:val="p"/>
              </m:rPr>
              <m:t>,</m:t>
            </m:r>
            <m:r>
              <m:t>t</m:t>
            </m:r>
          </m:sub>
        </m:sSub>
      </m:oMath>
      <w:r>
        <w:t xml:space="preserve"> </w:t>
      </w:r>
      <w:r>
        <w:t xml:space="preserve">is an</w:t>
      </w:r>
      <w:r>
        <w:t xml:space="preserve"> </w:t>
      </w:r>
      <m:oMath>
        <m:sSub>
          <m:e>
            <m:r>
              <m:t>n</m:t>
            </m:r>
          </m:e>
          <m:sub>
            <m:r>
              <m:t>m</m:t>
            </m:r>
          </m:sub>
        </m:sSub>
        <m:r>
          <m:rPr>
            <m:sty m:val="p"/>
          </m:rPr>
          <m:t>×</m:t>
        </m:r>
        <m:r>
          <m:t>1</m:t>
        </m:r>
      </m:oMath>
      <w:r>
        <w:t xml:space="preserve"> </w:t>
      </w:r>
      <w:r>
        <w:t xml:space="preserve">subvector (</w:t>
      </w:r>
      <m:oMath>
        <m:sSub>
          <m:e>
            <m:r>
              <m:t>n</m:t>
            </m:r>
          </m:e>
          <m:sub>
            <m:r>
              <m:t>m</m:t>
            </m:r>
          </m:sub>
        </m:sSub>
        <m:r>
          <m:rPr>
            <m:sty m:val="p"/>
          </m:rPr>
          <m:t>=</m:t>
        </m:r>
        <m:r>
          <m:t>9</m:t>
        </m:r>
      </m:oMath>
      <w:r>
        <w:t xml:space="preserve">) of macroeconomic indicators observed on a monthly basis.</w:t>
      </w:r>
    </w:p>
    <w:p>
      <w:pPr>
        <w:numPr>
          <w:ilvl w:val="0"/>
          <w:numId w:val="1002"/>
        </w:numPr>
      </w:pPr>
      <m:oMath>
        <m:sSubSup>
          <m:e>
            <m:r>
              <m:t>x</m:t>
            </m:r>
          </m:e>
          <m:sub>
            <m:r>
              <m:t>q</m:t>
            </m:r>
            <m:r>
              <m:rPr>
                <m:sty m:val="p"/>
              </m:rPr>
              <m:t>,</m:t>
            </m:r>
            <m:r>
              <m:t>t</m:t>
            </m:r>
          </m:sub>
          <m:sup>
            <m:r>
              <m:rPr>
                <m:sty m:val="p"/>
              </m:rPr>
              <m:t>*</m:t>
            </m:r>
          </m:sup>
        </m:sSubSup>
        <m:r>
          <m:rPr>
            <m:sty m:val="p"/>
          </m:rPr>
          <m:t>=</m:t>
        </m:r>
        <m:r>
          <m:rPr>
            <m:sty m:val="p"/>
          </m:rPr>
          <m:t>log</m:t>
        </m:r>
        <m:r>
          <m:rPr>
            <m:sty m:val="p"/>
          </m:rPr>
          <m:t>(</m:t>
        </m:r>
        <m:sSub>
          <m:e>
            <m:r>
              <m:rPr>
                <m:nor/>
                <m:sty m:val="p"/>
              </m:rPr>
              <m:t>GDP</m:t>
            </m:r>
          </m:e>
          <m:sub>
            <m:r>
              <m:t>M</m:t>
            </m:r>
            <m:r>
              <m:rPr>
                <m:sty m:val="p"/>
              </m:rPr>
              <m:t>,</m:t>
            </m:r>
            <m:r>
              <m:t>t</m:t>
            </m:r>
          </m:sub>
        </m:sSub>
        <m:r>
          <m:rPr>
            <m:sty m:val="p"/>
          </m:rPr>
          <m:t>)</m:t>
        </m:r>
      </m:oMath>
      <w:r>
        <w:t xml:space="preserve"> </w:t>
      </w:r>
      <w:r>
        <w:t xml:space="preserve">is an</w:t>
      </w:r>
      <w:r>
        <w:t xml:space="preserve"> </w:t>
      </w:r>
      <m:oMath>
        <m:sSub>
          <m:e>
            <m:r>
              <m:t>n</m:t>
            </m:r>
          </m:e>
          <m:sub>
            <m:r>
              <m:t>q</m:t>
            </m:r>
          </m:sub>
        </m:sSub>
        <m:r>
          <m:rPr>
            <m:sty m:val="p"/>
          </m:rPr>
          <m:t>×</m:t>
        </m:r>
        <m:r>
          <m:t>1</m:t>
        </m:r>
      </m:oMath>
      <w:r>
        <w:t xml:space="preserve"> </w:t>
      </w:r>
      <w:r>
        <w:t xml:space="preserve">(</w:t>
      </w:r>
      <m:oMath>
        <m:sSub>
          <m:e>
            <m:r>
              <m:t>n</m:t>
            </m:r>
          </m:e>
          <m:sub>
            <m:r>
              <m:t>q</m:t>
            </m:r>
          </m:sub>
        </m:sSub>
        <m:r>
          <m:rPr>
            <m:sty m:val="p"/>
          </m:rPr>
          <m:t>=</m:t>
        </m:r>
        <m:r>
          <m:t>1</m:t>
        </m:r>
      </m:oMath>
      <w:r>
        <w:t xml:space="preserve">) scalar representing the unobserved logarithm of monthly real Gross Domestic Product.</w:t>
      </w:r>
    </w:p>
    <w:p>
      <w:pPr>
        <w:pStyle w:val="FirstParagraph"/>
      </w:pPr>
      <w:r>
        <w:t xml:space="preserve">Thus, the total dimension of the monthly system is</w:t>
      </w:r>
      <w:r>
        <w:t xml:space="preserve"> </w:t>
      </w:r>
      <m:oMath>
        <m:r>
          <m:t>n</m:t>
        </m:r>
        <m:r>
          <m:rPr>
            <m:sty m:val="p"/>
          </m:rPr>
          <m:t>=</m:t>
        </m:r>
        <m:sSub>
          <m:e>
            <m:r>
              <m:t>n</m:t>
            </m:r>
          </m:e>
          <m:sub>
            <m:r>
              <m:t>m</m:t>
            </m:r>
          </m:sub>
        </m:sSub>
        <m:r>
          <m:rPr>
            <m:sty m:val="p"/>
          </m:rPr>
          <m:t>+</m:t>
        </m:r>
        <m:sSub>
          <m:e>
            <m:r>
              <m:t>n</m:t>
            </m:r>
          </m:e>
          <m:sub>
            <m:r>
              <m:t>q</m:t>
            </m:r>
          </m:sub>
        </m:sSub>
        <m:r>
          <m:rPr>
            <m:sty m:val="p"/>
          </m:rPr>
          <m:t>=</m:t>
        </m:r>
        <m:r>
          <m:t>10</m:t>
        </m:r>
      </m:oMath>
      <w:r>
        <w:t xml:space="preserve">.</w:t>
      </w:r>
    </w:p>
    <w:bookmarkStart w:id="37" w:name="transition-equation-and-latent-dynamics"/>
    <w:p>
      <w:pPr>
        <w:pStyle w:val="Heading3"/>
      </w:pPr>
      <w:r>
        <w:t xml:space="preserve">Transition Equation and Latent Dynamics</w:t>
      </w:r>
    </w:p>
    <w:p>
      <w:pPr>
        <w:pStyle w:val="FirstParagraph"/>
      </w:pPr>
      <w:r>
        <w:t xml:space="preserve">Following the framework established by</w:t>
      </w:r>
      <w:r>
        <w:t xml:space="preserve"> </w:t>
      </w:r>
      <w:r>
        <w:t xml:space="preserve">Schorfheide and Song (</w:t>
      </w:r>
      <w:hyperlink w:anchor="ref-schorfheide2015real">
        <w:r>
          <w:rPr>
            <w:rStyle w:val="Hyperlink"/>
          </w:rPr>
          <w:t xml:space="preserve">2015</w:t>
        </w:r>
      </w:hyperlink>
      <w:r>
        <w:t xml:space="preserve">)</w:t>
      </w:r>
      <w:r>
        <w:t xml:space="preserve">, the MF-BVAR models the joint dynamics of both observed and unobserved variables at a monthly frequency. The high-frequency state vector,</w:t>
      </w:r>
      <w:r>
        <w:t xml:space="preserve"> </w:t>
      </w:r>
      <m:oMath>
        <m:sSub>
          <m:e>
            <m:r>
              <m:t>x</m:t>
            </m:r>
          </m:e>
          <m:sub>
            <m:r>
              <m:t>t</m:t>
            </m:r>
          </m:sub>
        </m:sSub>
      </m:oMath>
      <w:r>
        <w:t xml:space="preserve">, evolves according to a vector autoregressive process in levels of order</w:t>
      </w:r>
      <w:r>
        <w:t xml:space="preserve"> </w:t>
      </w:r>
      <m:oMath>
        <m:r>
          <m:t>p</m:t>
        </m:r>
      </m:oMath>
      <w:r>
        <w:t xml:space="preserve">, yielding the transition equation:</w:t>
      </w:r>
    </w:p>
    <w:p>
      <w:pPr>
        <w:pStyle w:val="BodyText"/>
      </w:pPr>
      <m:oMathPara>
        <m:oMathParaPr>
          <m:jc m:val="center"/>
        </m:oMathParaPr>
        <m:oMath>
          <m:sSub>
            <m:e>
              <m:r>
                <m:t>x</m:t>
              </m:r>
            </m:e>
            <m:sub>
              <m:r>
                <m:t>t</m:t>
              </m:r>
            </m:sub>
          </m:sSub>
          <m:r>
            <m:rPr>
              <m:sty m:val="p"/>
            </m:rPr>
            <m:t>=</m:t>
          </m:r>
          <m:r>
            <m:t>c</m:t>
          </m:r>
          <m:r>
            <m:rPr>
              <m:sty m:val="p"/>
            </m:rPr>
            <m:t>+</m:t>
          </m:r>
          <m:sSub>
            <m:e>
              <m:r>
                <m:rPr>
                  <m:sty m:val="p"/>
                </m:rPr>
                <m:t>Φ</m:t>
              </m:r>
            </m:e>
            <m:sub>
              <m:r>
                <m:t>1</m:t>
              </m:r>
            </m:sub>
          </m:sSub>
          <m:sSub>
            <m:e>
              <m:r>
                <m:t>x</m:t>
              </m:r>
            </m:e>
            <m:sub>
              <m:r>
                <m:t>t</m:t>
              </m:r>
              <m:r>
                <m:rPr>
                  <m:sty m:val="p"/>
                </m:rPr>
                <m:t>−</m:t>
              </m:r>
              <m:r>
                <m:t>1</m:t>
              </m:r>
            </m:sub>
          </m:sSub>
          <m:r>
            <m:rPr>
              <m:sty m:val="p"/>
            </m:rPr>
            <m:t>+</m:t>
          </m:r>
          <m:sSub>
            <m:e>
              <m:r>
                <m:rPr>
                  <m:sty m:val="p"/>
                </m:rPr>
                <m:t>Φ</m:t>
              </m:r>
            </m:e>
            <m:sub>
              <m:r>
                <m:t>2</m:t>
              </m:r>
            </m:sub>
          </m:sSub>
          <m:sSub>
            <m:e>
              <m:r>
                <m:t>x</m:t>
              </m:r>
            </m:e>
            <m:sub>
              <m:r>
                <m:t>t</m:t>
              </m:r>
              <m:r>
                <m:rPr>
                  <m:sty m:val="p"/>
                </m:rPr>
                <m:t>−</m:t>
              </m:r>
              <m:r>
                <m:t>2</m:t>
              </m:r>
            </m:sub>
          </m:sSub>
          <m:r>
            <m:rPr>
              <m:sty m:val="p"/>
            </m:rPr>
            <m:t>+</m:t>
          </m:r>
          <m:r>
            <m:rPr>
              <m:sty m:val="p"/>
            </m:rPr>
            <m:t>…</m:t>
          </m:r>
          <m:r>
            <m:rPr>
              <m:sty m:val="p"/>
            </m:rPr>
            <m:t>+</m:t>
          </m:r>
          <m:sSub>
            <m:e>
              <m:r>
                <m:rPr>
                  <m:sty m:val="p"/>
                </m:rPr>
                <m:t>Φ</m:t>
              </m:r>
            </m:e>
            <m:sub>
              <m:r>
                <m:t>p</m:t>
              </m:r>
            </m:sub>
          </m:sSub>
          <m:sSub>
            <m:e>
              <m:r>
                <m:t>x</m:t>
              </m:r>
            </m:e>
            <m:sub>
              <m:r>
                <m:t>t</m:t>
              </m:r>
              <m:r>
                <m:rPr>
                  <m:sty m:val="p"/>
                </m:rPr>
                <m:t>−</m:t>
              </m:r>
              <m:r>
                <m:t>p</m:t>
              </m:r>
            </m:sub>
          </m:sSub>
          <m:r>
            <m:rPr>
              <m:sty m:val="p"/>
            </m:rPr>
            <m:t>+</m:t>
          </m:r>
          <m:sSub>
            <m:e>
              <m:r>
                <m:t>u</m:t>
              </m:r>
            </m:e>
            <m:sub>
              <m:r>
                <m:t>t</m:t>
              </m:r>
            </m:sub>
          </m:sSub>
        </m:oMath>
      </m:oMathPara>
    </w:p>
    <w:p>
      <w:pPr>
        <w:pStyle w:val="FirstParagraph"/>
      </w:pPr>
      <w:r>
        <w:t xml:space="preserve">where</w:t>
      </w:r>
      <w:r>
        <w:t xml:space="preserve"> </w:t>
      </w:r>
      <m:oMath>
        <m:r>
          <m:t>c</m:t>
        </m:r>
      </m:oMath>
      <w:r>
        <w:t xml:space="preserve"> </w:t>
      </w:r>
      <w:r>
        <w:t xml:space="preserve">is an</w:t>
      </w:r>
      <w:r>
        <w:t xml:space="preserve"> </w:t>
      </w:r>
      <m:oMath>
        <m:r>
          <m:t>n</m:t>
        </m:r>
        <m:r>
          <m:rPr>
            <m:sty m:val="p"/>
          </m:rPr>
          <m:t>×</m:t>
        </m:r>
        <m:r>
          <m:t>1</m:t>
        </m:r>
      </m:oMath>
      <w:r>
        <w:t xml:space="preserve"> </w:t>
      </w:r>
      <w:r>
        <w:t xml:space="preserve">vector of constants,</w:t>
      </w:r>
      <w:r>
        <w:t xml:space="preserve"> </w:t>
      </w:r>
      <m:oMath>
        <m:sSub>
          <m:e>
            <m:r>
              <m:rPr>
                <m:sty m:val="p"/>
              </m:rPr>
              <m:t>Φ</m:t>
            </m:r>
          </m:e>
          <m:sub>
            <m:r>
              <m:t>1</m:t>
            </m:r>
          </m:sub>
        </m:sSub>
        <m:r>
          <m:rPr>
            <m:sty m:val="p"/>
          </m:rPr>
          <m:t>,</m:t>
        </m:r>
        <m:r>
          <m:rPr>
            <m:sty m:val="p"/>
          </m:rPr>
          <m:t>…</m:t>
        </m:r>
        <m:r>
          <m:rPr>
            <m:sty m:val="p"/>
          </m:rPr>
          <m:t>,</m:t>
        </m:r>
        <m:sSub>
          <m:e>
            <m:r>
              <m:rPr>
                <m:sty m:val="p"/>
              </m:rPr>
              <m:t>Φ</m:t>
            </m:r>
          </m:e>
          <m:sub>
            <m:r>
              <m:t>p</m:t>
            </m:r>
          </m:sub>
        </m:sSub>
      </m:oMath>
      <w:r>
        <w:t xml:space="preserve"> </w:t>
      </w:r>
      <w:r>
        <w:t xml:space="preserve">are</w:t>
      </w:r>
      <w:r>
        <w:t xml:space="preserve"> </w:t>
      </w:r>
      <m:oMath>
        <m:r>
          <m:t>n</m:t>
        </m:r>
        <m:r>
          <m:rPr>
            <m:sty m:val="p"/>
          </m:rPr>
          <m:t>×</m:t>
        </m:r>
        <m:r>
          <m:t>n</m:t>
        </m:r>
      </m:oMath>
      <w:r>
        <w:t xml:space="preserve"> </w:t>
      </w:r>
      <w:r>
        <w:t xml:space="preserve">autoregressive coefficient matrices, and</w:t>
      </w:r>
      <w:r>
        <w:t xml:space="preserve"> </w:t>
      </w:r>
      <m:oMath>
        <m:sSub>
          <m:e>
            <m:r>
              <m:t>u</m:t>
            </m:r>
          </m:e>
          <m:sub>
            <m:r>
              <m:t>t</m:t>
            </m:r>
          </m:sub>
        </m:sSub>
      </m:oMath>
      <w:r>
        <w:t xml:space="preserve"> </w:t>
      </w:r>
      <w:r>
        <w:t xml:space="preserve">represents the reduced-form shocks, distributed as</w:t>
      </w:r>
      <w:r>
        <w:t xml:space="preserve"> </w:t>
      </w:r>
      <m:oMath>
        <m:sSub>
          <m:e>
            <m:r>
              <m:t>u</m:t>
            </m:r>
          </m:e>
          <m:sub>
            <m:r>
              <m:t>t</m:t>
            </m:r>
          </m:sub>
        </m:sSub>
        <m:r>
          <m:rPr>
            <m:sty m:val="p"/>
          </m:rPr>
          <m:t>∼</m:t>
        </m:r>
        <m:r>
          <m:rPr>
            <m:scr m:val="script"/>
            <m:sty m:val="p"/>
          </m:rPr>
          <m:t>N</m:t>
        </m:r>
        <m:r>
          <m:rPr>
            <m:sty m:val="p"/>
          </m:rPr>
          <m:t>(</m:t>
        </m:r>
        <m:r>
          <m:t>0</m:t>
        </m:r>
        <m:r>
          <m:rPr>
            <m:sty m:val="p"/>
          </m:rPr>
          <m:t>,</m:t>
        </m:r>
        <m:r>
          <m:rPr>
            <m:sty m:val="p"/>
          </m:rPr>
          <m:t>Σ</m:t>
        </m:r>
        <m:r>
          <m:rPr>
            <m:sty m:val="p"/>
          </m:rPr>
          <m:t>)</m:t>
        </m:r>
      </m:oMath>
      <w:r>
        <w:t xml:space="preserve">.</w:t>
      </w:r>
    </w:p>
    <w:p>
      <w:pPr>
        <w:pStyle w:val="BodyText"/>
      </w:pPr>
      <w:r>
        <w:t xml:space="preserve">In this representation, monthly GDP operates as an unobserved latent variable. Its trajectory is dictated by the autoregressive parameters</w:t>
      </w:r>
      <w:r>
        <w:t xml:space="preserve"> </w:t>
      </w:r>
      <m:oMath>
        <m:sSub>
          <m:e>
            <m:r>
              <m:rPr>
                <m:sty m:val="p"/>
              </m:rPr>
              <m:t>Φ</m:t>
            </m:r>
          </m:e>
          <m:sub>
            <m:r>
              <m:t>i</m:t>
            </m:r>
          </m:sub>
        </m:sSub>
      </m:oMath>
      <w:r>
        <w:t xml:space="preserve"> </w:t>
      </w:r>
      <w:r>
        <w:t xml:space="preserve">and the covariance matrix</w:t>
      </w:r>
      <w:r>
        <w:t xml:space="preserve"> </w:t>
      </w:r>
      <m:oMath>
        <m:r>
          <m:rPr>
            <m:sty m:val="p"/>
          </m:rPr>
          <m:t>Σ</m:t>
        </m:r>
      </m:oMath>
      <w:r>
        <w:t xml:space="preserve">, which capture the historical co-movements between the latent output and the fully observed monthly indicators (such as the ISE, industrial production, and financial variables).</w:t>
      </w:r>
    </w:p>
    <w:p>
      <w:pPr>
        <w:pStyle w:val="BodyText"/>
      </w:pPr>
      <w:r>
        <w:t xml:space="preserve">To resolve the missing data problem inherent to the unobserved monthly GDP, the system relies on the forward-filtering backward-sampling (FFBS) algorithm</w:t>
      </w:r>
      <w:r>
        <w:t xml:space="preserve"> </w:t>
      </w:r>
      <w:r>
        <w:t xml:space="preserve">(</w:t>
      </w:r>
      <w:hyperlink w:anchor="ref-carter1994gibbs">
        <w:r>
          <w:rPr>
            <w:rStyle w:val="Hyperlink"/>
          </w:rPr>
          <w:t xml:space="preserve">Carter &amp; Kohn, 1994</w:t>
        </w:r>
      </w:hyperlink>
      <w:r>
        <w:t xml:space="preserve">)</w:t>
      </w:r>
      <w:r>
        <w:t xml:space="preserve"> </w:t>
      </w:r>
      <w:r>
        <w:t xml:space="preserve">inside the Gibbs sampler loop. The smoother reconstructs the latent monthly GDP sequence by conditioning on the observed high-frequency predictors, anchoring the unobserved signal to the system’s empirical covariance structure while preserving the underlying dynamics defined by the VAR(</w:t>
      </w:r>
      <m:oMath>
        <m:r>
          <m:t>p</m:t>
        </m:r>
      </m:oMath>
      <w:r>
        <w:t xml:space="preserve">) process. In our empirical implementation, the lag length is fixed a priori at</w:t>
      </w:r>
      <w:r>
        <w:t xml:space="preserve"> </w:t>
      </w:r>
      <m:oMath>
        <m:r>
          <m:t>p</m:t>
        </m:r>
        <m:r>
          <m:rPr>
            <m:sty m:val="p"/>
          </m:rPr>
          <m:t>=</m:t>
        </m:r>
        <m:r>
          <m:t>6</m:t>
        </m:r>
      </m:oMath>
      <w:r>
        <w:t xml:space="preserve"> </w:t>
      </w:r>
      <w:r>
        <w:t xml:space="preserve">to capture half-year macroeconomic dynamics, ensuring sufficient lag depth for the monthly frequency.</w:t>
      </w:r>
    </w:p>
    <w:bookmarkEnd w:id="37"/>
    <w:bookmarkStart w:id="38" w:name="Xa7c0423eb1aacebc0d8c22b33ad650a85dc56dd"/>
    <w:p>
      <w:pPr>
        <w:pStyle w:val="Heading3"/>
      </w:pPr>
      <w:r>
        <w:t xml:space="preserve">Temporal Aggregation and the Measurement Equation</w:t>
      </w:r>
    </w:p>
    <w:p>
      <w:pPr>
        <w:pStyle w:val="FirstParagraph"/>
      </w:pPr>
      <w:r>
        <w:t xml:space="preserve">To complete the state-space representation, the unobserved monthly states must be linked to the actual data observed by the econometrician. This link is formalized through the measurement equation. For the high-frequency variables</w:t>
      </w:r>
      <w:r>
        <w:t xml:space="preserve"> </w:t>
      </w:r>
      <m:oMath>
        <m:sSub>
          <m:e>
            <m:r>
              <m:t>x</m:t>
            </m:r>
          </m:e>
          <m:sub>
            <m:r>
              <m:t>m</m:t>
            </m:r>
            <m:r>
              <m:rPr>
                <m:sty m:val="p"/>
              </m:rPr>
              <m:t>,</m:t>
            </m:r>
            <m:r>
              <m:t>t</m:t>
            </m:r>
          </m:sub>
        </m:sSub>
      </m:oMath>
      <w:r>
        <w:t xml:space="preserve">, the mapping is straightforward: since they are fully observed on a monthly basis, they map directly to their latent states via an identity matrix.</w:t>
      </w:r>
    </w:p>
    <w:p>
      <w:pPr>
        <w:pStyle w:val="BodyText"/>
      </w:pPr>
      <w:r>
        <w:t xml:space="preserve">However, Gross Domestic Product is only observed quarterly. Because GDP is a flow variable modeled in logarithms, the quarterly observation is approximated as the arithmetic average of its corresponding monthly latent realizations within the quarter</w:t>
      </w:r>
      <w:r>
        <w:t xml:space="preserve"> </w:t>
      </w:r>
      <w:r>
        <w:t xml:space="preserve">(</w:t>
      </w:r>
      <w:hyperlink w:anchor="ref-mariano2003new">
        <w:r>
          <w:rPr>
            <w:rStyle w:val="Hyperlink"/>
          </w:rPr>
          <w:t xml:space="preserve">Mariano &amp; Murasawa, 2003</w:t>
        </w:r>
      </w:hyperlink>
      <w:r>
        <w:t xml:space="preserve">)</w:t>
      </w:r>
      <w:r>
        <w:t xml:space="preserve">. Mathematically, if</w:t>
      </w:r>
      <w:r>
        <w:t xml:space="preserve"> </w:t>
      </w:r>
      <m:oMath>
        <m:r>
          <m:t>t</m:t>
        </m:r>
      </m:oMath>
      <w:r>
        <w:t xml:space="preserve"> </w:t>
      </w:r>
      <w:r>
        <w:t xml:space="preserve">denotes the third and final month of a given quarter, the observed quarterly log-GDP,</w:t>
      </w:r>
      <w:r>
        <w:t xml:space="preserve"> </w:t>
      </w:r>
      <m:oMath>
        <m:sSub>
          <m:e>
            <m:r>
              <m:t>y</m:t>
            </m:r>
          </m:e>
          <m:sub>
            <m:r>
              <m:t>q</m:t>
            </m:r>
            <m:r>
              <m:rPr>
                <m:sty m:val="p"/>
              </m:rPr>
              <m:t>,</m:t>
            </m:r>
            <m:r>
              <m:t>t</m:t>
            </m:r>
          </m:sub>
        </m:sSub>
      </m:oMath>
      <w:r>
        <w:t xml:space="preserve">, is linked to the latent monthly process</w:t>
      </w:r>
      <w:r>
        <w:t xml:space="preserve"> </w:t>
      </w:r>
      <m:oMath>
        <m:sSubSup>
          <m:e>
            <m:r>
              <m:t>x</m:t>
            </m:r>
          </m:e>
          <m:sub>
            <m:r>
              <m:t>q</m:t>
            </m:r>
            <m:r>
              <m:rPr>
                <m:sty m:val="p"/>
              </m:rPr>
              <m:t>,</m:t>
            </m:r>
            <m:r>
              <m:t>t</m:t>
            </m:r>
          </m:sub>
          <m:sup>
            <m:r>
              <m:rPr>
                <m:sty m:val="p"/>
              </m:rPr>
              <m:t>*</m:t>
            </m:r>
          </m:sup>
        </m:sSubSup>
      </m:oMath>
      <w:r>
        <w:t xml:space="preserve"> </w:t>
      </w:r>
      <w:r>
        <w:t xml:space="preserve">via the following intra-quarterly aggregation restriction:</w:t>
      </w:r>
    </w:p>
    <w:p>
      <w:pPr>
        <w:pStyle w:val="BodyText"/>
      </w:pPr>
      <m:oMathPara>
        <m:oMathParaPr>
          <m:jc m:val="center"/>
        </m:oMathParaPr>
        <m:oMath>
          <m:sSub>
            <m:e>
              <m:r>
                <m:t>y</m:t>
              </m:r>
            </m:e>
            <m:sub>
              <m:r>
                <m:t>q</m:t>
              </m:r>
              <m:r>
                <m:rPr>
                  <m:sty m:val="p"/>
                </m:rPr>
                <m:t>,</m:t>
              </m:r>
              <m:r>
                <m:t>t</m:t>
              </m:r>
            </m:sub>
          </m:sSub>
          <m:r>
            <m:rPr>
              <m:sty m:val="p"/>
            </m:rPr>
            <m:t>=</m:t>
          </m:r>
          <m:f>
            <m:fPr>
              <m:type m:val="bar"/>
            </m:fPr>
            <m:num>
              <m:r>
                <m:t>1</m:t>
              </m:r>
            </m:num>
            <m:den>
              <m:r>
                <m:t>3</m:t>
              </m:r>
            </m:den>
          </m:f>
          <m:d>
            <m:dPr>
              <m:begChr m:val="("/>
              <m:sepChr m:val=""/>
              <m:endChr m:val=")"/>
              <m:grow/>
            </m:dPr>
            <m:e>
              <m:sSubSup>
                <m:e>
                  <m:r>
                    <m:t>x</m:t>
                  </m:r>
                </m:e>
                <m:sub>
                  <m:r>
                    <m:t>q</m:t>
                  </m:r>
                  <m:r>
                    <m:rPr>
                      <m:sty m:val="p"/>
                    </m:rPr>
                    <m:t>,</m:t>
                  </m:r>
                  <m:r>
                    <m:t>t</m:t>
                  </m:r>
                </m:sub>
                <m:sup>
                  <m:r>
                    <m:rPr>
                      <m:sty m:val="p"/>
                    </m:rPr>
                    <m:t>*</m:t>
                  </m:r>
                </m:sup>
              </m:sSubSup>
              <m:r>
                <m:rPr>
                  <m:sty m:val="p"/>
                </m:rPr>
                <m:t>+</m:t>
              </m:r>
              <m:sSubSup>
                <m:e>
                  <m:r>
                    <m:t>x</m:t>
                  </m:r>
                </m:e>
                <m:sub>
                  <m:r>
                    <m:t>q</m:t>
                  </m:r>
                  <m:r>
                    <m:rPr>
                      <m:sty m:val="p"/>
                    </m:rPr>
                    <m:t>,</m:t>
                  </m:r>
                  <m:r>
                    <m:t>t</m:t>
                  </m:r>
                  <m:r>
                    <m:rPr>
                      <m:sty m:val="p"/>
                    </m:rPr>
                    <m:t>−</m:t>
                  </m:r>
                  <m:r>
                    <m:t>1</m:t>
                  </m:r>
                </m:sub>
                <m:sup>
                  <m:r>
                    <m:rPr>
                      <m:sty m:val="p"/>
                    </m:rPr>
                    <m:t>*</m:t>
                  </m:r>
                </m:sup>
              </m:sSubSup>
              <m:r>
                <m:rPr>
                  <m:sty m:val="p"/>
                </m:rPr>
                <m:t>+</m:t>
              </m:r>
              <m:sSubSup>
                <m:e>
                  <m:r>
                    <m:t>x</m:t>
                  </m:r>
                </m:e>
                <m:sub>
                  <m:r>
                    <m:t>q</m:t>
                  </m:r>
                  <m:r>
                    <m:rPr>
                      <m:sty m:val="p"/>
                    </m:rPr>
                    <m:t>,</m:t>
                  </m:r>
                  <m:r>
                    <m:t>t</m:t>
                  </m:r>
                  <m:r>
                    <m:rPr>
                      <m:sty m:val="p"/>
                    </m:rPr>
                    <m:t>−</m:t>
                  </m:r>
                  <m:r>
                    <m:t>2</m:t>
                  </m:r>
                </m:sub>
                <m:sup>
                  <m:r>
                    <m:rPr>
                      <m:sty m:val="p"/>
                    </m:rPr>
                    <m:t>*</m:t>
                  </m:r>
                </m:sup>
              </m:sSubSup>
            </m:e>
          </m:d>
        </m:oMath>
      </m:oMathPara>
    </w:p>
    <w:p>
      <w:pPr>
        <w:pStyle w:val="FirstParagraph"/>
      </w:pPr>
      <w:r>
        <w:t xml:space="preserve">For non-end-of-quarter months, the quarterly observation is treated as missing data, and this aggregation constraint does not bind directly, allowing the smoother to interpolate the latent path based purely on the transition equation.</w:t>
      </w:r>
    </w:p>
    <w:p>
      <w:pPr>
        <w:pStyle w:val="BodyText"/>
      </w:pPr>
      <w:r>
        <w:t xml:space="preserve">To express the quarterly aggregation constraint as a static measurement equation, we redefine the state vector as the stacked vector</w:t>
      </w:r>
      <w:r>
        <w:t xml:space="preserve"> </w:t>
      </w:r>
      <m:oMath>
        <m:sSub>
          <m:e>
            <m:acc>
              <m:accPr>
                <m:chr m:val="̃"/>
              </m:accPr>
              <m:e>
                <m:r>
                  <m:t>x</m:t>
                </m:r>
              </m:e>
            </m:acc>
          </m:e>
          <m:sub>
            <m:r>
              <m:t>t</m:t>
            </m:r>
          </m:sub>
        </m:sSub>
        <m:r>
          <m:rPr>
            <m:sty m:val="p"/>
          </m:rPr>
          <m:t>=</m:t>
        </m:r>
        <m:r>
          <m:rPr>
            <m:sty m:val="p"/>
          </m:rPr>
          <m:t>(</m:t>
        </m:r>
        <m:sSubSup>
          <m:e>
            <m:r>
              <m:t>x</m:t>
            </m:r>
          </m:e>
          <m:sub>
            <m:r>
              <m:t>t</m:t>
            </m:r>
          </m:sub>
          <m:sup>
            <m:r>
              <m:rPr>
                <m:sty m:val="p"/>
              </m:rPr>
              <m:t>′</m:t>
            </m:r>
          </m:sup>
        </m:sSubSup>
        <m:r>
          <m:rPr>
            <m:sty m:val="p"/>
          </m:rPr>
          <m:t>,</m:t>
        </m:r>
        <m:sSubSup>
          <m:e>
            <m:r>
              <m:t>x</m:t>
            </m:r>
          </m:e>
          <m:sub>
            <m:r>
              <m:t>t</m:t>
            </m:r>
            <m:r>
              <m:rPr>
                <m:sty m:val="p"/>
              </m:rPr>
              <m:t>−</m:t>
            </m:r>
            <m:r>
              <m:t>1</m:t>
            </m:r>
          </m:sub>
          <m:sup>
            <m:r>
              <m:rPr>
                <m:sty m:val="p"/>
              </m:rPr>
              <m:t>′</m:t>
            </m:r>
          </m:sup>
        </m:sSubSup>
        <m:r>
          <m:rPr>
            <m:sty m:val="p"/>
          </m:rPr>
          <m:t>,</m:t>
        </m:r>
        <m:sSubSup>
          <m:e>
            <m:r>
              <m:t>x</m:t>
            </m:r>
          </m:e>
          <m:sub>
            <m:r>
              <m:t>t</m:t>
            </m:r>
            <m:r>
              <m:rPr>
                <m:sty m:val="p"/>
              </m:rPr>
              <m:t>−</m:t>
            </m:r>
            <m:r>
              <m:t>2</m:t>
            </m:r>
          </m:sub>
          <m:sup>
            <m:r>
              <m:rPr>
                <m:sty m:val="p"/>
              </m:rPr>
              <m:t>′</m:t>
            </m:r>
          </m:sup>
        </m:sSubSup>
        <m:sSup>
          <m:e>
            <m:r>
              <m:rPr>
                <m:sty m:val="p"/>
              </m:rPr>
              <m:t>)</m:t>
            </m:r>
          </m:e>
          <m:sup>
            <m:r>
              <m:rPr>
                <m:sty m:val="p"/>
              </m:rPr>
              <m:t>′</m:t>
            </m:r>
          </m:sup>
        </m:sSup>
      </m:oMath>
      <w:r>
        <w:t xml:space="preserve">. The complete measurement equation is then:</w:t>
      </w:r>
    </w:p>
    <w:p>
      <w:pPr>
        <w:pStyle w:val="BodyText"/>
      </w:pPr>
      <m:oMathPara>
        <m:oMathParaPr>
          <m:jc m:val="center"/>
        </m:oMathParaPr>
        <m:oMath>
          <m:sSub>
            <m:e>
              <m:r>
                <m:t>Y</m:t>
              </m:r>
            </m:e>
            <m:sub>
              <m:r>
                <m:t>t</m:t>
              </m:r>
            </m:sub>
          </m:sSub>
          <m:r>
            <m:rPr>
              <m:sty m:val="p"/>
            </m:rPr>
            <m:t>=</m:t>
          </m:r>
          <m:r>
            <m:rPr>
              <m:sty m:val="p"/>
            </m:rPr>
            <m:t>Λ</m:t>
          </m:r>
          <m:sSub>
            <m:e>
              <m:acc>
                <m:accPr>
                  <m:chr m:val="̃"/>
                </m:accPr>
                <m:e>
                  <m:r>
                    <m:t>x</m:t>
                  </m:r>
                </m:e>
              </m:acc>
            </m:e>
            <m:sub>
              <m:r>
                <m:t>t</m:t>
              </m:r>
            </m:sub>
          </m:sSub>
          <m:r>
            <m:rPr>
              <m:sty m:val="p"/>
            </m:rPr>
            <m:t>+</m:t>
          </m:r>
          <m:sSub>
            <m:e>
              <m:r>
                <m:t>v</m:t>
              </m:r>
            </m:e>
            <m:sub>
              <m:r>
                <m:t>t</m:t>
              </m:r>
            </m:sub>
          </m:sSub>
        </m:oMath>
      </m:oMathPara>
    </w:p>
    <w:p>
      <w:pPr>
        <w:pStyle w:val="FirstParagraph"/>
      </w:pPr>
      <w:r>
        <w:t xml:space="preserve">where</w:t>
      </w:r>
      <w:r>
        <w:t xml:space="preserve"> </w:t>
      </w:r>
      <m:oMath>
        <m:sSub>
          <m:e>
            <m:r>
              <m:t>Y</m:t>
            </m:r>
          </m:e>
          <m:sub>
            <m:r>
              <m:t>t</m:t>
            </m:r>
          </m:sub>
        </m:sSub>
      </m:oMath>
      <w:r>
        <w:t xml:space="preserve"> </w:t>
      </w:r>
      <w:r>
        <w:t xml:space="preserve">is the vector of all empirical observations at month</w:t>
      </w:r>
      <w:r>
        <w:t xml:space="preserve"> </w:t>
      </w:r>
      <m:oMath>
        <m:r>
          <m:t>t</m:t>
        </m:r>
      </m:oMath>
      <w:r>
        <w:t xml:space="preserve">,</w:t>
      </w:r>
      <w:r>
        <w:t xml:space="preserve"> </w:t>
      </w:r>
      <m:oMath>
        <m:r>
          <m:rPr>
            <m:sty m:val="p"/>
          </m:rPr>
          <m:t>Λ</m:t>
        </m:r>
      </m:oMath>
      <w:r>
        <w:t xml:space="preserve"> </w:t>
      </w:r>
      <w:r>
        <w:t xml:space="preserve">directly selects the monthly variables from the contemporary block of</w:t>
      </w:r>
      <w:r>
        <w:t xml:space="preserve"> </w:t>
      </w:r>
      <m:oMath>
        <m:sSub>
          <m:e>
            <m:acc>
              <m:accPr>
                <m:chr m:val="̃"/>
              </m:accPr>
              <m:e>
                <m:r>
                  <m:t>x</m:t>
                </m:r>
              </m:e>
            </m:acc>
          </m:e>
          <m:sub>
            <m:r>
              <m:t>t</m:t>
            </m:r>
          </m:sub>
        </m:sSub>
      </m:oMath>
      <w:r>
        <w:t xml:space="preserve"> </w:t>
      </w:r>
      <w:r>
        <w:t xml:space="preserve">and applies the</w:t>
      </w:r>
      <w:r>
        <w:t xml:space="preserve"> </w:t>
      </w:r>
      <m:oMath>
        <m:r>
          <m:t>1</m:t>
        </m:r>
        <m:r>
          <m:rPr>
            <m:sty m:val="p"/>
          </m:rPr>
          <m:t>/</m:t>
        </m:r>
        <m:r>
          <m:t>3</m:t>
        </m:r>
      </m:oMath>
      <w:r>
        <w:t xml:space="preserve"> </w:t>
      </w:r>
      <w:r>
        <w:t xml:space="preserve">weights to the three realizations of</w:t>
      </w:r>
      <w:r>
        <w:t xml:space="preserve"> </w:t>
      </w:r>
      <m:oMath>
        <m:sSubSup>
          <m:e>
            <m:r>
              <m:t>x</m:t>
            </m:r>
          </m:e>
          <m:sub>
            <m:r>
              <m:t>q</m:t>
            </m:r>
            <m:r>
              <m:rPr>
                <m:sty m:val="p"/>
              </m:rPr>
              <m:t>,</m:t>
            </m:r>
            <m:r>
              <m:rPr>
                <m:sty m:val="p"/>
              </m:rPr>
              <m:t>⋅</m:t>
            </m:r>
          </m:sub>
          <m:sup>
            <m:r>
              <m:rPr>
                <m:sty m:val="p"/>
              </m:rPr>
              <m:t>*</m:t>
            </m:r>
          </m:sup>
        </m:sSubSup>
      </m:oMath>
      <w:r>
        <w:t xml:space="preserve"> </w:t>
      </w:r>
      <w:r>
        <w:t xml:space="preserve">distributed across the three blocks of</w:t>
      </w:r>
      <w:r>
        <w:t xml:space="preserve"> </w:t>
      </w:r>
      <m:oMath>
        <m:sSub>
          <m:e>
            <m:acc>
              <m:accPr>
                <m:chr m:val="̃"/>
              </m:accPr>
              <m:e>
                <m:r>
                  <m:t>x</m:t>
                </m:r>
              </m:e>
            </m:acc>
          </m:e>
          <m:sub>
            <m:r>
              <m:t>t</m:t>
            </m:r>
          </m:sub>
        </m:sSub>
      </m:oMath>
      <w:r>
        <w:t xml:space="preserve">, and</w:t>
      </w:r>
      <w:r>
        <w:t xml:space="preserve"> </w:t>
      </w:r>
      <m:oMath>
        <m:sSub>
          <m:e>
            <m:r>
              <m:t>v</m:t>
            </m:r>
          </m:e>
          <m:sub>
            <m:r>
              <m:t>t</m:t>
            </m:r>
          </m:sub>
        </m:sSub>
      </m:oMath>
      <w:r>
        <w:t xml:space="preserve"> </w:t>
      </w:r>
      <w:r>
        <w:t xml:space="preserve">is the measurement error vector.</w:t>
      </w:r>
    </w:p>
    <w:bookmarkEnd w:id="38"/>
    <w:bookmarkEnd w:id="39"/>
    <w:bookmarkStart w:id="42" w:name="X92701442f66737993adccdad17eb59cc392dad1"/>
    <w:p>
      <w:pPr>
        <w:pStyle w:val="Heading2"/>
      </w:pPr>
      <w:r>
        <w:t xml:space="preserve">Prior Distribution and Bayesian Shrinkage</w:t>
      </w:r>
    </w:p>
    <w:p>
      <w:pPr>
        <w:pStyle w:val="FirstParagraph"/>
      </w:pPr>
      <w:r>
        <w:t xml:space="preserve">A mixed-frequency VAR with</w:t>
      </w:r>
      <w:r>
        <w:t xml:space="preserve"> </w:t>
      </w:r>
      <m:oMath>
        <m:r>
          <m:t>n</m:t>
        </m:r>
        <m:r>
          <m:rPr>
            <m:sty m:val="p"/>
          </m:rPr>
          <m:t>=</m:t>
        </m:r>
        <m:r>
          <m:t>10</m:t>
        </m:r>
      </m:oMath>
      <w:r>
        <w:t xml:space="preserve"> </w:t>
      </w:r>
      <w:r>
        <w:t xml:space="preserve">variables and</w:t>
      </w:r>
      <w:r>
        <w:t xml:space="preserve"> </w:t>
      </w:r>
      <m:oMath>
        <m:r>
          <m:t>p</m:t>
        </m:r>
        <m:r>
          <m:rPr>
            <m:sty m:val="p"/>
          </m:rPr>
          <m:t>=</m:t>
        </m:r>
        <m:r>
          <m:t>6</m:t>
        </m:r>
      </m:oMath>
      <w:r>
        <w:t xml:space="preserve"> </w:t>
      </w:r>
      <w:r>
        <w:t xml:space="preserve">lags yields</w:t>
      </w:r>
      <w:r>
        <w:t xml:space="preserve"> </w:t>
      </w:r>
      <m:oMath>
        <m:r>
          <m:t>n</m:t>
        </m:r>
        <m:r>
          <m:rPr>
            <m:sty m:val="p"/>
          </m:rPr>
          <m:t>(</m:t>
        </m:r>
        <m:r>
          <m:t>n</m:t>
        </m:r>
        <m:r>
          <m:t>p</m:t>
        </m:r>
        <m:r>
          <m:rPr>
            <m:sty m:val="p"/>
          </m:rPr>
          <m:t>+</m:t>
        </m:r>
        <m:r>
          <m:t>1</m:t>
        </m:r>
        <m:r>
          <m:rPr>
            <m:sty m:val="p"/>
          </m:rPr>
          <m:t>)</m:t>
        </m:r>
        <m:r>
          <m:rPr>
            <m:sty m:val="p"/>
          </m:rPr>
          <m:t>=</m:t>
        </m:r>
        <m:r>
          <m:t>610</m:t>
        </m:r>
      </m:oMath>
      <w:r>
        <w:t xml:space="preserve"> </w:t>
      </w:r>
      <w:r>
        <w:t xml:space="preserve">coefficients in the transition equation alone, alongside 55 unique parameters in the covariance matrix</w:t>
      </w:r>
      <w:r>
        <w:t xml:space="preserve"> </w:t>
      </w:r>
      <m:oMath>
        <m:r>
          <m:rPr>
            <m:sty m:val="p"/>
          </m:rPr>
          <m:t>Σ</m:t>
        </m:r>
      </m:oMath>
      <w:r>
        <w:t xml:space="preserve">. In a standard frequentist framework, estimating this dimensional space with finite macroeconomic time series inevitably leads to severe overparameterization (overfitting). This inflates sample variance and severely degrades out-of-sample forecasting performance. To solve this degrees-of-freedom problem, the Bayesian framework introduces prior information that shrinks the parameter space toward a parsimonious baseline specification, effectively trading a small theoretical bias for a massive reduction in estimation variance</w:t>
      </w:r>
      <w:r>
        <w:t xml:space="preserve"> </w:t>
      </w:r>
      <w:r>
        <w:t xml:space="preserve">(</w:t>
      </w:r>
      <w:hyperlink w:anchor="ref-banbura2010large">
        <w:r>
          <w:rPr>
            <w:rStyle w:val="Hyperlink"/>
          </w:rPr>
          <w:t xml:space="preserve">Bańbura et al., 2010</w:t>
        </w:r>
      </w:hyperlink>
      <w:r>
        <w:t xml:space="preserve">)</w:t>
      </w:r>
      <w:r>
        <w:t xml:space="preserve">.</w:t>
      </w:r>
    </w:p>
    <w:bookmarkStart w:id="40" w:name="X48dae9d717eb219a1771adb2959079e7a618c71"/>
    <w:p>
      <w:pPr>
        <w:pStyle w:val="Heading3"/>
      </w:pPr>
      <w:r>
        <w:t xml:space="preserve">Conjugate Matrix Normal-Inverse Wishart Prior</w:t>
      </w:r>
    </w:p>
    <w:p>
      <w:pPr>
        <w:pStyle w:val="FirstParagraph"/>
      </w:pPr>
      <w:r>
        <w:t xml:space="preserve">To implement this shrinkage while maintaining computational tractability, we specify a conjugate Matrix Normal-Inverse Wishart (MNIW) prior. This analytical choice guarantees that the posterior conditional distributions remain in the same probability family as the prior, allowing for direct sampling and significantly accelerating the Markov Chain Monte Carlo (MCMC) algorithm.</w:t>
      </w:r>
    </w:p>
    <w:p>
      <w:pPr>
        <w:pStyle w:val="BodyText"/>
      </w:pPr>
      <w:r>
        <w:t xml:space="preserve">The joint prior distribution is structured hierarchically. First, the residual covariance matrix</w:t>
      </w:r>
      <w:r>
        <w:t xml:space="preserve"> </w:t>
      </w:r>
      <m:oMath>
        <m:r>
          <m:rPr>
            <m:sty m:val="p"/>
          </m:rPr>
          <m:t>Σ</m:t>
        </m:r>
      </m:oMath>
      <w:r>
        <w:t xml:space="preserve"> </w:t>
      </w:r>
      <w:r>
        <w:t xml:space="preserve">follows an Inverse-Wishart distribution:</w:t>
      </w:r>
    </w:p>
    <w:p>
      <w:pPr>
        <w:pStyle w:val="BodyText"/>
      </w:pPr>
      <m:oMathPara>
        <m:oMathParaPr>
          <m:jc m:val="center"/>
        </m:oMathParaPr>
        <m:oMath>
          <m:r>
            <m:rPr>
              <m:sty m:val="p"/>
            </m:rPr>
            <m:t>Σ</m:t>
          </m:r>
          <m:r>
            <m:rPr>
              <m:sty m:val="p"/>
            </m:rPr>
            <m:t>∼</m:t>
          </m:r>
          <m:r>
            <m:rPr>
              <m:scr m:val="script"/>
              <m:sty m:val="p"/>
            </m:rPr>
            <m:t>I</m:t>
          </m:r>
          <m:r>
            <m:rPr>
              <m:scr m:val="script"/>
              <m:sty m:val="p"/>
            </m:rPr>
            <m:t>W</m:t>
          </m:r>
          <m:r>
            <m:rPr>
              <m:sty m:val="p"/>
            </m:rPr>
            <m:t>(</m:t>
          </m:r>
          <m:bar>
            <m:barPr>
              <m:pos m:val="bot"/>
            </m:barPr>
            <m:e>
              <m:r>
                <m:t>S</m:t>
              </m:r>
            </m:e>
          </m:bar>
          <m:r>
            <m:rPr>
              <m:sty m:val="p"/>
            </m:rPr>
            <m:t>,</m:t>
          </m:r>
          <m:bar>
            <m:barPr>
              <m:pos m:val="bot"/>
            </m:barPr>
            <m:e>
              <m:r>
                <m:t>ν</m:t>
              </m:r>
            </m:e>
          </m:bar>
          <m:r>
            <m:rPr>
              <m:sty m:val="p"/>
            </m:rPr>
            <m:t>)</m:t>
          </m:r>
        </m:oMath>
      </m:oMathPara>
    </w:p>
    <w:p>
      <w:pPr>
        <w:pStyle w:val="FirstParagraph"/>
      </w:pPr>
      <w:r>
        <w:t xml:space="preserve">where</w:t>
      </w:r>
      <w:r>
        <w:t xml:space="preserve"> </w:t>
      </w:r>
      <m:oMath>
        <m:bar>
          <m:barPr>
            <m:pos m:val="bot"/>
          </m:barPr>
          <m:e>
            <m:r>
              <m:t>S</m:t>
            </m:r>
          </m:e>
        </m:bar>
      </m:oMath>
      <w:r>
        <w:t xml:space="preserve"> </w:t>
      </w:r>
      <w:r>
        <w:t xml:space="preserve">is the prior scale matrix and</w:t>
      </w:r>
      <w:r>
        <w:t xml:space="preserve"> </w:t>
      </w:r>
      <m:oMath>
        <m:bar>
          <m:barPr>
            <m:pos m:val="bot"/>
          </m:barPr>
          <m:e>
            <m:r>
              <m:t>ν</m:t>
            </m:r>
          </m:e>
        </m:bar>
      </m:oMath>
      <w:r>
        <w:t xml:space="preserve"> </w:t>
      </w:r>
      <w:r>
        <w:t xml:space="preserve">denotes the prior degrees of freedom.</w:t>
      </w:r>
    </w:p>
    <w:p>
      <w:pPr>
        <w:pStyle w:val="BodyText"/>
      </w:pPr>
      <w:r>
        <w:t xml:space="preserve">Conditioned on the draw of</w:t>
      </w:r>
      <w:r>
        <w:t xml:space="preserve"> </w:t>
      </w:r>
      <m:oMath>
        <m:r>
          <m:rPr>
            <m:sty m:val="p"/>
          </m:rPr>
          <m:t>Σ</m:t>
        </m:r>
      </m:oMath>
      <w:r>
        <w:t xml:space="preserve">, the block matrix of autoregressive coefficients</w:t>
      </w:r>
      <w:r>
        <w:t xml:space="preserve"> </w:t>
      </w:r>
      <m:oMath>
        <m:r>
          <m:rPr>
            <m:sty m:val="p"/>
          </m:rPr>
          <m:t>Φ</m:t>
        </m:r>
        <m:r>
          <m:rPr>
            <m:sty m:val="p"/>
          </m:rPr>
          <m:t>=</m:t>
        </m:r>
        <m:r>
          <m:rPr>
            <m:sty m:val="p"/>
          </m:rPr>
          <m:t>[</m:t>
        </m:r>
        <m:r>
          <m:t>c</m:t>
        </m:r>
        <m:r>
          <m:rPr>
            <m:sty m:val="p"/>
          </m:rPr>
          <m:t>,</m:t>
        </m:r>
        <m:sSub>
          <m:e>
            <m:r>
              <m:rPr>
                <m:sty m:val="p"/>
              </m:rPr>
              <m:t>Φ</m:t>
            </m:r>
          </m:e>
          <m:sub>
            <m:r>
              <m:t>1</m:t>
            </m:r>
          </m:sub>
        </m:sSub>
        <m:r>
          <m:rPr>
            <m:sty m:val="p"/>
          </m:rPr>
          <m:t>,</m:t>
        </m:r>
        <m:r>
          <m:rPr>
            <m:sty m:val="p"/>
          </m:rPr>
          <m:t>…</m:t>
        </m:r>
        <m:r>
          <m:rPr>
            <m:sty m:val="p"/>
          </m:rPr>
          <m:t>,</m:t>
        </m:r>
        <m:sSub>
          <m:e>
            <m:r>
              <m:rPr>
                <m:sty m:val="p"/>
              </m:rPr>
              <m:t>Φ</m:t>
            </m:r>
          </m:e>
          <m:sub>
            <m:r>
              <m:t>p</m:t>
            </m:r>
          </m:sub>
        </m:sSub>
        <m:r>
          <m:rPr>
            <m:sty m:val="p"/>
          </m:rPr>
          <m:t>]</m:t>
        </m:r>
      </m:oMath>
      <w:r>
        <w:t xml:space="preserve"> </w:t>
      </w:r>
      <w:r>
        <w:t xml:space="preserve">follows a Matrix Normal distribution:</w:t>
      </w:r>
    </w:p>
    <w:p>
      <w:pPr>
        <w:pStyle w:val="BodyText"/>
      </w:pPr>
      <m:oMathPara>
        <m:oMathParaPr>
          <m:jc m:val="center"/>
        </m:oMathParaPr>
        <m:oMath>
          <m:r>
            <m:rPr>
              <m:sty m:val="p"/>
            </m:rPr>
            <m:t>Φ</m:t>
          </m:r>
          <m:r>
            <m:rPr>
              <m:sty m:val="p"/>
            </m:rPr>
            <m:t>|</m:t>
          </m:r>
          <m:r>
            <m:rPr>
              <m:sty m:val="p"/>
            </m:rPr>
            <m:t>Σ</m:t>
          </m:r>
          <m:r>
            <m:rPr>
              <m:sty m:val="p"/>
            </m:rPr>
            <m:t>∼</m:t>
          </m:r>
          <m:r>
            <m:rPr>
              <m:scr m:val="script"/>
              <m:sty m:val="p"/>
            </m:rPr>
            <m:t>M</m:t>
          </m:r>
          <m:r>
            <m:rPr>
              <m:scr m:val="script"/>
              <m:sty m:val="p"/>
            </m:rPr>
            <m:t>N</m:t>
          </m:r>
          <m:r>
            <m:rPr>
              <m:sty m:val="p"/>
            </m:rPr>
            <m:t>(</m:t>
          </m:r>
          <m:bar>
            <m:barPr>
              <m:pos m:val="bot"/>
            </m:barPr>
            <m:e>
              <m:r>
                <m:rPr>
                  <m:sty m:val="p"/>
                </m:rPr>
                <m:t>Φ</m:t>
              </m:r>
            </m:e>
          </m:bar>
          <m:r>
            <m:rPr>
              <m:sty m:val="p"/>
            </m:rPr>
            <m:t>,</m:t>
          </m:r>
          <m:r>
            <m:rPr>
              <m:sty m:val="p"/>
            </m:rPr>
            <m:t>Σ</m:t>
          </m:r>
          <m:r>
            <m:rPr>
              <m:sty m:val="p"/>
            </m:rPr>
            <m:t>⊗</m:t>
          </m:r>
          <m:bar>
            <m:barPr>
              <m:pos m:val="bot"/>
            </m:barPr>
            <m:e>
              <m:r>
                <m:t>V</m:t>
              </m:r>
            </m:e>
          </m:bar>
          <m:r>
            <m:rPr>
              <m:sty m:val="p"/>
            </m:rPr>
            <m:t>)</m:t>
          </m:r>
        </m:oMath>
      </m:oMathPara>
    </w:p>
    <w:p>
      <w:pPr>
        <w:pStyle w:val="FirstParagraph"/>
      </w:pPr>
      <w:r>
        <w:t xml:space="preserve">where:</w:t>
      </w:r>
      <w:r>
        <w:t xml:space="preserve"> </w:t>
      </w:r>
      <w:r>
        <w:t xml:space="preserve">*</w:t>
      </w:r>
      <w:r>
        <w:t xml:space="preserve"> </w:t>
      </w:r>
      <m:oMath>
        <m:bar>
          <m:barPr>
            <m:pos m:val="bot"/>
          </m:barPr>
          <m:e>
            <m:r>
              <m:rPr>
                <m:sty m:val="p"/>
              </m:rPr>
              <m:t>Φ</m:t>
            </m:r>
          </m:e>
        </m:bar>
      </m:oMath>
      <w:r>
        <w:t xml:space="preserve"> </w:t>
      </w:r>
      <w:r>
        <w:t xml:space="preserve">is the prior mean matrix, which encodes the baseline dynamic behavior assumed for the variables (traditionally a Random Walk or an independent AR(1) process).</w:t>
      </w:r>
      <w:r>
        <w:t xml:space="preserve"> </w:t>
      </w:r>
      <w:r>
        <w:t xml:space="preserve">*</w:t>
      </w:r>
      <w:r>
        <w:t xml:space="preserve"> </w:t>
      </w:r>
      <m:oMath>
        <m:bar>
          <m:barPr>
            <m:pos m:val="bot"/>
          </m:barPr>
          <m:e>
            <m:r>
              <m:t>V</m:t>
            </m:r>
          </m:e>
        </m:bar>
      </m:oMath>
      <w:r>
        <w:t xml:space="preserve"> </w:t>
      </w:r>
      <w:r>
        <w:t xml:space="preserve">is a diagonal matrix governing the prior variance of the coefficients, explicitly determining the degree of shrinkage applied to each equation and lag.</w:t>
      </w:r>
      <w:r>
        <w:t xml:space="preserve"> </w:t>
      </w:r>
      <w:r>
        <w:t xml:space="preserve">*</w:t>
      </w:r>
      <w:r>
        <w:t xml:space="preserve"> </w:t>
      </w:r>
      <m:oMath>
        <m:r>
          <m:rPr>
            <m:sty m:val="p"/>
          </m:rPr>
          <m:t>⊗</m:t>
        </m:r>
      </m:oMath>
      <w:r>
        <w:t xml:space="preserve"> </w:t>
      </w:r>
      <w:r>
        <w:t xml:space="preserve">denotes the Kronecker product, structurally scaling the variance of the coefficients proportionally to the residual variance of their respective equations.</w:t>
      </w:r>
    </w:p>
    <w:p>
      <w:pPr>
        <w:pStyle w:val="BodyText"/>
      </w:pPr>
      <w:r>
        <w:t xml:space="preserve">The specific numerical population of</w:t>
      </w:r>
      <w:r>
        <w:t xml:space="preserve"> </w:t>
      </w:r>
      <m:oMath>
        <m:bar>
          <m:barPr>
            <m:pos m:val="bot"/>
          </m:barPr>
          <m:e>
            <m:r>
              <m:rPr>
                <m:sty m:val="p"/>
              </m:rPr>
              <m:t>Φ</m:t>
            </m:r>
          </m:e>
        </m:bar>
      </m:oMath>
      <w:r>
        <w:t xml:space="preserve"> </w:t>
      </w:r>
      <w:r>
        <w:t xml:space="preserve">and</w:t>
      </w:r>
      <w:r>
        <w:t xml:space="preserve"> </w:t>
      </w:r>
      <m:oMath>
        <m:bar>
          <m:barPr>
            <m:pos m:val="bot"/>
          </m:barPr>
          <m:e>
            <m:r>
              <m:t>V</m:t>
            </m:r>
          </m:e>
        </m:bar>
      </m:oMath>
      <w:r>
        <w:t xml:space="preserve"> </w:t>
      </w:r>
      <w:r>
        <w:t xml:space="preserve">relies on the standard Minnesota prior parameterization, detailed below.</w:t>
      </w:r>
    </w:p>
    <w:bookmarkEnd w:id="40"/>
    <w:bookmarkStart w:id="41" w:name="X20d4b2fcef7e94eb0a51bb0f18f99eb07842736"/>
    <w:p>
      <w:pPr>
        <w:pStyle w:val="Heading3"/>
      </w:pPr>
      <w:r>
        <w:t xml:space="preserve">Minnesota Prior Specification and Hyperparameter Tuning</w:t>
      </w:r>
    </w:p>
    <w:p>
      <w:pPr>
        <w:pStyle w:val="FirstParagraph"/>
      </w:pPr>
      <w:r>
        <w:t xml:space="preserve">To populate the prior mean (</w:t>
      </w:r>
      <m:oMath>
        <m:bar>
          <m:barPr>
            <m:pos m:val="bot"/>
          </m:barPr>
          <m:e>
            <m:r>
              <m:rPr>
                <m:sty m:val="p"/>
              </m:rPr>
              <m:t>Φ</m:t>
            </m:r>
          </m:e>
        </m:bar>
      </m:oMath>
      <w:r>
        <w:t xml:space="preserve">) and prior variance (</w:t>
      </w:r>
      <m:oMath>
        <m:bar>
          <m:barPr>
            <m:pos m:val="bot"/>
          </m:barPr>
          <m:e>
            <m:r>
              <m:t>V</m:t>
            </m:r>
          </m:e>
        </m:bar>
      </m:oMath>
      <w:r>
        <w:t xml:space="preserve">) matrices, we adopt the well-established Minnesota prior framework, originally developed by</w:t>
      </w:r>
      <w:r>
        <w:t xml:space="preserve"> </w:t>
      </w:r>
      <w:r>
        <w:t xml:space="preserve">Litterman (</w:t>
      </w:r>
      <w:hyperlink w:anchor="ref-litterman1986">
        <w:r>
          <w:rPr>
            <w:rStyle w:val="Hyperlink"/>
          </w:rPr>
          <w:t xml:space="preserve">1986</w:t>
        </w:r>
      </w:hyperlink>
      <w:r>
        <w:t xml:space="preserve">)</w:t>
      </w:r>
      <w:r>
        <w:t xml:space="preserve">. The foundational premise of the Minnesota prior is that the dynamic behavior of most macroeconomic time series is well-approximated by independent random walks (for non-stationary series) or white noise/stationary autoregressive processes (for stationary series).</w:t>
      </w:r>
    </w:p>
    <w:p>
      <w:pPr>
        <w:pStyle w:val="BodyText"/>
      </w:pPr>
      <w:r>
        <w:t xml:space="preserve">Consequently, the prior mean matrix</w:t>
      </w:r>
      <w:r>
        <w:t xml:space="preserve"> </w:t>
      </w:r>
      <m:oMath>
        <m:bar>
          <m:barPr>
            <m:pos m:val="bot"/>
          </m:barPr>
          <m:e>
            <m:r>
              <m:rPr>
                <m:sty m:val="p"/>
              </m:rPr>
              <m:t>Φ</m:t>
            </m:r>
          </m:e>
        </m:bar>
      </m:oMath>
      <w:r>
        <w:t xml:space="preserve"> </w:t>
      </w:r>
      <w:r>
        <w:t xml:space="preserve">is structured such that all cross-variable lag coefficients are centered exactly at zero. For the first own-lag coefficients, the prior mean is conditioned strictly on the transformation of the underlying data, following the mixed-frequency parameterization established by</w:t>
      </w:r>
      <w:r>
        <w:t xml:space="preserve"> </w:t>
      </w:r>
      <w:r>
        <w:t xml:space="preserve">Schorfheide and Song (</w:t>
      </w:r>
      <w:hyperlink w:anchor="ref-schorfheide2015real">
        <w:r>
          <w:rPr>
            <w:rStyle w:val="Hyperlink"/>
          </w:rPr>
          <w:t xml:space="preserve">2015</w:t>
        </w:r>
      </w:hyperlink>
      <w:r>
        <w:t xml:space="preserve">)</w:t>
      </w:r>
      <w:r>
        <w:t xml:space="preserve">:</w:t>
      </w:r>
    </w:p>
    <w:p>
      <w:pPr>
        <w:numPr>
          <w:ilvl w:val="0"/>
          <w:numId w:val="1003"/>
        </w:numPr>
      </w:pPr>
      <w:r>
        <w:rPr>
          <w:b/>
          <w:bCs/>
        </w:rPr>
        <w:t xml:space="preserve">Random Walk Prior (Prior mean = 1):</w:t>
      </w:r>
      <w:r>
        <w:t xml:space="preserve"> </w:t>
      </w:r>
      <w:r>
        <w:t xml:space="preserve">Assigned to variables modeled in log-levels, which exhibit strong non-stationary persistence. In our system, this applies to the Oil Price (Brent), the Economic Tracking Indicator (ISE), Industrial Production (IPI), the Exchange Rate (TRM), Retail Trade (ICM), and the target latent GDP.</w:t>
      </w:r>
    </w:p>
    <w:p>
      <w:pPr>
        <w:numPr>
          <w:ilvl w:val="0"/>
          <w:numId w:val="1003"/>
        </w:numPr>
      </w:pPr>
      <w:r>
        <w:rPr>
          <w:b/>
          <w:bCs/>
        </w:rPr>
        <w:t xml:space="preserve">White Noise Prior (Prior mean = 0):</w:t>
      </w:r>
      <w:r>
        <w:t xml:space="preserve"> </w:t>
      </w:r>
      <w:r>
        <w:t xml:space="preserve">Assigned to variables modeled in raw rates, percentages, or mean-reverting indices, which are treated as stationary. This applies to the Monetary Policy Rate, Consumer Confidence (ICC), Inflation (CPI), and the Unemployment Rate.</w:t>
      </w:r>
    </w:p>
    <w:p>
      <w:pPr>
        <w:pStyle w:val="FirstParagraph"/>
      </w:pPr>
      <w:r>
        <w:t xml:space="preserve">This binary baseline severely restricts the parameter space, mitigating the risk of detecting spurious correlations across distant lags while respecting the time-series properties of the dataset.</w:t>
      </w:r>
    </w:p>
    <w:p>
      <w:pPr>
        <w:pStyle w:val="BodyText"/>
      </w:pPr>
      <w:r>
        <w:t xml:space="preserve">The prior variance matrix,</w:t>
      </w:r>
      <w:r>
        <w:t xml:space="preserve"> </w:t>
      </w:r>
      <m:oMath>
        <m:bar>
          <m:barPr>
            <m:pos m:val="bot"/>
          </m:barPr>
          <m:e>
            <m:r>
              <m:t>V</m:t>
            </m:r>
          </m:e>
        </m:bar>
      </m:oMath>
      <w:r>
        <w:t xml:space="preserve">, governs the tightness of these beliefs. Following</w:t>
      </w:r>
      <w:r>
        <w:t xml:space="preserve"> </w:t>
      </w:r>
      <w:r>
        <w:t xml:space="preserve">Bańbura et al. (</w:t>
      </w:r>
      <w:hyperlink w:anchor="ref-banbura2010large">
        <w:r>
          <w:rPr>
            <w:rStyle w:val="Hyperlink"/>
          </w:rPr>
          <w:t xml:space="preserve">2010</w:t>
        </w:r>
      </w:hyperlink>
      <w:r>
        <w:t xml:space="preserve">)</w:t>
      </w:r>
      <w:r>
        <w:t xml:space="preserve">, the variance is scaled by a set of hyperparameters. The core mechanism is driven by the overall shrinkage hyperparameter,</w:t>
      </w:r>
      <w:r>
        <w:t xml:space="preserve"> </w:t>
      </w:r>
      <m:oMath>
        <m:sSub>
          <m:e>
            <m:r>
              <m:t>λ</m:t>
            </m:r>
          </m:e>
          <m:sub>
            <m:r>
              <m:t>1</m:t>
            </m:r>
          </m:sub>
        </m:sSub>
        <m:r>
          <m:rPr>
            <m:sty m:val="p"/>
          </m:rPr>
          <m:t>&gt;</m:t>
        </m:r>
        <m:r>
          <m:t>0</m:t>
        </m:r>
      </m:oMath>
      <w:r>
        <w:t xml:space="preserve">, which dictates the standard deviation of the prior. A key feature of this parameterization is its harmonic decay for distant lags. Specifically, the prior variance for the coefficient on lag</w:t>
      </w:r>
      <w:r>
        <w:t xml:space="preserve"> </w:t>
      </w:r>
      <m:oMath>
        <m:r>
          <m:t>l</m:t>
        </m:r>
      </m:oMath>
      <w:r>
        <w:t xml:space="preserve"> </w:t>
      </w:r>
      <w:r>
        <w:t xml:space="preserve">of variable</w:t>
      </w:r>
      <w:r>
        <w:t xml:space="preserve"> </w:t>
      </w:r>
      <m:oMath>
        <m:r>
          <m:t>j</m:t>
        </m:r>
      </m:oMath>
      <w:r>
        <w:t xml:space="preserve"> </w:t>
      </w:r>
      <w:r>
        <w:t xml:space="preserve">in equation</w:t>
      </w:r>
      <w:r>
        <w:t xml:space="preserve"> </w:t>
      </w:r>
      <m:oMath>
        <m:r>
          <m:t>i</m:t>
        </m:r>
      </m:oMath>
      <w:r>
        <w:t xml:space="preserve">, denoted</w:t>
      </w:r>
      <w:r>
        <w:t xml:space="preserve"> </w:t>
      </w:r>
      <m:oMath>
        <m:sSub>
          <m:e>
            <m:bar>
              <m:barPr>
                <m:pos m:val="bot"/>
              </m:barPr>
              <m:e>
                <m:r>
                  <m:t>V</m:t>
                </m:r>
              </m:e>
            </m:bar>
          </m:e>
          <m:sub>
            <m:r>
              <m:t>i</m:t>
            </m:r>
            <m:r>
              <m:t>j</m:t>
            </m:r>
            <m:r>
              <m:rPr>
                <m:sty m:val="p"/>
              </m:rPr>
              <m:t>,</m:t>
            </m:r>
            <m:r>
              <m:t>l</m:t>
            </m:r>
          </m:sub>
        </m:sSub>
      </m:oMath>
      <w:r>
        <w:t xml:space="preserve">, is constructed as:</w:t>
      </w:r>
    </w:p>
    <w:p>
      <w:pPr>
        <w:pStyle w:val="BodyText"/>
      </w:pPr>
      <m:oMathPara>
        <m:oMathParaPr>
          <m:jc m:val="center"/>
        </m:oMathParaPr>
        <m:oMath>
          <m:sSub>
            <m:e>
              <m:bar>
                <m:barPr>
                  <m:pos m:val="bot"/>
                </m:barPr>
                <m:e>
                  <m:r>
                    <m:t>V</m:t>
                  </m:r>
                </m:e>
              </m:bar>
            </m:e>
            <m:sub>
              <m:r>
                <m:t>i</m:t>
              </m:r>
              <m:r>
                <m:t>j</m:t>
              </m:r>
              <m:r>
                <m:rPr>
                  <m:sty m:val="p"/>
                </m:rPr>
                <m:t>,</m:t>
              </m:r>
              <m:r>
                <m:t>l</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Sup>
                          <m:e>
                            <m:r>
                              <m:t>λ</m:t>
                            </m:r>
                          </m:e>
                          <m:sub>
                            <m:r>
                              <m:t>1</m:t>
                            </m:r>
                          </m:sub>
                          <m:sup>
                            <m:r>
                              <m:t>2</m:t>
                            </m:r>
                          </m:sup>
                        </m:sSubSup>
                      </m:num>
                      <m:den>
                        <m:sSup>
                          <m:e>
                            <m:r>
                              <m:t>l</m:t>
                            </m:r>
                          </m:e>
                          <m:sup>
                            <m:r>
                              <m:t>2</m:t>
                            </m:r>
                          </m:sup>
                        </m:sSup>
                      </m:den>
                    </m:f>
                  </m:e>
                  <m:e>
                    <m:r>
                      <m:rPr>
                        <m:nor/>
                        <m:sty m:val="p"/>
                      </m:rPr>
                      <m:t>if </m:t>
                    </m:r>
                    <m:r>
                      <m:t>i</m:t>
                    </m:r>
                    <m:r>
                      <m:rPr>
                        <m:sty m:val="p"/>
                      </m:rPr>
                      <m:t>=</m:t>
                    </m:r>
                    <m:r>
                      <m:t>j</m:t>
                    </m:r>
                    <m:r>
                      <m:rPr>
                        <m:nor/>
                        <m:sty m:val="p"/>
                      </m:rPr>
                      <m:t> (own lags)</m:t>
                    </m:r>
                  </m:e>
                </m:mr>
                <m:mr>
                  <m:e>
                    <m:f>
                      <m:fPr>
                        <m:type m:val="bar"/>
                      </m:fPr>
                      <m:num>
                        <m:sSubSup>
                          <m:e>
                            <m:r>
                              <m:t>λ</m:t>
                            </m:r>
                          </m:e>
                          <m:sub>
                            <m:r>
                              <m:t>1</m:t>
                            </m:r>
                          </m:sub>
                          <m:sup>
                            <m:r>
                              <m:t>2</m:t>
                            </m:r>
                          </m:sup>
                        </m:sSubSup>
                      </m:num>
                      <m:den>
                        <m:sSup>
                          <m:e>
                            <m:r>
                              <m:t>l</m:t>
                            </m:r>
                          </m:e>
                          <m:sup>
                            <m:r>
                              <m:t>2</m:t>
                            </m:r>
                          </m:sup>
                        </m:sSup>
                      </m:den>
                    </m:f>
                    <m:f>
                      <m:fPr>
                        <m:type m:val="bar"/>
                      </m:fPr>
                      <m:num>
                        <m:sSubSup>
                          <m:e>
                            <m:r>
                              <m:t>σ</m:t>
                            </m:r>
                          </m:e>
                          <m:sub>
                            <m:r>
                              <m:t>i</m:t>
                            </m:r>
                          </m:sub>
                          <m:sup>
                            <m:r>
                              <m:t>2</m:t>
                            </m:r>
                          </m:sup>
                        </m:sSubSup>
                      </m:num>
                      <m:den>
                        <m:sSubSup>
                          <m:e>
                            <m:r>
                              <m:t>σ</m:t>
                            </m:r>
                          </m:e>
                          <m:sub>
                            <m:r>
                              <m:t>j</m:t>
                            </m:r>
                          </m:sub>
                          <m:sup>
                            <m:r>
                              <m:t>2</m:t>
                            </m:r>
                          </m:sup>
                        </m:sSubSup>
                      </m:den>
                    </m:f>
                  </m:e>
                  <m:e>
                    <m:r>
                      <m:rPr>
                        <m:nor/>
                        <m:sty m:val="p"/>
                      </m:rPr>
                      <m:t>if </m:t>
                    </m:r>
                    <m:r>
                      <m:t>i</m:t>
                    </m:r>
                    <m:r>
                      <m:rPr>
                        <m:sty m:val="p"/>
                      </m:rPr>
                      <m:t>≠</m:t>
                    </m:r>
                    <m:r>
                      <m:t>j</m:t>
                    </m:r>
                    <m:r>
                      <m:rPr>
                        <m:nor/>
                        <m:sty m:val="p"/>
                      </m:rPr>
                      <m:t> (cross lags)</m:t>
                    </m:r>
                  </m:e>
                </m:mr>
              </m:m>
            </m:e>
          </m:d>
        </m:oMath>
      </m:oMathPara>
    </w:p>
    <w:p>
      <w:pPr>
        <w:pStyle w:val="FirstParagraph"/>
      </w:pPr>
      <w:r>
        <w:t xml:space="preserve">where</w:t>
      </w:r>
      <w:r>
        <w:t xml:space="preserve"> </w:t>
      </w:r>
      <m:oMath>
        <m:sSub>
          <m:e>
            <m:r>
              <m:t>λ</m:t>
            </m:r>
          </m:e>
          <m:sub>
            <m:r>
              <m:t>1</m:t>
            </m:r>
          </m:sub>
        </m:sSub>
      </m:oMath>
      <w:r>
        <w:t xml:space="preserve"> </w:t>
      </w:r>
      <w:r>
        <w:t xml:space="preserve">dictates the overall tightness,</w:t>
      </w:r>
      <w:r>
        <w:t xml:space="preserve"> </w:t>
      </w:r>
      <m:oMath>
        <m:sSup>
          <m:e>
            <m:r>
              <m:t>l</m:t>
            </m:r>
          </m:e>
          <m:sup>
            <m:r>
              <m:t>2</m:t>
            </m:r>
          </m:sup>
        </m:sSup>
      </m:oMath>
      <w:r>
        <w:t xml:space="preserve"> </w:t>
      </w:r>
      <w:r>
        <w:t xml:space="preserve">strictly penalizes distant lags, and the ratio</w:t>
      </w:r>
      <w:r>
        <w:t xml:space="preserve"> </w:t>
      </w:r>
      <m:oMath>
        <m:sSubSup>
          <m:e>
            <m:r>
              <m:t>σ</m:t>
            </m:r>
          </m:e>
          <m:sub>
            <m:r>
              <m:t>i</m:t>
            </m:r>
          </m:sub>
          <m:sup>
            <m:r>
              <m:t>2</m:t>
            </m:r>
          </m:sup>
        </m:sSubSup>
        <m:r>
          <m:rPr>
            <m:sty m:val="p"/>
          </m:rPr>
          <m:t>/</m:t>
        </m:r>
        <m:sSubSup>
          <m:e>
            <m:r>
              <m:t>σ</m:t>
            </m:r>
          </m:e>
          <m:sub>
            <m:r>
              <m:t>j</m:t>
            </m:r>
          </m:sub>
          <m:sup>
            <m:r>
              <m:t>2</m:t>
            </m:r>
          </m:sup>
        </m:sSubSup>
      </m:oMath>
      <w:r>
        <w:t xml:space="preserve"> </w:t>
      </w:r>
      <w:r>
        <w:t xml:space="preserve">acts as a scaling factor to account for the different magnitudes and units of the macroeconomic series. Note that we purposely omit a separate cross-variable tightness hyperparameter (traditionally</w:t>
      </w:r>
      <w:r>
        <w:t xml:space="preserve"> </w:t>
      </w:r>
      <m:oMath>
        <m:sSub>
          <m:e>
            <m:r>
              <m:t>λ</m:t>
            </m:r>
          </m:e>
          <m:sub>
            <m:r>
              <m:t>2</m:t>
            </m:r>
          </m:sub>
        </m:sSub>
      </m:oMath>
      <w:r>
        <w:t xml:space="preserve">) to maintain computational parsimony; under the strict conjugate MNIW structure (</w:t>
      </w:r>
      <m:oMath>
        <m:r>
          <m:rPr>
            <m:sty m:val="p"/>
          </m:rPr>
          <m:t>Σ</m:t>
        </m:r>
        <m:r>
          <m:rPr>
            <m:sty m:val="p"/>
          </m:rPr>
          <m:t>⊗</m:t>
        </m:r>
        <m:bar>
          <m:barPr>
            <m:pos m:val="bot"/>
          </m:barPr>
          <m:e>
            <m:r>
              <m:t>V</m:t>
            </m:r>
          </m:e>
        </m:bar>
      </m:oMath>
      <w:r>
        <w:t xml:space="preserve">), cross-lag shrinkage is governed symmetrically by the residual covariance matrix. Note that we purposely omit a separate cross-variable tightness hyperparameter (traditionally</w:t>
      </w:r>
      <w:r>
        <w:t xml:space="preserve"> </w:t>
      </w:r>
      <m:oMath>
        <m:sSub>
          <m:e>
            <m:r>
              <m:t>λ</m:t>
            </m:r>
          </m:e>
          <m:sub>
            <m:r>
              <m:t>2</m:t>
            </m:r>
          </m:sub>
        </m:sSub>
      </m:oMath>
      <w:r>
        <w:t xml:space="preserve">) to maintain computational parsimony; under the strict conjugate MNIW structure (</w:t>
      </w:r>
      <m:oMath>
        <m:r>
          <m:rPr>
            <m:sty m:val="p"/>
          </m:rPr>
          <m:t>Σ</m:t>
        </m:r>
        <m:r>
          <m:rPr>
            <m:sty m:val="p"/>
          </m:rPr>
          <m:t>⊗</m:t>
        </m:r>
        <m:bar>
          <m:barPr>
            <m:pos m:val="bot"/>
          </m:barPr>
          <m:e>
            <m:r>
              <m:t>V</m:t>
            </m:r>
          </m:e>
        </m:bar>
      </m:oMath>
      <w:r>
        <w:t xml:space="preserve">), cross-lag shrinkage is governed symmetrically by the residual covariance matrix.</w:t>
      </w:r>
    </w:p>
    <w:p>
      <w:pPr>
        <w:pStyle w:val="BodyText"/>
      </w:pPr>
      <w:r>
        <w:t xml:space="preserve">If</w:t>
      </w:r>
      <w:r>
        <w:t xml:space="preserve"> </w:t>
      </w:r>
      <m:oMath>
        <m:sSub>
          <m:e>
            <m:r>
              <m:t>λ</m:t>
            </m:r>
          </m:e>
          <m:sub>
            <m:r>
              <m:t>1</m:t>
            </m:r>
          </m:sub>
        </m:sSub>
        <m:r>
          <m:rPr>
            <m:sty m:val="p"/>
          </m:rPr>
          <m:t>→</m:t>
        </m:r>
        <m:r>
          <m:t>0</m:t>
        </m:r>
      </m:oMath>
      <w:r>
        <w:t xml:space="preserve">, the posterior shrinks entirely to the prior mean, collapsing the VAR into a set of independent univariate processes. Conversely, if</w:t>
      </w:r>
      <w:r>
        <w:t xml:space="preserve"> </w:t>
      </w:r>
      <m:oMath>
        <m:sSub>
          <m:e>
            <m:r>
              <m:t>λ</m:t>
            </m:r>
          </m:e>
          <m:sub>
            <m:r>
              <m:t>1</m:t>
            </m:r>
          </m:sub>
        </m:sSub>
        <m:r>
          <m:rPr>
            <m:sty m:val="p"/>
          </m:rPr>
          <m:t>→</m:t>
        </m:r>
        <m:r>
          <m:rPr>
            <m:sty m:val="p"/>
          </m:rPr>
          <m:t>∞</m:t>
        </m:r>
      </m:oMath>
      <w:r>
        <w:t xml:space="preserve">, the prior becomes uninformative, and the posterior estimates converge to the overparameterized frequentist OLS estimates.</w:t>
      </w:r>
    </w:p>
    <w:p>
      <w:pPr>
        <w:pStyle w:val="BodyText"/>
      </w:pPr>
      <w:r>
        <w:t xml:space="preserve">For our empirical implementation, the overall shrinkage hyperparameter was calibrated to</w:t>
      </w:r>
      <w:r>
        <w:t xml:space="preserve"> </w:t>
      </w:r>
      <m:oMath>
        <m:sSub>
          <m:e>
            <m:r>
              <m:t>λ</m:t>
            </m:r>
          </m:e>
          <m:sub>
            <m:r>
              <m:t>1</m:t>
            </m:r>
          </m:sub>
        </m:sSub>
        <m:r>
          <m:rPr>
            <m:sty m:val="p"/>
          </m:rPr>
          <m:t>=</m:t>
        </m:r>
        <m:r>
          <m:t>0.04</m:t>
        </m:r>
      </m:oMath>
      <w:r>
        <w:t xml:space="preserve">. Following</w:t>
      </w:r>
      <w:r>
        <w:t xml:space="preserve"> </w:t>
      </w:r>
      <w:r>
        <w:t xml:space="preserve">Giannone et al. (</w:t>
      </w:r>
      <w:hyperlink w:anchor="ref-giannone2015prior">
        <w:r>
          <w:rPr>
            <w:rStyle w:val="Hyperlink"/>
          </w:rPr>
          <w:t xml:space="preserve">2015</w:t>
        </w:r>
      </w:hyperlink>
      <w:r>
        <w:t xml:space="preserve">)</w:t>
      </w:r>
      <w:r>
        <w:t xml:space="preserve">, this value was selected through a grid-search procedure designed to maximize the marginal data density of the model, jointly balancing model fit and complexity.</w:t>
      </w:r>
    </w:p>
    <w:bookmarkEnd w:id="41"/>
    <w:bookmarkEnd w:id="42"/>
    <w:bookmarkStart w:id="43" w:name="X1c1d7b574a0c520a21e1095d69b0f217bbca523"/>
    <w:p>
      <w:pPr>
        <w:pStyle w:val="Heading2"/>
      </w:pPr>
      <w:r>
        <w:t xml:space="preserve">Posterior Inference via Gibbs Sampling (Carter-Kohn Smoother)</w:t>
      </w:r>
    </w:p>
    <w:p>
      <w:pPr>
        <w:pStyle w:val="FirstParagraph"/>
      </w:pPr>
      <w:r>
        <w:t xml:space="preserve">The joint posterior distribution of the unobserved monthly states (</w:t>
      </w:r>
      <m:oMath>
        <m:r>
          <m:t>X</m:t>
        </m:r>
      </m:oMath>
      <w:r>
        <w:t xml:space="preserve">) and the VAR parameters (</w:t>
      </w:r>
      <m:oMath>
        <m:r>
          <m:rPr>
            <m:sty m:val="p"/>
          </m:rPr>
          <m:t>Ψ</m:t>
        </m:r>
        <m:r>
          <m:rPr>
            <m:sty m:val="p"/>
          </m:rPr>
          <m:t>=</m:t>
        </m:r>
        <m:r>
          <m:rPr>
            <m:sty m:val="p"/>
          </m:rPr>
          <m:t>{</m:t>
        </m:r>
        <m:r>
          <m:rPr>
            <m:sty m:val="p"/>
          </m:rPr>
          <m:t>Φ</m:t>
        </m:r>
        <m:r>
          <m:rPr>
            <m:sty m:val="p"/>
          </m:rPr>
          <m:t>,</m:t>
        </m:r>
        <m:r>
          <m:rPr>
            <m:sty m:val="p"/>
          </m:rPr>
          <m:t>Σ</m:t>
        </m:r>
        <m:r>
          <m:rPr>
            <m:sty m:val="p"/>
          </m:rPr>
          <m:t>}</m:t>
        </m:r>
      </m:oMath>
      <w:r>
        <w:t xml:space="preserve">) is analytically intractable. To overcome this, following the methodology of</w:t>
      </w:r>
      <w:r>
        <w:t xml:space="preserve"> </w:t>
      </w:r>
      <w:r>
        <w:t xml:space="preserve">Schorfheide and Song (</w:t>
      </w:r>
      <w:hyperlink w:anchor="ref-schorfheide2015real">
        <w:r>
          <w:rPr>
            <w:rStyle w:val="Hyperlink"/>
          </w:rPr>
          <w:t xml:space="preserve">2015</w:t>
        </w:r>
      </w:hyperlink>
      <w:r>
        <w:t xml:space="preserve">)</w:t>
      </w:r>
      <w:r>
        <w:t xml:space="preserve"> </w:t>
      </w:r>
      <w:r>
        <w:t xml:space="preserve">and</w:t>
      </w:r>
      <w:r>
        <w:t xml:space="preserve"> </w:t>
      </w:r>
      <w:r>
        <w:t xml:space="preserve">Ankargren and Jonéus (</w:t>
      </w:r>
      <w:hyperlink w:anchor="ref-ankargren2020mfbvar">
        <w:r>
          <w:rPr>
            <w:rStyle w:val="Hyperlink"/>
          </w:rPr>
          <w:t xml:space="preserve">2020</w:t>
        </w:r>
      </w:hyperlink>
      <w:r>
        <w:t xml:space="preserve">)</w:t>
      </w:r>
      <w:r>
        <w:t xml:space="preserve">, we employ a Markov Chain Monte Carlo (MCMC) algorithm—specifically, a Gibbs sampler with data augmentation. This approach circumvents the intractability by breaking the high-dimensional estimation problem into two sequential, conditional sampling steps at each iteration</w:t>
      </w:r>
      <w:r>
        <w:t xml:space="preserve"> </w:t>
      </w:r>
      <m:oMath>
        <m:r>
          <m:t>j</m:t>
        </m:r>
      </m:oMath>
      <w:r>
        <w:t xml:space="preserve">:</w:t>
      </w:r>
    </w:p>
    <w:p>
      <w:pPr>
        <w:pStyle w:val="BodyText"/>
      </w:pPr>
      <w:r>
        <w:rPr>
          <w:b/>
          <w:bCs/>
        </w:rPr>
        <w:t xml:space="preserve">Step 1: Drawing the Latent States (Forward-Filtering Backward-Sampling)</w:t>
      </w:r>
      <w:r>
        <w:t xml:space="preserve"> </w:t>
      </w:r>
      <w:r>
        <w:t xml:space="preserve">In the first step, we condition on the actual observations (</w:t>
      </w:r>
      <m:oMath>
        <m:r>
          <m:t>Y</m:t>
        </m:r>
      </m:oMath>
      <w:r>
        <w:t xml:space="preserve">) and the previous draw of the VAR parameters (</w:t>
      </w:r>
      <m:oMath>
        <m:sSup>
          <m:e>
            <m:r>
              <m:rPr>
                <m:sty m:val="p"/>
              </m:rPr>
              <m:t>Ψ</m:t>
            </m:r>
          </m:e>
          <m:sup>
            <m:r>
              <m:rPr>
                <m:sty m:val="p"/>
              </m:rPr>
              <m:t>(</m:t>
            </m:r>
            <m:r>
              <m:t>j</m:t>
            </m:r>
            <m:r>
              <m:rPr>
                <m:sty m:val="p"/>
              </m:rPr>
              <m:t>−</m:t>
            </m:r>
            <m:r>
              <m:t>1</m:t>
            </m:r>
            <m:r>
              <m:rPr>
                <m:sty m:val="p"/>
              </m:rPr>
              <m:t>)</m:t>
            </m:r>
          </m:sup>
        </m:sSup>
      </m:oMath>
      <w:r>
        <w:t xml:space="preserve">) to sample the full trajectory of the unobserved high-frequency states</w:t>
      </w:r>
      <w:r>
        <w:t xml:space="preserve"> </w:t>
      </w:r>
      <m:oMath>
        <m:sSup>
          <m:e>
            <m:r>
              <m:t>X</m:t>
            </m:r>
          </m:e>
          <m:sup>
            <m:r>
              <m:rPr>
                <m:sty m:val="p"/>
              </m:rPr>
              <m:t>(</m:t>
            </m:r>
            <m:r>
              <m:t>j</m:t>
            </m:r>
            <m:r>
              <m:rPr>
                <m:sty m:val="p"/>
              </m:rPr>
              <m:t>)</m:t>
            </m:r>
          </m:sup>
        </m:sSup>
      </m:oMath>
      <w:r>
        <w:t xml:space="preserve">. The conditional distribution is given by:</w:t>
      </w:r>
    </w:p>
    <w:p>
      <w:pPr>
        <w:pStyle w:val="BodyText"/>
      </w:pPr>
      <m:oMathPara>
        <m:oMathParaPr>
          <m:jc m:val="center"/>
        </m:oMathParaPr>
        <m:oMath>
          <m:sSup>
            <m:e>
              <m:r>
                <m:t>X</m:t>
              </m:r>
            </m:e>
            <m:sup>
              <m:r>
                <m:rPr>
                  <m:sty m:val="p"/>
                </m:rPr>
                <m:t>(</m:t>
              </m:r>
              <m:r>
                <m:t>j</m:t>
              </m:r>
              <m:r>
                <m:rPr>
                  <m:sty m:val="p"/>
                </m:rPr>
                <m:t>)</m:t>
              </m:r>
            </m:sup>
          </m:sSup>
          <m:r>
            <m:rPr>
              <m:sty m:val="p"/>
            </m:rPr>
            <m:t>∼</m:t>
          </m:r>
          <m:r>
            <m:t>p</m:t>
          </m:r>
          <m:r>
            <m:rPr>
              <m:sty m:val="p"/>
            </m:rPr>
            <m:t>(</m:t>
          </m:r>
          <m:r>
            <m:t>X</m:t>
          </m:r>
          <m:r>
            <m:rPr>
              <m:sty m:val="p"/>
            </m:rPr>
            <m:t>|</m:t>
          </m:r>
          <m:r>
            <m:t>Y</m:t>
          </m:r>
          <m:r>
            <m:rPr>
              <m:sty m:val="p"/>
            </m:rPr>
            <m:t>,</m:t>
          </m:r>
          <m:sSup>
            <m:e>
              <m:r>
                <m:rPr>
                  <m:sty m:val="p"/>
                </m:rPr>
                <m:t>Ψ</m:t>
              </m:r>
            </m:e>
            <m:sup>
              <m:r>
                <m:rPr>
                  <m:sty m:val="p"/>
                </m:rPr>
                <m:t>(</m:t>
              </m:r>
              <m:r>
                <m:t>j</m:t>
              </m:r>
              <m:r>
                <m:rPr>
                  <m:sty m:val="p"/>
                </m:rPr>
                <m:t>−</m:t>
              </m:r>
              <m:r>
                <m:t>1</m:t>
              </m:r>
              <m:r>
                <m:rPr>
                  <m:sty m:val="p"/>
                </m:rPr>
                <m:t>)</m:t>
              </m:r>
            </m:sup>
          </m:sSup>
          <m:r>
            <m:rPr>
              <m:sty m:val="p"/>
            </m:rPr>
            <m:t>)</m:t>
          </m:r>
        </m:oMath>
      </m:oMathPara>
    </w:p>
    <w:p>
      <w:pPr>
        <w:pStyle w:val="FirstParagraph"/>
      </w:pPr>
      <w:r>
        <w:t xml:space="preserve">Because the transition and measurement equations are linear and Gaussian, we sample from this distribution using the multi-move forward-filtering backward-sampling (FFBS) algorithm developed by</w:t>
      </w:r>
      <w:r>
        <w:t xml:space="preserve"> </w:t>
      </w:r>
      <w:r>
        <w:t xml:space="preserve">Carter and Kohn (</w:t>
      </w:r>
      <w:hyperlink w:anchor="ref-carter1994gibbs">
        <w:r>
          <w:rPr>
            <w:rStyle w:val="Hyperlink"/>
          </w:rPr>
          <w:t xml:space="preserve">1994</w:t>
        </w:r>
      </w:hyperlink>
      <w:r>
        <w:t xml:space="preserve">)</w:t>
      </w:r>
      <w:r>
        <w:t xml:space="preserve">. The algorithm runs the Kalman filter forward to compute the mean and variance of the state vector, and then proceeds backward in time to draw a complete sequence for the latent monthly GDP that strictly adheres to the quarterly aggregation constraint.</w:t>
      </w:r>
    </w:p>
    <w:p>
      <w:pPr>
        <w:pStyle w:val="BodyText"/>
      </w:pPr>
      <w:r>
        <w:rPr>
          <w:b/>
          <w:bCs/>
        </w:rPr>
        <w:t xml:space="preserve">Step 2: Drawing the VAR Parameters</w:t>
      </w:r>
      <w:r>
        <w:t xml:space="preserve"> </w:t>
      </w:r>
      <w:r>
        <w:t xml:space="preserve">In the second step, the algorithm conditions on the data and the newly drawn state trajectory from Step 1. By treating the sampled monthly GDP (</w:t>
      </w:r>
      <m:oMath>
        <m:sSup>
          <m:e>
            <m:r>
              <m:t>X</m:t>
            </m:r>
          </m:e>
          <m:sup>
            <m:r>
              <m:rPr>
                <m:sty m:val="p"/>
              </m:rPr>
              <m:t>(</m:t>
            </m:r>
            <m:r>
              <m:t>j</m:t>
            </m:r>
            <m:r>
              <m:rPr>
                <m:sty m:val="p"/>
              </m:rPr>
              <m:t>)</m:t>
            </m:r>
          </m:sup>
        </m:sSup>
      </m:oMath>
      <w:r>
        <w:t xml:space="preserve">) as a fully observed variable, the dataset becomes conditionally complete. The parameter block is drawn from:</w:t>
      </w:r>
    </w:p>
    <w:p>
      <w:pPr>
        <w:pStyle w:val="BodyText"/>
      </w:pPr>
      <m:oMathPara>
        <m:oMathParaPr>
          <m:jc m:val="center"/>
        </m:oMathParaPr>
        <m:oMath>
          <m:sSup>
            <m:e>
              <m:r>
                <m:rPr>
                  <m:sty m:val="p"/>
                </m:rPr>
                <m:t>Ψ</m:t>
              </m:r>
            </m:e>
            <m:sup>
              <m:r>
                <m:rPr>
                  <m:sty m:val="p"/>
                </m:rPr>
                <m:t>(</m:t>
              </m:r>
              <m:r>
                <m:t>j</m:t>
              </m:r>
              <m:r>
                <m:rPr>
                  <m:sty m:val="p"/>
                </m:rPr>
                <m:t>)</m:t>
              </m:r>
            </m:sup>
          </m:sSup>
          <m:r>
            <m:rPr>
              <m:sty m:val="p"/>
            </m:rPr>
            <m:t>∼</m:t>
          </m:r>
          <m:r>
            <m:t>p</m:t>
          </m:r>
          <m:r>
            <m:rPr>
              <m:sty m:val="p"/>
            </m:rPr>
            <m:t>(</m:t>
          </m:r>
          <m:r>
            <m:rPr>
              <m:sty m:val="p"/>
            </m:rPr>
            <m:t>Ψ</m:t>
          </m:r>
          <m:r>
            <m:rPr>
              <m:sty m:val="p"/>
            </m:rPr>
            <m:t>|</m:t>
          </m:r>
          <m:r>
            <m:t>Y</m:t>
          </m:r>
          <m:r>
            <m:rPr>
              <m:sty m:val="p"/>
            </m:rPr>
            <m:t>,</m:t>
          </m:r>
          <m:sSup>
            <m:e>
              <m:r>
                <m:t>X</m:t>
              </m:r>
            </m:e>
            <m:sup>
              <m:r>
                <m:rPr>
                  <m:sty m:val="p"/>
                </m:rPr>
                <m:t>(</m:t>
              </m:r>
              <m:r>
                <m:t>j</m:t>
              </m:r>
              <m:r>
                <m:rPr>
                  <m:sty m:val="p"/>
                </m:rPr>
                <m:t>)</m:t>
              </m:r>
            </m:sup>
          </m:sSup>
          <m:r>
            <m:rPr>
              <m:sty m:val="p"/>
            </m:rPr>
            <m:t>)</m:t>
          </m:r>
        </m:oMath>
      </m:oMathPara>
    </w:p>
    <w:p>
      <w:pPr>
        <w:pStyle w:val="FirstParagraph"/>
      </w:pPr>
      <w:r>
        <w:t xml:space="preserve">With a complete data matrix, the conditional posterior distributions revert to the standard conjugate framework. We first draw the covariance matrix</w:t>
      </w:r>
      <w:r>
        <w:t xml:space="preserve"> </w:t>
      </w:r>
      <m:oMath>
        <m:sSup>
          <m:e>
            <m:r>
              <m:rPr>
                <m:sty m:val="p"/>
              </m:rPr>
              <m:t>Σ</m:t>
            </m:r>
          </m:e>
          <m:sup>
            <m:r>
              <m:rPr>
                <m:sty m:val="p"/>
              </m:rPr>
              <m:t>(</m:t>
            </m:r>
            <m:r>
              <m:t>j</m:t>
            </m:r>
            <m:r>
              <m:rPr>
                <m:sty m:val="p"/>
              </m:rPr>
              <m:t>)</m:t>
            </m:r>
          </m:sup>
        </m:sSup>
      </m:oMath>
      <w:r>
        <w:t xml:space="preserve"> </w:t>
      </w:r>
      <w:r>
        <w:t xml:space="preserve">from its posterior Inverse-Wishart distribution, and subsequently draw the autoregressive coefficients</w:t>
      </w:r>
      <w:r>
        <w:t xml:space="preserve"> </w:t>
      </w:r>
      <m:oMath>
        <m:sSup>
          <m:e>
            <m:r>
              <m:rPr>
                <m:sty m:val="p"/>
              </m:rPr>
              <m:t>Φ</m:t>
            </m:r>
          </m:e>
          <m:sup>
            <m:r>
              <m:rPr>
                <m:sty m:val="p"/>
              </m:rPr>
              <m:t>(</m:t>
            </m:r>
            <m:r>
              <m:t>j</m:t>
            </m:r>
            <m:r>
              <m:rPr>
                <m:sty m:val="p"/>
              </m:rPr>
              <m:t>)</m:t>
            </m:r>
          </m:sup>
        </m:sSup>
      </m:oMath>
      <w:r>
        <w:t xml:space="preserve"> </w:t>
      </w:r>
      <w:r>
        <w:t xml:space="preserve">from their posterior Matrix Normal distribution:</w:t>
      </w:r>
    </w:p>
    <w:p>
      <w:pPr>
        <w:pStyle w:val="BodyText"/>
      </w:pPr>
      <m:oMathPara>
        <m:oMathParaPr>
          <m:jc m:val="center"/>
        </m:oMathParaPr>
        <m:oMath>
          <m:sSup>
            <m:e>
              <m:r>
                <m:rPr>
                  <m:sty m:val="p"/>
                </m:rPr>
                <m:t>Σ</m:t>
              </m:r>
            </m:e>
            <m:sup>
              <m:r>
                <m:rPr>
                  <m:sty m:val="p"/>
                </m:rPr>
                <m:t>(</m:t>
              </m:r>
              <m:r>
                <m:t>j</m:t>
              </m:r>
              <m:r>
                <m:rPr>
                  <m:sty m:val="p"/>
                </m:rPr>
                <m:t>)</m:t>
              </m:r>
            </m:sup>
          </m:sSup>
          <m:r>
            <m:rPr>
              <m:sty m:val="p"/>
            </m:rPr>
            <m:t>|</m:t>
          </m:r>
          <m:r>
            <m:t>Y</m:t>
          </m:r>
          <m:r>
            <m:rPr>
              <m:sty m:val="p"/>
            </m:rPr>
            <m:t>,</m:t>
          </m:r>
          <m:sSup>
            <m:e>
              <m:r>
                <m:t>X</m:t>
              </m:r>
            </m:e>
            <m:sup>
              <m:r>
                <m:rPr>
                  <m:sty m:val="p"/>
                </m:rPr>
                <m:t>(</m:t>
              </m:r>
              <m:r>
                <m:t>j</m:t>
              </m:r>
              <m:r>
                <m:rPr>
                  <m:sty m:val="p"/>
                </m:rPr>
                <m:t>)</m:t>
              </m:r>
            </m:sup>
          </m:sSup>
          <m:r>
            <m:rPr>
              <m:sty m:val="p"/>
            </m:rPr>
            <m:t>∼</m:t>
          </m:r>
          <m:r>
            <m:rPr>
              <m:scr m:val="script"/>
              <m:sty m:val="p"/>
            </m:rPr>
            <m:t>I</m:t>
          </m:r>
          <m:r>
            <m:rPr>
              <m:scr m:val="script"/>
              <m:sty m:val="p"/>
            </m:rPr>
            <m:t>W</m:t>
          </m:r>
          <m:r>
            <m:rPr>
              <m:sty m:val="p"/>
            </m:rPr>
            <m:t>(</m:t>
          </m:r>
          <m:acc>
            <m:accPr>
              <m:chr m:val="‾"/>
            </m:accPr>
            <m:e>
              <m:r>
                <m:t>S</m:t>
              </m:r>
            </m:e>
          </m:acc>
          <m:r>
            <m:rPr>
              <m:sty m:val="p"/>
            </m:rPr>
            <m:t>,</m:t>
          </m:r>
          <m:acc>
            <m:accPr>
              <m:chr m:val="‾"/>
            </m:accPr>
            <m:e>
              <m:r>
                <m:t>ν</m:t>
              </m:r>
            </m:e>
          </m:acc>
          <m:r>
            <m:rPr>
              <m:sty m:val="p"/>
            </m:rPr>
            <m:t>)</m:t>
          </m:r>
        </m:oMath>
      </m:oMathPara>
    </w:p>
    <w:p>
      <w:pPr>
        <w:pStyle w:val="FirstParagraph"/>
      </w:pPr>
      <m:oMathPara>
        <m:oMathParaPr>
          <m:jc m:val="center"/>
        </m:oMathParaPr>
        <m:oMath>
          <m:sSup>
            <m:e>
              <m:r>
                <m:rPr>
                  <m:sty m:val="p"/>
                </m:rPr>
                <m:t>Φ</m:t>
              </m:r>
            </m:e>
            <m:sup>
              <m:r>
                <m:rPr>
                  <m:sty m:val="p"/>
                </m:rPr>
                <m:t>(</m:t>
              </m:r>
              <m:r>
                <m:t>j</m:t>
              </m:r>
              <m:r>
                <m:rPr>
                  <m:sty m:val="p"/>
                </m:rPr>
                <m:t>)</m:t>
              </m:r>
            </m:sup>
          </m:sSup>
          <m:r>
            <m:rPr>
              <m:sty m:val="p"/>
            </m:rPr>
            <m:t>|</m:t>
          </m:r>
          <m:sSup>
            <m:e>
              <m:r>
                <m:rPr>
                  <m:sty m:val="p"/>
                </m:rPr>
                <m:t>Σ</m:t>
              </m:r>
            </m:e>
            <m:sup>
              <m:r>
                <m:rPr>
                  <m:sty m:val="p"/>
                </m:rPr>
                <m:t>(</m:t>
              </m:r>
              <m:r>
                <m:t>j</m:t>
              </m:r>
              <m:r>
                <m:rPr>
                  <m:sty m:val="p"/>
                </m:rPr>
                <m:t>)</m:t>
              </m:r>
            </m:sup>
          </m:sSup>
          <m:r>
            <m:rPr>
              <m:sty m:val="p"/>
            </m:rPr>
            <m:t>,</m:t>
          </m:r>
          <m:r>
            <m:t>Y</m:t>
          </m:r>
          <m:r>
            <m:rPr>
              <m:sty m:val="p"/>
            </m:rPr>
            <m:t>,</m:t>
          </m:r>
          <m:sSup>
            <m:e>
              <m:r>
                <m:t>X</m:t>
              </m:r>
            </m:e>
            <m:sup>
              <m:r>
                <m:rPr>
                  <m:sty m:val="p"/>
                </m:rPr>
                <m:t>(</m:t>
              </m:r>
              <m:r>
                <m:t>j</m:t>
              </m:r>
              <m:r>
                <m:rPr>
                  <m:sty m:val="p"/>
                </m:rPr>
                <m:t>)</m:t>
              </m:r>
            </m:sup>
          </m:sSup>
          <m:r>
            <m:rPr>
              <m:sty m:val="p"/>
            </m:rPr>
            <m:t>∼</m:t>
          </m:r>
          <m:r>
            <m:rPr>
              <m:scr m:val="script"/>
              <m:sty m:val="p"/>
            </m:rPr>
            <m:t>M</m:t>
          </m:r>
          <m:r>
            <m:rPr>
              <m:scr m:val="script"/>
              <m:sty m:val="p"/>
            </m:rPr>
            <m:t>N</m:t>
          </m:r>
          <m:r>
            <m:rPr>
              <m:sty m:val="p"/>
            </m:rPr>
            <m:t>(</m:t>
          </m:r>
          <m:acc>
            <m:accPr>
              <m:chr m:val="‾"/>
            </m:accPr>
            <m:e>
              <m:r>
                <m:rPr>
                  <m:sty m:val="p"/>
                </m:rPr>
                <m:t>Φ</m:t>
              </m:r>
            </m:e>
          </m:acc>
          <m:r>
            <m:rPr>
              <m:sty m:val="p"/>
            </m:rPr>
            <m:t>,</m:t>
          </m:r>
          <m:sSup>
            <m:e>
              <m:r>
                <m:rPr>
                  <m:sty m:val="p"/>
                </m:rPr>
                <m:t>Σ</m:t>
              </m:r>
            </m:e>
            <m:sup>
              <m:r>
                <m:rPr>
                  <m:sty m:val="p"/>
                </m:rPr>
                <m:t>(</m:t>
              </m:r>
              <m:r>
                <m:t>j</m:t>
              </m:r>
              <m:r>
                <m:rPr>
                  <m:sty m:val="p"/>
                </m:rPr>
                <m:t>)</m:t>
              </m:r>
            </m:sup>
          </m:sSup>
          <m:r>
            <m:rPr>
              <m:sty m:val="p"/>
            </m:rPr>
            <m:t>⊗</m:t>
          </m:r>
          <m:acc>
            <m:accPr>
              <m:chr m:val="‾"/>
            </m:accPr>
            <m:e>
              <m:r>
                <m:t>V</m:t>
              </m:r>
            </m:e>
          </m:acc>
          <m:r>
            <m:rPr>
              <m:sty m:val="p"/>
            </m:rPr>
            <m:t>)</m:t>
          </m:r>
        </m:oMath>
      </m:oMathPara>
    </w:p>
    <w:p>
      <w:pPr>
        <w:pStyle w:val="FirstParagraph"/>
      </w:pPr>
      <w:r>
        <w:t xml:space="preserve">where</w:t>
      </w:r>
      <w:r>
        <w:t xml:space="preserve"> </w:t>
      </w:r>
      <m:oMath>
        <m:acc>
          <m:accPr>
            <m:chr m:val="‾"/>
          </m:accPr>
          <m:e>
            <m:r>
              <m:t>S</m:t>
            </m:r>
          </m:e>
        </m:acc>
      </m:oMath>
      <w:r>
        <w:t xml:space="preserve">,</w:t>
      </w:r>
      <w:r>
        <w:t xml:space="preserve"> </w:t>
      </w:r>
      <m:oMath>
        <m:acc>
          <m:accPr>
            <m:chr m:val="‾"/>
          </m:accPr>
          <m:e>
            <m:r>
              <m:t>ν</m:t>
            </m:r>
          </m:e>
        </m:acc>
      </m:oMath>
      <w:r>
        <w:t xml:space="preserve">,</w:t>
      </w:r>
      <w:r>
        <w:t xml:space="preserve"> </w:t>
      </w:r>
      <m:oMath>
        <m:acc>
          <m:accPr>
            <m:chr m:val="‾"/>
          </m:accPr>
          <m:e>
            <m:r>
              <m:rPr>
                <m:sty m:val="p"/>
              </m:rPr>
              <m:t>Φ</m:t>
            </m:r>
          </m:e>
        </m:acc>
      </m:oMath>
      <w:r>
        <w:t xml:space="preserve">, and</w:t>
      </w:r>
      <w:r>
        <w:t xml:space="preserve"> </w:t>
      </w:r>
      <m:oMath>
        <m:acc>
          <m:accPr>
            <m:chr m:val="‾"/>
          </m:accPr>
          <m:e>
            <m:r>
              <m:t>V</m:t>
            </m:r>
          </m:e>
        </m:acc>
      </m:oMath>
      <w:r>
        <w:t xml:space="preserve"> </w:t>
      </w:r>
      <w:r>
        <w:t xml:space="preserve">denote the posterior parameters updated sequentially from the Minnesota prior constraints and the augmented data matrix.</w:t>
      </w:r>
    </w:p>
    <w:p>
      <w:pPr>
        <w:pStyle w:val="BodyText"/>
      </w:pPr>
      <w:r>
        <w:t xml:space="preserve">By iteratively alternating between Step 1 and Step 2, the Markov chain converges to the true joint posterior distribution. For our empirical estimation, the Gibbs sampler was executed for 20,000 iterations. To eliminate the influence of arbitrary starting values and ensure convergence to the stationary distribution, the first 10,000 iterations were discarded as a burn-in period. Posterior inference, including the median nowcast and the 95% credible intervals, is computed strictly using the 10,000 retained draws.</w:t>
      </w:r>
    </w:p>
    <w:bookmarkEnd w:id="43"/>
    <w:bookmarkStart w:id="44" w:name="X3f70a2d31b9f14a8107cb069b64be9d3edbb42c"/>
    <w:p>
      <w:pPr>
        <w:pStyle w:val="Heading2"/>
      </w:pPr>
      <w:r>
        <w:t xml:space="preserve">3.4. The Benchmark Model: Unrestricted AR-MIDAS (U-MIDAS)</w:t>
      </w:r>
    </w:p>
    <w:p>
      <w:pPr>
        <w:pStyle w:val="FirstParagraph"/>
      </w:pPr>
      <w:r>
        <w:t xml:space="preserve">To rigorously evaluate the forecasting performance of the MF-BVAR, we employ an Unrestricted Mixed-Data Sampling (U-MIDAS) model as our primary benchmark. Originally introduced by</w:t>
      </w:r>
      <w:r>
        <w:t xml:space="preserve"> </w:t>
      </w:r>
      <w:r>
        <w:t xml:space="preserve">Ghysels et al. (</w:t>
      </w:r>
      <w:hyperlink w:anchor="ref-ghysels2004midas">
        <w:r>
          <w:rPr>
            <w:rStyle w:val="Hyperlink"/>
          </w:rPr>
          <w:t xml:space="preserve">2004</w:t>
        </w:r>
      </w:hyperlink>
      <w:r>
        <w:t xml:space="preserve">)</w:t>
      </w:r>
      <w:r>
        <w:t xml:space="preserve">, traditional MIDAS models rely on parameterized polynomial weighting functions (e.g., Almon or Beta) to parsimoniously map high-frequency predictors to low-frequency targets. However, as demonstrated by</w:t>
      </w:r>
      <w:r>
        <w:t xml:space="preserve"> </w:t>
      </w:r>
      <w:r>
        <w:t xml:space="preserve">Foroni et al. (</w:t>
      </w:r>
      <w:hyperlink w:anchor="ref-foroni2015unrestricted">
        <w:r>
          <w:rPr>
            <w:rStyle w:val="Hyperlink"/>
          </w:rPr>
          <w:t xml:space="preserve">2015</w:t>
        </w:r>
      </w:hyperlink>
      <w:r>
        <w:t xml:space="preserve">)</w:t>
      </w:r>
      <w:r>
        <w:t xml:space="preserve">, when the frequency mismatch is small—such as the monthly-to-quarterly aggregation in our dataset—estimating the high-frequency lags freely via ordinary least squares (Unrestricted MIDAS) is highly effective and avoids non-linear optimization pitfalls.</w:t>
      </w:r>
    </w:p>
    <w:p>
      <w:pPr>
        <w:pStyle w:val="BodyText"/>
      </w:pPr>
      <w:r>
        <w:t xml:space="preserve">To ensure a rigorous and comparable evaluation, the U-MIDAS model is constrained to the same real-time information set (data vintage) as the MF-BVAR. However, to preserve degrees of freedom in the frequentist regression, we restrict the predictor set to the two most critical drivers of aggregate demand and production: the Economic Tracking Indicator (ISE) and the Retail Trade Index (ICM). The ISE serves as the most direct monthly proxy for real economic activity, while the ICM captures the trajectory of domestic household consumption, which constitutes the largest component of Colombian GDP.</w:t>
      </w:r>
    </w:p>
    <w:p>
      <w:pPr>
        <w:pStyle w:val="BodyText"/>
      </w:pPr>
      <w:r>
        <w:t xml:space="preserve">Our specific implementation is an Autoregressive U-MIDAS model defined in stationary growth rates (log-differences). The quarterly GDP growth,</w:t>
      </w:r>
      <w:r>
        <w:t xml:space="preserve"> </w:t>
      </w:r>
      <m:oMath>
        <m:r>
          <m:rPr>
            <m:sty m:val="p"/>
          </m:rPr>
          <m:t>Δ</m:t>
        </m:r>
        <m:sSubSup>
          <m:e>
            <m:r>
              <m:t>y</m:t>
            </m:r>
          </m:e>
          <m:sub>
            <m:r>
              <m:t>t</m:t>
            </m:r>
          </m:sub>
          <m:sup>
            <m:r>
              <m:t>Q</m:t>
            </m:r>
          </m:sup>
        </m:sSubSup>
      </m:oMath>
      <w:r>
        <w:t xml:space="preserve">, is regressed on its own first lag and the three corresponding monthly realizations of our predictors within the quarter:</w:t>
      </w:r>
    </w:p>
    <w:p>
      <w:pPr>
        <w:pStyle w:val="BodyText"/>
      </w:pPr>
      <m:oMathPara>
        <m:oMathParaPr>
          <m:jc m:val="center"/>
        </m:oMathParaPr>
        <m:oMath>
          <m:r>
            <m:rPr>
              <m:sty m:val="p"/>
            </m:rPr>
            <m:t>Δ</m:t>
          </m:r>
          <m:sSubSup>
            <m:e>
              <m:r>
                <m:t>y</m:t>
              </m:r>
            </m:e>
            <m:sub>
              <m:r>
                <m:t>t</m:t>
              </m:r>
            </m:sub>
            <m:sup>
              <m:r>
                <m:t>Q</m:t>
              </m:r>
            </m:sup>
          </m:sSubSup>
          <m:r>
            <m:rPr>
              <m:sty m:val="p"/>
            </m:rPr>
            <m:t>=</m:t>
          </m:r>
          <m:r>
            <m:t>α</m:t>
          </m:r>
          <m:r>
            <m:rPr>
              <m:sty m:val="p"/>
            </m:rPr>
            <m:t>+</m:t>
          </m:r>
          <m:r>
            <m:t>ρ</m:t>
          </m:r>
          <m:r>
            <m:rPr>
              <m:sty m:val="p"/>
            </m:rPr>
            <m:t>Δ</m:t>
          </m:r>
          <m:sSubSup>
            <m:e>
              <m:r>
                <m:t>y</m:t>
              </m:r>
            </m:e>
            <m:sub>
              <m:r>
                <m:t>t</m:t>
              </m:r>
              <m:r>
                <m:rPr>
                  <m:sty m:val="p"/>
                </m:rPr>
                <m:t>−</m:t>
              </m:r>
              <m:r>
                <m:t>1</m:t>
              </m:r>
            </m:sub>
            <m:sup>
              <m:r>
                <m:t>Q</m:t>
              </m:r>
            </m:sup>
          </m:sSubSup>
          <m:r>
            <m:rPr>
              <m:sty m:val="p"/>
            </m:rPr>
            <m:t>+</m:t>
          </m:r>
          <m:nary>
            <m:naryPr>
              <m:chr m:val="∑"/>
              <m:limLoc m:val="undOvr"/>
              <m:subHide m:val="off"/>
              <m:supHide m:val="off"/>
            </m:naryPr>
            <m:sub>
              <m:r>
                <m:t>m</m:t>
              </m:r>
              <m:r>
                <m:rPr>
                  <m:sty m:val="p"/>
                </m:rPr>
                <m:t>=</m:t>
              </m:r>
              <m:r>
                <m:t>1</m:t>
              </m:r>
            </m:sub>
            <m:sup>
              <m:r>
                <m:t>3</m:t>
              </m:r>
            </m:sup>
            <m:e>
              <m:sSub>
                <m:e>
                  <m:r>
                    <m:t>β</m:t>
                  </m:r>
                </m:e>
                <m:sub>
                  <m:r>
                    <m:t>1</m:t>
                  </m:r>
                  <m:r>
                    <m:rPr>
                      <m:sty m:val="p"/>
                    </m:rPr>
                    <m:t>,</m:t>
                  </m:r>
                  <m:r>
                    <m:t>m</m:t>
                  </m:r>
                </m:sub>
              </m:sSub>
            </m:e>
          </m:nary>
          <m:r>
            <m:rPr>
              <m:sty m:val="p"/>
            </m:rPr>
            <m:t>Δ</m:t>
          </m:r>
          <m:sSubSup>
            <m:e>
              <m:r>
                <m:t>x</m:t>
              </m:r>
            </m:e>
            <m:sub>
              <m:r>
                <m:t>1</m:t>
              </m:r>
              <m:r>
                <m:rPr>
                  <m:sty m:val="p"/>
                </m:rPr>
                <m:t>,</m:t>
              </m:r>
              <m:r>
                <m:t>t</m:t>
              </m:r>
              <m:r>
                <m:rPr>
                  <m:sty m:val="p"/>
                </m:rPr>
                <m:t>,</m:t>
              </m:r>
              <m:r>
                <m:t>m</m:t>
              </m:r>
            </m:sub>
            <m:sup>
              <m:r>
                <m:t>M</m:t>
              </m:r>
            </m:sup>
          </m:sSubSup>
          <m:r>
            <m:rPr>
              <m:sty m:val="p"/>
            </m:rPr>
            <m:t>+</m:t>
          </m:r>
          <m:nary>
            <m:naryPr>
              <m:chr m:val="∑"/>
              <m:limLoc m:val="undOvr"/>
              <m:subHide m:val="off"/>
              <m:supHide m:val="off"/>
            </m:naryPr>
            <m:sub>
              <m:r>
                <m:t>m</m:t>
              </m:r>
              <m:r>
                <m:rPr>
                  <m:sty m:val="p"/>
                </m:rPr>
                <m:t>=</m:t>
              </m:r>
              <m:r>
                <m:t>1</m:t>
              </m:r>
            </m:sub>
            <m:sup>
              <m:r>
                <m:t>3</m:t>
              </m:r>
            </m:sup>
            <m:e>
              <m:sSub>
                <m:e>
                  <m:r>
                    <m:t>β</m:t>
                  </m:r>
                </m:e>
                <m:sub>
                  <m:r>
                    <m:t>2</m:t>
                  </m:r>
                  <m:r>
                    <m:rPr>
                      <m:sty m:val="p"/>
                    </m:rPr>
                    <m:t>,</m:t>
                  </m:r>
                  <m:r>
                    <m:t>m</m:t>
                  </m:r>
                </m:sub>
              </m:sSub>
            </m:e>
          </m:nary>
          <m:r>
            <m:rPr>
              <m:sty m:val="p"/>
            </m:rPr>
            <m:t>Δ</m:t>
          </m:r>
          <m:sSubSup>
            <m:e>
              <m:r>
                <m:t>x</m:t>
              </m:r>
            </m:e>
            <m:sub>
              <m:r>
                <m:t>2</m:t>
              </m:r>
              <m:r>
                <m:rPr>
                  <m:sty m:val="p"/>
                </m:rPr>
                <m:t>,</m:t>
              </m:r>
              <m:r>
                <m:t>t</m:t>
              </m:r>
              <m:r>
                <m:rPr>
                  <m:sty m:val="p"/>
                </m:rPr>
                <m:t>,</m:t>
              </m:r>
              <m:r>
                <m:t>m</m:t>
              </m:r>
            </m:sub>
            <m:sup>
              <m:r>
                <m:t>M</m:t>
              </m:r>
            </m:sup>
          </m:sSubSup>
          <m:r>
            <m:rPr>
              <m:sty m:val="p"/>
            </m:rPr>
            <m:t>+</m:t>
          </m:r>
          <m:sSub>
            <m:e>
              <m:r>
                <m:t>ε</m:t>
              </m:r>
            </m:e>
            <m:sub>
              <m:r>
                <m:t>t</m:t>
              </m:r>
            </m:sub>
          </m:sSub>
        </m:oMath>
      </m:oMathPara>
    </w:p>
    <w:p>
      <w:pPr>
        <w:pStyle w:val="FirstParagraph"/>
      </w:pPr>
      <w:r>
        <w:t xml:space="preserve">where</w:t>
      </w:r>
      <w:r>
        <w:t xml:space="preserve"> </w:t>
      </w:r>
      <m:oMath>
        <m:r>
          <m:rPr>
            <m:sty m:val="p"/>
          </m:rPr>
          <m:t>Δ</m:t>
        </m:r>
        <m:sSubSup>
          <m:e>
            <m:r>
              <m:t>x</m:t>
            </m:r>
          </m:e>
          <m:sub>
            <m:r>
              <m:t>i</m:t>
            </m:r>
            <m:r>
              <m:rPr>
                <m:sty m:val="p"/>
              </m:rPr>
              <m:t>,</m:t>
            </m:r>
            <m:r>
              <m:t>t</m:t>
            </m:r>
            <m:r>
              <m:rPr>
                <m:sty m:val="p"/>
              </m:rPr>
              <m:t>,</m:t>
            </m:r>
            <m:r>
              <m:t>m</m:t>
            </m:r>
          </m:sub>
          <m:sup>
            <m:r>
              <m:t>M</m:t>
            </m:r>
          </m:sup>
        </m:sSubSup>
      </m:oMath>
      <w:r>
        <w:t xml:space="preserve"> </w:t>
      </w:r>
      <w:r>
        <w:t xml:space="preserve">represents the growth rate of the monthly predictor</w:t>
      </w:r>
      <w:r>
        <w:t xml:space="preserve"> </w:t>
      </w:r>
      <m:oMath>
        <m:r>
          <m:t>i</m:t>
        </m:r>
      </m:oMath>
      <w:r>
        <w:t xml:space="preserve"> </w:t>
      </w:r>
      <w:r>
        <w:t xml:space="preserve">in month</w:t>
      </w:r>
      <w:r>
        <w:t xml:space="preserve"> </w:t>
      </w:r>
      <m:oMath>
        <m:r>
          <m:t>m</m:t>
        </m:r>
      </m:oMath>
      <w:r>
        <w:t xml:space="preserve"> </w:t>
      </w:r>
      <w:r>
        <w:t xml:space="preserve">of quarter</w:t>
      </w:r>
      <w:r>
        <w:t xml:space="preserve"> </w:t>
      </w:r>
      <m:oMath>
        <m:r>
          <m:t>t</m:t>
        </m:r>
      </m:oMath>
      <w:r>
        <w:t xml:space="preserve">.</w:t>
      </w:r>
    </w:p>
    <w:p>
      <w:pPr>
        <w:pStyle w:val="BodyText"/>
      </w:pPr>
      <w:r>
        <w:t xml:space="preserve">A critical challenge in real-time nowcasting is the asynchronous publication of the data (the ragged-edge). To resolve this identically for the U-MIDAS, missing monthly observations at the end of the sample are imputed dynamically. Rather than relying on naive assumptions (such as Last Observation Carried Forward), the missing high-frequency months are projected using univariate Autoregressive Moving Average (ARMA) models prior to the OLS quarterly aggregation. This guarantees that both the MF-BVAR and the U-MIDAS confront the exact same structural ragged-edge challenge under robust imputation methodologies.</w:t>
      </w:r>
    </w:p>
    <w:bookmarkEnd w:id="44"/>
    <w:bookmarkStart w:id="45" w:name="Xd25f0ab8b0581799e176f9440208680b0ef083e"/>
    <w:p>
      <w:pPr>
        <w:pStyle w:val="Heading2"/>
      </w:pPr>
      <w:r>
        <w:t xml:space="preserve">3.5. Out-of-Sample Evaluation Scheme and Forecast Metrics</w:t>
      </w:r>
    </w:p>
    <w:p>
      <w:pPr>
        <w:pStyle w:val="FirstParagraph"/>
      </w:pPr>
      <w:r>
        <w:t xml:space="preserve">To formally compare the nowcasting accuracy of the MF-BVAR against the U-MIDAS benchmark, we design a pseudo-real-time out-of-sample forecasting exercise. The evaluation is conducted over an expanding window covering the last</w:t>
      </w:r>
      <w:r>
        <w:t xml:space="preserve"> </w:t>
      </w:r>
      <m:oMath>
        <m:r>
          <m:t>P</m:t>
        </m:r>
        <m:r>
          <m:rPr>
            <m:sty m:val="p"/>
          </m:rPr>
          <m:t>=</m:t>
        </m:r>
        <m:r>
          <m:t>8</m:t>
        </m:r>
      </m:oMath>
      <w:r>
        <w:t xml:space="preserve"> </w:t>
      </w:r>
      <w:r>
        <w:t xml:space="preserve">quarters of the sample. In each iteration, the dataset is truncated, and both models are re-estimated using only the information available up to that specific quarter. Crucially, the ragged-edge data structure (the asynchronous publication delays of the monthly variables) is recreated dynamically at each step, ensuring the evaluation reflects a true pseudo-real-time environment.</w:t>
      </w:r>
    </w:p>
    <w:p>
      <w:pPr>
        <w:pStyle w:val="BodyText"/>
      </w:pPr>
      <w:r>
        <w:t xml:space="preserve">The performance of the point forecasts is evaluated using two standard loss functions: the Root Mean Squared Error (RMSE) and the Mean Absolute Error (MAE). Let</w:t>
      </w:r>
      <w:r>
        <w:t xml:space="preserve"> </w:t>
      </w:r>
      <m:oMath>
        <m:sSubSup>
          <m:e>
            <m:acc>
              <m:accPr>
                <m:chr m:val="̂"/>
              </m:accPr>
              <m:e>
                <m:r>
                  <m:t>y</m:t>
                </m:r>
              </m:e>
            </m:acc>
          </m:e>
          <m:sub>
            <m:r>
              <m:t>t</m:t>
            </m:r>
            <m:r>
              <m:rPr>
                <m:sty m:val="p"/>
              </m:rPr>
              <m:t>+</m:t>
            </m:r>
            <m:r>
              <m:t>h</m:t>
            </m:r>
            <m:r>
              <m:rPr>
                <m:sty m:val="p"/>
              </m:rPr>
              <m:t>|</m:t>
            </m:r>
            <m:r>
              <m:t>t</m:t>
            </m:r>
          </m:sub>
          <m:sup>
            <m:r>
              <m:rPr>
                <m:sty m:val="p"/>
              </m:rPr>
              <m:t>(</m:t>
            </m:r>
            <m:r>
              <m:t>m</m:t>
            </m:r>
            <m:r>
              <m:rPr>
                <m:sty m:val="p"/>
              </m:rPr>
              <m:t>)</m:t>
            </m:r>
          </m:sup>
        </m:sSubSup>
      </m:oMath>
      <w:r>
        <w:t xml:space="preserve"> </w:t>
      </w:r>
      <w:r>
        <w:t xml:space="preserve">denote the</w:t>
      </w:r>
      <w:r>
        <w:t xml:space="preserve"> </w:t>
      </w:r>
      <m:oMath>
        <m:r>
          <m:t>h</m:t>
        </m:r>
      </m:oMath>
      <w:r>
        <w:t xml:space="preserve">-step-ahead forecast of quarterly GDP produced by model</w:t>
      </w:r>
      <w:r>
        <w:t xml:space="preserve"> </w:t>
      </w:r>
      <m:oMath>
        <m:r>
          <m:t>m</m:t>
        </m:r>
      </m:oMath>
      <w:r>
        <w:t xml:space="preserve"> </w:t>
      </w:r>
      <w:r>
        <w:t xml:space="preserve">(where</w:t>
      </w:r>
      <w:r>
        <w:t xml:space="preserve"> </w:t>
      </w:r>
      <m:oMath>
        <m:r>
          <m:t>m</m:t>
        </m:r>
        <m:r>
          <m:rPr>
            <m:sty m:val="p"/>
          </m:rPr>
          <m:t>∈</m:t>
        </m:r>
        <m:r>
          <m:rPr>
            <m:sty m:val="p"/>
          </m:rPr>
          <m:t>{</m:t>
        </m:r>
        <m:r>
          <m:rPr>
            <m:nor/>
            <m:sty m:val="p"/>
          </m:rPr>
          <m:t>MF-BVAR</m:t>
        </m:r>
        <m:r>
          <m:rPr>
            <m:sty m:val="p"/>
          </m:rPr>
          <m:t>,</m:t>
        </m:r>
        <m:r>
          <m:rPr>
            <m:nor/>
            <m:sty m:val="p"/>
          </m:rPr>
          <m:t>U-MIDAS</m:t>
        </m:r>
        <m:r>
          <m:rPr>
            <m:sty m:val="p"/>
          </m:rPr>
          <m:t>}</m:t>
        </m:r>
      </m:oMath>
      <w:r>
        <w:t xml:space="preserve">), conditional on the information set available at time</w:t>
      </w:r>
      <w:r>
        <w:t xml:space="preserve"> </w:t>
      </w:r>
      <m:oMath>
        <m:r>
          <m:t>t</m:t>
        </m:r>
      </m:oMath>
      <w:r>
        <w:t xml:space="preserve">. The forecast error is defined as</w:t>
      </w:r>
      <w:r>
        <w:t xml:space="preserve"> </w:t>
      </w:r>
      <m:oMath>
        <m:sSubSup>
          <m:e>
            <m:r>
              <m:t>e</m:t>
            </m:r>
          </m:e>
          <m:sub>
            <m:r>
              <m:t>t</m:t>
            </m:r>
            <m:r>
              <m:rPr>
                <m:sty m:val="p"/>
              </m:rPr>
              <m:t>+</m:t>
            </m:r>
            <m:r>
              <m:t>h</m:t>
            </m:r>
          </m:sub>
          <m:sup>
            <m:r>
              <m:rPr>
                <m:sty m:val="p"/>
              </m:rPr>
              <m:t>(</m:t>
            </m:r>
            <m:r>
              <m:t>m</m:t>
            </m:r>
            <m:r>
              <m:rPr>
                <m:sty m:val="p"/>
              </m:rPr>
              <m:t>)</m:t>
            </m:r>
          </m:sup>
        </m:sSubSup>
        <m:r>
          <m:rPr>
            <m:sty m:val="p"/>
          </m:rPr>
          <m:t>=</m:t>
        </m:r>
        <m:sSub>
          <m:e>
            <m:r>
              <m:t>y</m:t>
            </m:r>
          </m:e>
          <m:sub>
            <m:r>
              <m:t>t</m:t>
            </m:r>
            <m:r>
              <m:rPr>
                <m:sty m:val="p"/>
              </m:rPr>
              <m:t>+</m:t>
            </m:r>
            <m:r>
              <m:t>h</m:t>
            </m:r>
          </m:sub>
        </m:sSub>
        <m:r>
          <m:rPr>
            <m:sty m:val="p"/>
          </m:rPr>
          <m:t>−</m:t>
        </m:r>
        <m:sSubSup>
          <m:e>
            <m:acc>
              <m:accPr>
                <m:chr m:val="̂"/>
              </m:accPr>
              <m:e>
                <m:r>
                  <m:t>y</m:t>
                </m:r>
              </m:e>
            </m:acc>
          </m:e>
          <m:sub>
            <m:r>
              <m:t>t</m:t>
            </m:r>
            <m:r>
              <m:rPr>
                <m:sty m:val="p"/>
              </m:rPr>
              <m:t>+</m:t>
            </m:r>
            <m:r>
              <m:t>h</m:t>
            </m:r>
            <m:r>
              <m:rPr>
                <m:sty m:val="p"/>
              </m:rPr>
              <m:t>|</m:t>
            </m:r>
            <m:r>
              <m:t>t</m:t>
            </m:r>
          </m:sub>
          <m:sup>
            <m:r>
              <m:rPr>
                <m:sty m:val="p"/>
              </m:rPr>
              <m:t>(</m:t>
            </m:r>
            <m:r>
              <m:t>m</m:t>
            </m:r>
            <m:r>
              <m:rPr>
                <m:sty m:val="p"/>
              </m:rPr>
              <m:t>)</m:t>
            </m:r>
          </m:sup>
        </m:sSubSup>
      </m:oMath>
      <w:r>
        <w:t xml:space="preserve">. The evaluation metrics over the out-of-sample period are computed as follows:</w:t>
      </w:r>
    </w:p>
    <w:p>
      <w:pPr>
        <w:pStyle w:val="BodyText"/>
      </w:pPr>
      <m:oMathPara>
        <m:oMathParaPr>
          <m:jc m:val="center"/>
        </m:oMathParaPr>
        <m:oMath>
          <m:sSup>
            <m:e>
              <m:r>
                <m:rPr>
                  <m:nor/>
                  <m:sty m:val="p"/>
                </m:rPr>
                <m:t>RMSE</m:t>
              </m:r>
            </m:e>
            <m:sup>
              <m:r>
                <m:rPr>
                  <m:sty m:val="p"/>
                </m:rPr>
                <m:t>(</m:t>
              </m:r>
              <m:r>
                <m:t>m</m:t>
              </m:r>
              <m:r>
                <m:rPr>
                  <m:sty m:val="p"/>
                </m:rPr>
                <m:t>)</m:t>
              </m:r>
            </m:sup>
          </m:sSup>
          <m:r>
            <m:rPr>
              <m:sty m:val="p"/>
            </m:rPr>
            <m:t>=</m:t>
          </m:r>
          <m:rad>
            <m:radPr>
              <m:degHide m:val="on"/>
            </m:radPr>
            <m:deg/>
            <m:e>
              <m:f>
                <m:fPr>
                  <m:type m:val="bar"/>
                </m:fPr>
                <m:num>
                  <m:r>
                    <m:t>1</m:t>
                  </m:r>
                </m:num>
                <m:den>
                  <m:r>
                    <m:t>P</m:t>
                  </m:r>
                </m:den>
              </m:f>
              <m:nary>
                <m:naryPr>
                  <m:chr m:val="∑"/>
                  <m:limLoc m:val="undOvr"/>
                  <m:subHide m:val="off"/>
                  <m:supHide m:val="off"/>
                </m:naryPr>
                <m:sub>
                  <m:r>
                    <m:t>t</m:t>
                  </m:r>
                  <m:r>
                    <m:rPr>
                      <m:sty m:val="p"/>
                    </m:rPr>
                    <m:t>=</m:t>
                  </m:r>
                  <m:r>
                    <m:t>1</m:t>
                  </m:r>
                </m:sub>
                <m:sup>
                  <m:r>
                    <m:t>P</m:t>
                  </m:r>
                </m:sup>
                <m:e>
                  <m:sSup>
                    <m:e>
                      <m:d>
                        <m:dPr>
                          <m:begChr m:val="("/>
                          <m:sepChr m:val=""/>
                          <m:endChr m:val=")"/>
                          <m:grow/>
                        </m:dPr>
                        <m:e>
                          <m:sSubSup>
                            <m:e>
                              <m:r>
                                <m:t>e</m:t>
                              </m:r>
                            </m:e>
                            <m:sub>
                              <m:r>
                                <m:t>t</m:t>
                              </m:r>
                              <m:r>
                                <m:rPr>
                                  <m:sty m:val="p"/>
                                </m:rPr>
                                <m:t>+</m:t>
                              </m:r>
                              <m:r>
                                <m:t>h</m:t>
                              </m:r>
                            </m:sub>
                            <m:sup>
                              <m:r>
                                <m:rPr>
                                  <m:sty m:val="p"/>
                                </m:rPr>
                                <m:t>(</m:t>
                              </m:r>
                              <m:r>
                                <m:t>m</m:t>
                              </m:r>
                              <m:r>
                                <m:rPr>
                                  <m:sty m:val="p"/>
                                </m:rPr>
                                <m:t>)</m:t>
                              </m:r>
                            </m:sup>
                          </m:sSubSup>
                        </m:e>
                      </m:d>
                    </m:e>
                    <m:sup>
                      <m:r>
                        <m:t>2</m:t>
                      </m:r>
                    </m:sup>
                  </m:sSup>
                </m:e>
              </m:nary>
            </m:e>
          </m:rad>
        </m:oMath>
      </m:oMathPara>
    </w:p>
    <w:p>
      <w:pPr>
        <w:pStyle w:val="FirstParagraph"/>
      </w:pPr>
      <m:oMathPara>
        <m:oMathParaPr>
          <m:jc m:val="center"/>
        </m:oMathParaPr>
        <m:oMath>
          <m:sSup>
            <m:e>
              <m:r>
                <m:rPr>
                  <m:nor/>
                  <m:sty m:val="p"/>
                </m:rPr>
                <m:t>MAE</m:t>
              </m:r>
            </m:e>
            <m:sup>
              <m:r>
                <m:rPr>
                  <m:sty m:val="p"/>
                </m:rPr>
                <m:t>(</m:t>
              </m:r>
              <m:r>
                <m:t>m</m:t>
              </m:r>
              <m:r>
                <m:rPr>
                  <m:sty m:val="p"/>
                </m:rPr>
                <m:t>)</m:t>
              </m:r>
            </m:sup>
          </m:sSup>
          <m:r>
            <m:rPr>
              <m:sty m:val="p"/>
            </m:rPr>
            <m:t>=</m:t>
          </m:r>
          <m:f>
            <m:fPr>
              <m:type m:val="bar"/>
            </m:fPr>
            <m:num>
              <m:r>
                <m:t>1</m:t>
              </m:r>
            </m:num>
            <m:den>
              <m:r>
                <m:t>P</m:t>
              </m:r>
            </m:den>
          </m:f>
          <m:nary>
            <m:naryPr>
              <m:chr m:val="∑"/>
              <m:limLoc m:val="undOvr"/>
              <m:subHide m:val="off"/>
              <m:supHide m:val="off"/>
            </m:naryPr>
            <m:sub>
              <m:r>
                <m:t>t</m:t>
              </m:r>
              <m:r>
                <m:rPr>
                  <m:sty m:val="p"/>
                </m:rPr>
                <m:t>=</m:t>
              </m:r>
              <m:r>
                <m:t>1</m:t>
              </m:r>
            </m:sub>
            <m:sup>
              <m:r>
                <m:t>P</m:t>
              </m:r>
            </m:sup>
            <m:e>
              <m:d>
                <m:dPr>
                  <m:begChr m:val="|"/>
                  <m:sepChr m:val=""/>
                  <m:endChr m:val="|"/>
                  <m:grow/>
                </m:dPr>
                <m:e>
                  <m:sSubSup>
                    <m:e>
                      <m:r>
                        <m:t>e</m:t>
                      </m:r>
                    </m:e>
                    <m:sub>
                      <m:r>
                        <m:t>t</m:t>
                      </m:r>
                      <m:r>
                        <m:rPr>
                          <m:sty m:val="p"/>
                        </m:rPr>
                        <m:t>+</m:t>
                      </m:r>
                      <m:r>
                        <m:t>h</m:t>
                      </m:r>
                    </m:sub>
                    <m:sup>
                      <m:r>
                        <m:rPr>
                          <m:sty m:val="p"/>
                        </m:rPr>
                        <m:t>(</m:t>
                      </m:r>
                      <m:r>
                        <m:t>m</m:t>
                      </m:r>
                      <m:r>
                        <m:rPr>
                          <m:sty m:val="p"/>
                        </m:rPr>
                        <m:t>)</m:t>
                      </m:r>
                    </m:sup>
                  </m:sSubSup>
                </m:e>
              </m:d>
            </m:e>
          </m:nary>
        </m:oMath>
      </m:oMathPara>
    </w:p>
    <w:p>
      <w:pPr>
        <w:pStyle w:val="FirstParagraph"/>
      </w:pPr>
      <w:r>
        <w:t xml:space="preserve">While the RMSE penalizes larger forecasting errors more heavily due to the quadratic loss function, the MAE provides a linear penalty and is more robust to outliers. To establish whether the differences in predictive accuracy between the models are statistically significant, we employ the</w:t>
      </w:r>
      <w:r>
        <w:t xml:space="preserve"> </w:t>
      </w:r>
      <w:r>
        <w:t xml:space="preserve">Diebold and Mariano (</w:t>
      </w:r>
      <w:hyperlink w:anchor="ref-diebold1995comparing">
        <w:r>
          <w:rPr>
            <w:rStyle w:val="Hyperlink"/>
          </w:rPr>
          <w:t xml:space="preserve">1995</w:t>
        </w:r>
      </w:hyperlink>
      <w:r>
        <w:t xml:space="preserve">)</w:t>
      </w:r>
      <w:r>
        <w:t xml:space="preserve"> </w:t>
      </w:r>
      <w:r>
        <w:t xml:space="preserve">(DM) test. The null hypothesis of the DM test posits equal predictive accuracy between the two competing models,</w:t>
      </w:r>
      <w:r>
        <w:t xml:space="preserve"> </w:t>
      </w:r>
      <m:oMath>
        <m:r>
          <m:t>E</m:t>
        </m:r>
        <m:d>
          <m:dPr>
            <m:begChr m:val="["/>
            <m:sepChr m:val=""/>
            <m:endChr m:val="]"/>
            <m:grow/>
          </m:dPr>
          <m:e>
            <m:r>
              <m:t>L</m:t>
            </m:r>
            <m:d>
              <m:dPr>
                <m:begChr m:val="("/>
                <m:sepChr m:val=""/>
                <m:endChr m:val=")"/>
                <m:grow/>
              </m:dPr>
              <m:e>
                <m:sSubSup>
                  <m:e>
                    <m:r>
                      <m:t>e</m:t>
                    </m:r>
                  </m:e>
                  <m:sub>
                    <m:r>
                      <m:t>t</m:t>
                    </m:r>
                    <m:r>
                      <m:rPr>
                        <m:sty m:val="p"/>
                      </m:rPr>
                      <m:t>+</m:t>
                    </m:r>
                    <m:r>
                      <m:t>h</m:t>
                    </m:r>
                  </m:sub>
                  <m:sup>
                    <m:r>
                      <m:rPr>
                        <m:sty m:val="p"/>
                      </m:rPr>
                      <m:t>(</m:t>
                    </m:r>
                    <m:r>
                      <m:rPr>
                        <m:nor/>
                        <m:sty m:val="p"/>
                      </m:rPr>
                      <m:t>MF-BVAR</m:t>
                    </m:r>
                    <m:r>
                      <m:rPr>
                        <m:sty m:val="p"/>
                      </m:rPr>
                      <m:t>)</m:t>
                    </m:r>
                  </m:sup>
                </m:sSubSup>
              </m:e>
            </m:d>
          </m:e>
        </m:d>
        <m:r>
          <m:rPr>
            <m:sty m:val="p"/>
          </m:rPr>
          <m:t>=</m:t>
        </m:r>
        <m:r>
          <m:t>E</m:t>
        </m:r>
        <m:d>
          <m:dPr>
            <m:begChr m:val="["/>
            <m:sepChr m:val=""/>
            <m:endChr m:val="]"/>
            <m:grow/>
          </m:dPr>
          <m:e>
            <m:r>
              <m:t>L</m:t>
            </m:r>
            <m:d>
              <m:dPr>
                <m:begChr m:val="("/>
                <m:sepChr m:val=""/>
                <m:endChr m:val=")"/>
                <m:grow/>
              </m:dPr>
              <m:e>
                <m:sSubSup>
                  <m:e>
                    <m:r>
                      <m:t>e</m:t>
                    </m:r>
                  </m:e>
                  <m:sub>
                    <m:r>
                      <m:t>t</m:t>
                    </m:r>
                    <m:r>
                      <m:rPr>
                        <m:sty m:val="p"/>
                      </m:rPr>
                      <m:t>+</m:t>
                    </m:r>
                    <m:r>
                      <m:t>h</m:t>
                    </m:r>
                  </m:sub>
                  <m:sup>
                    <m:r>
                      <m:rPr>
                        <m:sty m:val="p"/>
                      </m:rPr>
                      <m:t>(</m:t>
                    </m:r>
                    <m:r>
                      <m:rPr>
                        <m:nor/>
                        <m:sty m:val="p"/>
                      </m:rPr>
                      <m:t>U-MIDAS</m:t>
                    </m:r>
                    <m:r>
                      <m:rPr>
                        <m:sty m:val="p"/>
                      </m:rPr>
                      <m:t>)</m:t>
                    </m:r>
                  </m:sup>
                </m:sSubSup>
              </m:e>
            </m:d>
          </m:e>
        </m:d>
      </m:oMath>
      <w:r>
        <w:t xml:space="preserve">, where</w:t>
      </w:r>
      <w:r>
        <w:t xml:space="preserve"> </w:t>
      </w:r>
      <m:oMath>
        <m:r>
          <m:t>L</m:t>
        </m:r>
        <m:r>
          <m:rPr>
            <m:sty m:val="p"/>
          </m:rPr>
          <m:t>(</m:t>
        </m:r>
        <m:r>
          <m:rPr>
            <m:sty m:val="p"/>
          </m:rPr>
          <m:t>⋅</m:t>
        </m:r>
        <m:r>
          <m:rPr>
            <m:sty m:val="p"/>
          </m:rPr>
          <m:t>)</m:t>
        </m:r>
      </m:oMath>
      <w:r>
        <w:t xml:space="preserve"> </w:t>
      </w:r>
      <w:r>
        <w:t xml:space="preserve">is the specified loss function (squared or absolute). The test statistic is constructed using a Heteroskedasticity and Autocorrelation Consistent (HAC) estimator for the variance of the loss differential.</w:t>
      </w:r>
    </w:p>
    <w:p>
      <w:pPr>
        <w:pStyle w:val="BodyText"/>
      </w:pPr>
      <w:r>
        <w:t xml:space="preserve">Finally, to ensure robust posterior inference given the high dimensionality of the MF-BVAR (610 parameters), convergence of the Markov chain is continuously monitored, and the U-MIDAS imputation ARMA lag orders are selected dynamically at each evaluation step via standard information criteria (AIC).</w:t>
      </w:r>
    </w:p>
    <w:bookmarkEnd w:id="45"/>
    <w:bookmarkEnd w:id="46"/>
    <w:bookmarkStart w:id="59" w:name="X8041ed372d5597e7492447659623c0c9a2285d6"/>
    <w:p>
      <w:pPr>
        <w:pStyle w:val="Heading1"/>
      </w:pPr>
      <w:r>
        <w:t xml:space="preserve">Results and Figures: Nowcasting Colombian GDP</w:t>
      </w:r>
    </w:p>
    <w:bookmarkStart w:id="47" w:name="real-time-forecast-nowcast-q2-2026"/>
    <w:p>
      <w:pPr>
        <w:pStyle w:val="Heading2"/>
      </w:pPr>
      <w:r>
        <w:t xml:space="preserve">1. Real-Time Forecast (Nowcast Q2-2026)</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Model</w:t>
            </w:r>
          </w:p>
        </w:tc>
        <w:tc>
          <w:tcPr/>
          <w:p>
            <w:pPr>
              <w:pStyle w:val="Compact"/>
              <w:jc w:val="center"/>
            </w:pPr>
            <w:r>
              <w:t xml:space="preserve">Estimated GDP (Billions COP)</w:t>
            </w:r>
          </w:p>
        </w:tc>
        <w:tc>
          <w:tcPr/>
          <w:p>
            <w:pPr>
              <w:pStyle w:val="Compact"/>
              <w:jc w:val="center"/>
            </w:pPr>
            <w:r>
              <w:t xml:space="preserve">Credible Interval (95%)</w:t>
            </w:r>
          </w:p>
        </w:tc>
        <w:tc>
          <w:tcPr/>
          <w:p>
            <w:pPr>
              <w:pStyle w:val="Compact"/>
              <w:jc w:val="center"/>
            </w:pPr>
            <w:r>
              <w:t xml:space="preserve">Quarter-on-Quarter Growth (QoQ)</w:t>
            </w:r>
          </w:p>
        </w:tc>
        <w:tc>
          <w:tcPr/>
          <w:p>
            <w:pPr>
              <w:pStyle w:val="Compact"/>
              <w:jc w:val="center"/>
            </w:pPr>
            <w:r>
              <w:t xml:space="preserve">Year-on-Year Growth (YoY)</w:t>
            </w:r>
          </w:p>
        </w:tc>
      </w:tr>
      <w:tr>
        <w:tc>
          <w:tcPr/>
          <w:p>
            <w:pPr>
              <w:pStyle w:val="Compact"/>
              <w:jc w:val="left"/>
            </w:pPr>
            <w:r>
              <w:rPr>
                <w:b/>
                <w:bCs/>
              </w:rPr>
              <w:t xml:space="preserve">MF-BVAR</w:t>
            </w:r>
          </w:p>
        </w:tc>
        <w:tc>
          <w:tcPr/>
          <w:p>
            <w:pPr>
              <w:pStyle w:val="Compact"/>
              <w:jc w:val="center"/>
            </w:pPr>
            <w:r>
              <w:rPr>
                <w:b/>
                <w:bCs/>
              </w:rPr>
              <w:t xml:space="preserve">262,066.3</w:t>
            </w:r>
          </w:p>
        </w:tc>
        <w:tc>
          <w:tcPr/>
          <w:p>
            <w:pPr>
              <w:pStyle w:val="Compact"/>
              <w:jc w:val="center"/>
            </w:pPr>
            <w:r>
              <w:t xml:space="preserve">[256,108.6 - 268,248.5]</w:t>
            </w:r>
          </w:p>
        </w:tc>
        <w:tc>
          <w:tcPr/>
          <w:p>
            <w:pPr>
              <w:pStyle w:val="Compact"/>
              <w:jc w:val="center"/>
            </w:pPr>
            <w:r>
              <w:rPr>
                <w:b/>
                <w:bCs/>
              </w:rPr>
              <w:t xml:space="preserve">+1.27%</w:t>
            </w:r>
          </w:p>
        </w:tc>
        <w:tc>
          <w:tcPr/>
          <w:p>
            <w:pPr>
              <w:pStyle w:val="Compact"/>
              <w:jc w:val="center"/>
            </w:pPr>
            <w:r>
              <w:rPr>
                <w:b/>
                <w:bCs/>
              </w:rPr>
              <w:t xml:space="preserve">+3.43%</w:t>
            </w:r>
          </w:p>
        </w:tc>
      </w:tr>
      <w:tr>
        <w:tc>
          <w:tcPr/>
          <w:p>
            <w:pPr>
              <w:pStyle w:val="Compact"/>
              <w:jc w:val="left"/>
            </w:pPr>
            <w:r>
              <w:rPr>
                <w:b/>
                <w:bCs/>
              </w:rPr>
              <w:t xml:space="preserve">AR-MIDAS</w:t>
            </w:r>
          </w:p>
        </w:tc>
        <w:tc>
          <w:tcPr/>
          <w:p>
            <w:pPr>
              <w:pStyle w:val="Compact"/>
              <w:jc w:val="center"/>
            </w:pPr>
            <w:r>
              <w:rPr>
                <w:b/>
                <w:bCs/>
              </w:rPr>
              <w:t xml:space="preserve">261,220.0</w:t>
            </w:r>
          </w:p>
        </w:tc>
        <w:tc>
          <w:tcPr/>
          <w:p>
            <w:pPr>
              <w:pStyle w:val="Compact"/>
              <w:jc w:val="center"/>
            </w:pPr>
            <w:r>
              <w:t xml:space="preserve">-</w:t>
            </w:r>
          </w:p>
        </w:tc>
        <w:tc>
          <w:tcPr/>
          <w:p>
            <w:pPr>
              <w:pStyle w:val="Compact"/>
              <w:jc w:val="center"/>
            </w:pPr>
            <w:r>
              <w:rPr>
                <w:b/>
                <w:bCs/>
              </w:rPr>
              <w:t xml:space="preserve">+0.94%</w:t>
            </w:r>
          </w:p>
        </w:tc>
        <w:tc>
          <w:tcPr/>
          <w:p>
            <w:pPr>
              <w:pStyle w:val="Compact"/>
              <w:jc w:val="center"/>
            </w:pPr>
            <w:r>
              <w:rPr>
                <w:b/>
                <w:bCs/>
              </w:rPr>
              <w:t xml:space="preserve">+3.10%</w:t>
            </w:r>
          </w:p>
        </w:tc>
      </w:tr>
    </w:tbl>
    <w:p>
      <w:r>
        <w:pict>
          <v:rect style="width:0;height:1.5pt" o:hralign="center" o:hrstd="t" o:hr="t"/>
        </w:pict>
      </w:r>
    </w:p>
    <w:bookmarkEnd w:id="47"/>
    <w:bookmarkStart w:id="48" w:name="Xe537595e1d8348c249cd499e5b14a1053b7d07c"/>
    <w:p>
      <w:pPr>
        <w:pStyle w:val="Heading2"/>
      </w:pPr>
      <w:r>
        <w:t xml:space="preserve">3. Forecast Error Variance Decomposition (12-Month FEVD - GDP)</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Variable</w:t>
            </w:r>
          </w:p>
        </w:tc>
        <w:tc>
          <w:tcPr/>
          <w:p>
            <w:pPr>
              <w:pStyle w:val="Compact"/>
              <w:jc w:val="left"/>
            </w:pPr>
            <w:r>
              <w:t xml:space="preserve">Transmission Channel</w:t>
            </w:r>
          </w:p>
        </w:tc>
        <w:tc>
          <w:tcPr/>
          <w:p>
            <w:pPr>
              <w:pStyle w:val="Compact"/>
              <w:jc w:val="center"/>
            </w:pPr>
            <w:r>
              <w:t xml:space="preserve">Variance Contribution (%)</w:t>
            </w:r>
          </w:p>
        </w:tc>
        <w:tc>
          <w:tcPr/>
          <w:p>
            <w:pPr>
              <w:pStyle w:val="Compact"/>
              <w:jc w:val="center"/>
            </w:pPr>
            <w:r>
              <w:t xml:space="preserve">Cumulative Contribution (%)</w:t>
            </w:r>
          </w:p>
        </w:tc>
      </w:tr>
      <w:tr>
        <w:tc>
          <w:tcPr/>
          <w:p>
            <w:pPr>
              <w:pStyle w:val="Compact"/>
              <w:jc w:val="left"/>
            </w:pPr>
            <w:r>
              <w:rPr>
                <w:b/>
                <w:bCs/>
              </w:rPr>
              <w:t xml:space="preserve">Economic Tracking Indicator (ISE)</w:t>
            </w:r>
          </w:p>
        </w:tc>
        <w:tc>
          <w:tcPr/>
          <w:p>
            <w:pPr>
              <w:pStyle w:val="Compact"/>
              <w:jc w:val="left"/>
            </w:pPr>
            <w:r>
              <w:t xml:space="preserve">Aggregate economic activity</w:t>
            </w:r>
          </w:p>
        </w:tc>
        <w:tc>
          <w:tcPr/>
          <w:p>
            <w:pPr>
              <w:pStyle w:val="Compact"/>
              <w:jc w:val="center"/>
            </w:pPr>
            <w:r>
              <w:rPr>
                <w:b/>
                <w:bCs/>
              </w:rPr>
              <w:t xml:space="preserve">23.06%</w:t>
            </w:r>
          </w:p>
        </w:tc>
        <w:tc>
          <w:tcPr/>
          <w:p>
            <w:pPr>
              <w:pStyle w:val="Compact"/>
              <w:jc w:val="center"/>
            </w:pPr>
            <w:r>
              <w:t xml:space="preserve">23.06%</w:t>
            </w:r>
          </w:p>
        </w:tc>
      </w:tr>
      <w:tr>
        <w:tc>
          <w:tcPr/>
          <w:p>
            <w:pPr>
              <w:pStyle w:val="Compact"/>
              <w:jc w:val="left"/>
            </w:pPr>
            <w:r>
              <w:rPr>
                <w:b/>
                <w:bCs/>
              </w:rPr>
              <w:t xml:space="preserve">Monetary Policy Rate</w:t>
            </w:r>
          </w:p>
        </w:tc>
        <w:tc>
          <w:tcPr/>
          <w:p>
            <w:pPr>
              <w:pStyle w:val="Compact"/>
              <w:jc w:val="left"/>
            </w:pPr>
            <w:r>
              <w:t xml:space="preserve">Monetary policy / Financial conditions</w:t>
            </w:r>
          </w:p>
        </w:tc>
        <w:tc>
          <w:tcPr/>
          <w:p>
            <w:pPr>
              <w:pStyle w:val="Compact"/>
              <w:jc w:val="center"/>
            </w:pPr>
            <w:r>
              <w:rPr>
                <w:b/>
                <w:bCs/>
              </w:rPr>
              <w:t xml:space="preserve">16.83%</w:t>
            </w:r>
          </w:p>
        </w:tc>
        <w:tc>
          <w:tcPr/>
          <w:p>
            <w:pPr>
              <w:pStyle w:val="Compact"/>
              <w:jc w:val="center"/>
            </w:pPr>
            <w:r>
              <w:t xml:space="preserve">39.89%</w:t>
            </w:r>
          </w:p>
        </w:tc>
      </w:tr>
      <w:tr>
        <w:tc>
          <w:tcPr/>
          <w:p>
            <w:pPr>
              <w:pStyle w:val="Compact"/>
              <w:jc w:val="left"/>
            </w:pPr>
            <w:r>
              <w:rPr>
                <w:b/>
                <w:bCs/>
              </w:rPr>
              <w:t xml:space="preserve">Consumer Confidence Index (ICC)</w:t>
            </w:r>
          </w:p>
        </w:tc>
        <w:tc>
          <w:tcPr/>
          <w:p>
            <w:pPr>
              <w:pStyle w:val="Compact"/>
              <w:jc w:val="left"/>
            </w:pPr>
            <w:r>
              <w:t xml:space="preserve">Expectations and domestic demand</w:t>
            </w:r>
          </w:p>
        </w:tc>
        <w:tc>
          <w:tcPr/>
          <w:p>
            <w:pPr>
              <w:pStyle w:val="Compact"/>
              <w:jc w:val="center"/>
            </w:pPr>
            <w:r>
              <w:rPr>
                <w:b/>
                <w:bCs/>
              </w:rPr>
              <w:t xml:space="preserve">14.45%</w:t>
            </w:r>
          </w:p>
        </w:tc>
        <w:tc>
          <w:tcPr/>
          <w:p>
            <w:pPr>
              <w:pStyle w:val="Compact"/>
              <w:jc w:val="center"/>
            </w:pPr>
            <w:r>
              <w:t xml:space="preserve">54.34%</w:t>
            </w:r>
          </w:p>
        </w:tc>
      </w:tr>
      <w:tr>
        <w:tc>
          <w:tcPr/>
          <w:p>
            <w:pPr>
              <w:pStyle w:val="Compact"/>
              <w:jc w:val="left"/>
            </w:pPr>
            <w:r>
              <w:rPr>
                <w:b/>
                <w:bCs/>
              </w:rPr>
              <w:t xml:space="preserve">Unemployment Rate (TD)</w:t>
            </w:r>
          </w:p>
        </w:tc>
        <w:tc>
          <w:tcPr/>
          <w:p>
            <w:pPr>
              <w:pStyle w:val="Compact"/>
              <w:jc w:val="left"/>
            </w:pPr>
            <w:r>
              <w:t xml:space="preserve">Labor market</w:t>
            </w:r>
          </w:p>
        </w:tc>
        <w:tc>
          <w:tcPr/>
          <w:p>
            <w:pPr>
              <w:pStyle w:val="Compact"/>
              <w:jc w:val="center"/>
            </w:pPr>
            <w:r>
              <w:rPr>
                <w:b/>
                <w:bCs/>
              </w:rPr>
              <w:t xml:space="preserve">12.54%</w:t>
            </w:r>
          </w:p>
        </w:tc>
        <w:tc>
          <w:tcPr/>
          <w:p>
            <w:pPr>
              <w:pStyle w:val="Compact"/>
              <w:jc w:val="center"/>
            </w:pPr>
            <w:r>
              <w:t xml:space="preserve">66.88%</w:t>
            </w:r>
          </w:p>
        </w:tc>
      </w:tr>
      <w:tr>
        <w:tc>
          <w:tcPr/>
          <w:p>
            <w:pPr>
              <w:pStyle w:val="Compact"/>
              <w:jc w:val="left"/>
            </w:pPr>
            <w:r>
              <w:rPr>
                <w:b/>
                <w:bCs/>
              </w:rPr>
              <w:t xml:space="preserve">Brent Oil Price</w:t>
            </w:r>
          </w:p>
        </w:tc>
        <w:tc>
          <w:tcPr/>
          <w:p>
            <w:pPr>
              <w:pStyle w:val="Compact"/>
              <w:jc w:val="left"/>
            </w:pPr>
            <w:r>
              <w:t xml:space="preserve">External shock / Terms of trade</w:t>
            </w:r>
          </w:p>
        </w:tc>
        <w:tc>
          <w:tcPr/>
          <w:p>
            <w:pPr>
              <w:pStyle w:val="Compact"/>
              <w:jc w:val="center"/>
            </w:pPr>
            <w:r>
              <w:rPr>
                <w:b/>
                <w:bCs/>
              </w:rPr>
              <w:t xml:space="preserve">11.04%</w:t>
            </w:r>
          </w:p>
        </w:tc>
        <w:tc>
          <w:tcPr/>
          <w:p>
            <w:pPr>
              <w:pStyle w:val="Compact"/>
              <w:jc w:val="center"/>
            </w:pPr>
            <w:r>
              <w:t xml:space="preserve">77.92%</w:t>
            </w:r>
          </w:p>
        </w:tc>
      </w:tr>
      <w:tr>
        <w:tc>
          <w:tcPr/>
          <w:p>
            <w:pPr>
              <w:pStyle w:val="Compact"/>
              <w:jc w:val="left"/>
            </w:pPr>
            <w:r>
              <w:rPr>
                <w:b/>
                <w:bCs/>
              </w:rPr>
              <w:t xml:space="preserve">Industrial Production Index (IPI)</w:t>
            </w:r>
          </w:p>
        </w:tc>
        <w:tc>
          <w:tcPr/>
          <w:p>
            <w:pPr>
              <w:pStyle w:val="Compact"/>
              <w:jc w:val="left"/>
            </w:pPr>
            <w:r>
              <w:t xml:space="preserve">Manufacturing sector</w:t>
            </w:r>
          </w:p>
        </w:tc>
        <w:tc>
          <w:tcPr/>
          <w:p>
            <w:pPr>
              <w:pStyle w:val="Compact"/>
              <w:jc w:val="center"/>
            </w:pPr>
            <w:r>
              <w:rPr>
                <w:b/>
                <w:bCs/>
              </w:rPr>
              <w:t xml:space="preserve">7.82%</w:t>
            </w:r>
          </w:p>
        </w:tc>
        <w:tc>
          <w:tcPr/>
          <w:p>
            <w:pPr>
              <w:pStyle w:val="Compact"/>
              <w:jc w:val="center"/>
            </w:pPr>
            <w:r>
              <w:t xml:space="preserve">85.74%</w:t>
            </w:r>
          </w:p>
        </w:tc>
      </w:tr>
      <w:tr>
        <w:tc>
          <w:tcPr/>
          <w:p>
            <w:pPr>
              <w:pStyle w:val="Compact"/>
              <w:jc w:val="left"/>
            </w:pPr>
            <w:r>
              <w:rPr>
                <w:b/>
                <w:bCs/>
              </w:rPr>
              <w:t xml:space="preserve">Exchange Rate (TRM)</w:t>
            </w:r>
          </w:p>
        </w:tc>
        <w:tc>
          <w:tcPr/>
          <w:p>
            <w:pPr>
              <w:pStyle w:val="Compact"/>
              <w:jc w:val="left"/>
            </w:pPr>
            <w:r>
              <w:t xml:space="preserve">External sector and FX</w:t>
            </w:r>
          </w:p>
        </w:tc>
        <w:tc>
          <w:tcPr/>
          <w:p>
            <w:pPr>
              <w:pStyle w:val="Compact"/>
              <w:jc w:val="center"/>
            </w:pPr>
            <w:r>
              <w:rPr>
                <w:b/>
                <w:bCs/>
              </w:rPr>
              <w:t xml:space="preserve">5.16%</w:t>
            </w:r>
          </w:p>
        </w:tc>
        <w:tc>
          <w:tcPr/>
          <w:p>
            <w:pPr>
              <w:pStyle w:val="Compact"/>
              <w:jc w:val="center"/>
            </w:pPr>
            <w:r>
              <w:t xml:space="preserve">90.90%</w:t>
            </w:r>
          </w:p>
        </w:tc>
      </w:tr>
      <w:tr>
        <w:tc>
          <w:tcPr/>
          <w:p>
            <w:pPr>
              <w:pStyle w:val="Compact"/>
              <w:jc w:val="left"/>
            </w:pPr>
            <w:r>
              <w:rPr>
                <w:b/>
                <w:bCs/>
              </w:rPr>
              <w:t xml:space="preserve">Inflation (CPI)</w:t>
            </w:r>
          </w:p>
        </w:tc>
        <w:tc>
          <w:tcPr/>
          <w:p>
            <w:pPr>
              <w:pStyle w:val="Compact"/>
              <w:jc w:val="left"/>
            </w:pPr>
            <w:r>
              <w:t xml:space="preserve">Consumer prices</w:t>
            </w:r>
          </w:p>
        </w:tc>
        <w:tc>
          <w:tcPr/>
          <w:p>
            <w:pPr>
              <w:pStyle w:val="Compact"/>
              <w:jc w:val="center"/>
            </w:pPr>
            <w:r>
              <w:rPr>
                <w:b/>
                <w:bCs/>
              </w:rPr>
              <w:t xml:space="preserve">4.12%</w:t>
            </w:r>
          </w:p>
        </w:tc>
        <w:tc>
          <w:tcPr/>
          <w:p>
            <w:pPr>
              <w:pStyle w:val="Compact"/>
              <w:jc w:val="center"/>
            </w:pPr>
            <w:r>
              <w:t xml:space="preserve">95.02%</w:t>
            </w:r>
          </w:p>
        </w:tc>
      </w:tr>
      <w:tr>
        <w:tc>
          <w:tcPr/>
          <w:p>
            <w:pPr>
              <w:pStyle w:val="Compact"/>
              <w:jc w:val="left"/>
            </w:pPr>
            <w:r>
              <w:rPr>
                <w:b/>
                <w:bCs/>
              </w:rPr>
              <w:t xml:space="preserve">Retail Trade Index (ICM)</w:t>
            </w:r>
          </w:p>
        </w:tc>
        <w:tc>
          <w:tcPr/>
          <w:p>
            <w:pPr>
              <w:pStyle w:val="Compact"/>
              <w:jc w:val="left"/>
            </w:pPr>
            <w:r>
              <w:t xml:space="preserve">Retail commercial demand</w:t>
            </w:r>
          </w:p>
        </w:tc>
        <w:tc>
          <w:tcPr/>
          <w:p>
            <w:pPr>
              <w:pStyle w:val="Compact"/>
              <w:jc w:val="center"/>
            </w:pPr>
            <w:r>
              <w:rPr>
                <w:b/>
                <w:bCs/>
              </w:rPr>
              <w:t xml:space="preserve">3.18%</w:t>
            </w:r>
          </w:p>
        </w:tc>
        <w:tc>
          <w:tcPr/>
          <w:p>
            <w:pPr>
              <w:pStyle w:val="Compact"/>
              <w:jc w:val="center"/>
            </w:pPr>
            <w:r>
              <w:t xml:space="preserve">98.20%</w:t>
            </w:r>
          </w:p>
        </w:tc>
      </w:tr>
      <w:tr>
        <w:tc>
          <w:tcPr/>
          <w:p>
            <w:pPr>
              <w:pStyle w:val="Compact"/>
              <w:jc w:val="left"/>
            </w:pPr>
            <w:r>
              <w:rPr>
                <w:b/>
                <w:bCs/>
              </w:rPr>
              <w:t xml:space="preserve">Own Inertia / GDP Shock</w:t>
            </w:r>
          </w:p>
        </w:tc>
        <w:tc>
          <w:tcPr/>
          <w:p>
            <w:pPr>
              <w:pStyle w:val="Compact"/>
              <w:jc w:val="left"/>
            </w:pPr>
            <w:r>
              <w:t xml:space="preserve">Latent autoregressive dynamics</w:t>
            </w:r>
          </w:p>
        </w:tc>
        <w:tc>
          <w:tcPr/>
          <w:p>
            <w:pPr>
              <w:pStyle w:val="Compact"/>
              <w:jc w:val="center"/>
            </w:pPr>
            <w:r>
              <w:rPr>
                <w:b/>
                <w:bCs/>
              </w:rPr>
              <w:t xml:space="preserve">1.80%</w:t>
            </w:r>
          </w:p>
        </w:tc>
        <w:tc>
          <w:tcPr/>
          <w:p>
            <w:pPr>
              <w:pStyle w:val="Compact"/>
              <w:jc w:val="center"/>
            </w:pPr>
            <w:r>
              <w:t xml:space="preserve">100.00%</w:t>
            </w:r>
          </w:p>
        </w:tc>
      </w:tr>
    </w:tbl>
    <w:p>
      <w:r>
        <w:pict>
          <v:rect style="width:0;height:1.5pt" o:hralign="center" o:hrstd="t" o:hr="t"/>
        </w:pict>
      </w:r>
    </w:p>
    <w:bookmarkEnd w:id="48"/>
    <w:bookmarkStart w:id="49" w:name="X37f82b3cf893caea242877d08d45d3dc3575b92"/>
    <w:p>
      <w:pPr>
        <w:pStyle w:val="Heading2"/>
      </w:pPr>
      <w:r>
        <w:t xml:space="preserve">4. Out-of-Sample Predictive Evaluation (Expanding Window: 8 Quarters)</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Model</w:t>
            </w:r>
          </w:p>
        </w:tc>
        <w:tc>
          <w:tcPr/>
          <w:p>
            <w:pPr>
              <w:pStyle w:val="Compact"/>
              <w:jc w:val="center"/>
            </w:pPr>
            <m:oMath>
              <m:r>
                <m:t>M</m:t>
              </m:r>
              <m:r>
                <m:t>A</m:t>
              </m:r>
              <m:r>
                <m:t>E</m:t>
              </m:r>
            </m:oMath>
            <w:r>
              <w:t xml:space="preserve">​</w:t>
            </w:r>
          </w:p>
        </w:tc>
        <w:tc>
          <w:tcPr/>
          <w:p>
            <w:pPr>
              <w:pStyle w:val="Compact"/>
              <w:jc w:val="center"/>
            </w:pPr>
            <m:oMath>
              <m:r>
                <m:t>M</m:t>
              </m:r>
              <m:r>
                <m:t>A</m:t>
              </m:r>
              <m:r>
                <m:t>P</m:t>
              </m:r>
              <m:r>
                <m:t>E</m:t>
              </m:r>
            </m:oMath>
            <w:r>
              <w:t xml:space="preserve"> </w:t>
            </w:r>
            <w:r>
              <w:t xml:space="preserve">(%)</w:t>
            </w:r>
          </w:p>
        </w:tc>
        <w:tc>
          <w:tcPr/>
          <w:p>
            <w:pPr>
              <w:pStyle w:val="Compact"/>
              <w:jc w:val="center"/>
            </w:pPr>
            <m:oMath>
              <m:r>
                <m:t>R</m:t>
              </m:r>
              <m:r>
                <m:t>M</m:t>
              </m:r>
              <m:r>
                <m:t>S</m:t>
              </m:r>
              <m:r>
                <m:t>F</m:t>
              </m:r>
              <m:r>
                <m:t>E</m:t>
              </m:r>
            </m:oMath>
            <w:r>
              <w:t xml:space="preserve">​</w:t>
            </w:r>
          </w:p>
        </w:tc>
        <w:tc>
          <w:tcPr/>
          <w:p>
            <w:pPr>
              <w:pStyle w:val="Compact"/>
              <w:jc w:val="center"/>
            </w:pPr>
            <m:oMath>
              <m:r>
                <m:t>R</m:t>
              </m:r>
              <m:r>
                <m:t>M</m:t>
              </m:r>
              <m:r>
                <m:t>S</m:t>
              </m:r>
              <m:r>
                <m:t>F</m:t>
              </m:r>
              <m:r>
                <m:t>E</m:t>
              </m:r>
            </m:oMath>
            <w:r>
              <w:t xml:space="preserve"> </w:t>
            </w:r>
            <w:r>
              <w:t xml:space="preserve">Ratio</w:t>
            </w:r>
          </w:p>
        </w:tc>
        <w:tc>
          <w:tcPr/>
          <w:p>
            <w:pPr>
              <w:pStyle w:val="Compact"/>
              <w:jc w:val="center"/>
            </w:pPr>
            <w:r>
              <w:t xml:space="preserve">Error Reduction</w:t>
            </w:r>
          </w:p>
        </w:tc>
      </w:tr>
      <w:tr>
        <w:tc>
          <w:tcPr/>
          <w:p>
            <w:pPr>
              <w:pStyle w:val="Compact"/>
              <w:jc w:val="left"/>
            </w:pPr>
            <w:r>
              <w:rPr>
                <w:b/>
                <w:bCs/>
              </w:rPr>
              <w:t xml:space="preserve">MF-BVAR</w:t>
            </w:r>
          </w:p>
        </w:tc>
        <w:tc>
          <w:tcPr/>
          <w:p>
            <w:pPr>
              <w:pStyle w:val="Compact"/>
              <w:jc w:val="center"/>
            </w:pPr>
            <w:r>
              <w:rPr>
                <w:b/>
                <w:bCs/>
              </w:rPr>
              <w:t xml:space="preserve">1,924.6</w:t>
            </w:r>
          </w:p>
        </w:tc>
        <w:tc>
          <w:tcPr/>
          <w:p>
            <w:pPr>
              <w:pStyle w:val="Compact"/>
              <w:jc w:val="center"/>
            </w:pPr>
            <w:r>
              <w:rPr>
                <w:b/>
                <w:bCs/>
              </w:rPr>
              <w:t xml:space="preserve">0.76%</w:t>
            </w:r>
          </w:p>
        </w:tc>
        <w:tc>
          <w:tcPr/>
          <w:p>
            <w:pPr>
              <w:pStyle w:val="Compact"/>
              <w:jc w:val="center"/>
            </w:pPr>
            <w:r>
              <w:rPr>
                <w:b/>
                <w:bCs/>
              </w:rPr>
              <w:t xml:space="preserve">2,604.1</w:t>
            </w:r>
          </w:p>
        </w:tc>
        <w:tc>
          <w:tcPr/>
          <w:p>
            <w:pPr>
              <w:pStyle w:val="Compact"/>
              <w:jc w:val="center"/>
            </w:pPr>
            <w:r>
              <w:rPr>
                <w:b/>
                <w:bCs/>
              </w:rPr>
              <w:t xml:space="preserve">0.433</w:t>
            </w:r>
          </w:p>
        </w:tc>
        <w:tc>
          <w:tcPr/>
          <w:p>
            <w:pPr>
              <w:pStyle w:val="Compact"/>
              <w:jc w:val="center"/>
            </w:pPr>
            <w:r>
              <w:rPr>
                <w:b/>
                <w:bCs/>
              </w:rPr>
              <w:t xml:space="preserve">-56.7%</w:t>
            </w:r>
          </w:p>
        </w:tc>
      </w:tr>
      <w:tr>
        <w:tc>
          <w:tcPr/>
          <w:p>
            <w:pPr>
              <w:pStyle w:val="Compact"/>
              <w:jc w:val="left"/>
            </w:pPr>
            <w:r>
              <w:rPr>
                <w:b/>
                <w:bCs/>
              </w:rPr>
              <w:t xml:space="preserve">AR-MIDAS</w:t>
            </w:r>
          </w:p>
        </w:tc>
        <w:tc>
          <w:tcPr/>
          <w:p>
            <w:pPr>
              <w:pStyle w:val="Compact"/>
              <w:jc w:val="center"/>
            </w:pPr>
            <w:r>
              <w:t xml:space="preserve">5,533.2</w:t>
            </w:r>
          </w:p>
        </w:tc>
        <w:tc>
          <w:tcPr/>
          <w:p>
            <w:pPr>
              <w:pStyle w:val="Compact"/>
              <w:jc w:val="center"/>
            </w:pPr>
            <w:r>
              <w:t xml:space="preserve">2.19%</w:t>
            </w:r>
          </w:p>
        </w:tc>
        <w:tc>
          <w:tcPr/>
          <w:p>
            <w:pPr>
              <w:pStyle w:val="Compact"/>
              <w:jc w:val="center"/>
            </w:pPr>
            <w:r>
              <w:t xml:space="preserve">6,020.6</w:t>
            </w:r>
          </w:p>
        </w:tc>
        <w:tc>
          <w:tcPr/>
          <w:p>
            <w:pPr>
              <w:pStyle w:val="Compact"/>
              <w:jc w:val="center"/>
            </w:pPr>
            <w:r>
              <w:t xml:space="preserve">1.000</w:t>
            </w:r>
          </w:p>
        </w:tc>
        <w:tc>
          <w:tcPr/>
          <w:p>
            <w:pPr>
              <w:pStyle w:val="Compact"/>
              <w:jc w:val="center"/>
            </w:pPr>
            <w:r>
              <w:t xml:space="preserve">Baseline</w:t>
            </w:r>
          </w:p>
        </w:tc>
      </w:tr>
    </w:tbl>
    <w:p>
      <w:r>
        <w:pict>
          <v:rect style="width:0;height:1.5pt" o:hralign="center" o:hrstd="t" o:hr="t"/>
        </w:pict>
      </w:r>
    </w:p>
    <w:bookmarkEnd w:id="49"/>
    <w:bookmarkStart w:id="58" w:name="official-figures"/>
    <w:p>
      <w:pPr>
        <w:pStyle w:val="Heading2"/>
      </w:pPr>
      <w:r>
        <w:t xml:space="preserve">5. Official Figures</w:t>
      </w:r>
    </w:p>
    <w:bookmarkStart w:id="53" w:name="X66d314b923afeb756e7b8c13b1f3eb0c9052246"/>
    <w:p>
      <w:pPr>
        <w:pStyle w:val="Heading3"/>
      </w:pPr>
      <w:r>
        <w:t xml:space="preserve">Figure 1: Unobserved Monthly GDP vs Observed Quarterly GDP (2014-2026)</w:t>
      </w:r>
    </w:p>
    <w:p>
      <w:pPr>
        <w:pStyle w:val="CaptionedFigure"/>
      </w:pPr>
      <w:r>
        <w:drawing>
          <wp:inline>
            <wp:extent cx="5943600" cy="3268980"/>
            <wp:effectExtent b="0" l="0" r="0" t="0"/>
            <wp:docPr descr="Latent Monthly GDP vs Observed Quarterly GDP" title="" id="51" name="Picture"/>
            <a:graphic>
              <a:graphicData uri="http://schemas.openxmlformats.org/drawingml/2006/picture">
                <pic:pic>
                  <pic:nvPicPr>
                    <pic:cNvPr descr="../grafica_pib_mensual_latente_paper.png" id="52" name="Picture"/>
                    <pic:cNvPicPr>
                      <a:picLocks noChangeArrowheads="1" noChangeAspect="1"/>
                    </pic:cNvPicPr>
                  </pic:nvPicPr>
                  <pic:blipFill>
                    <a:blip r:embed="rId50"/>
                    <a:stretch>
                      <a:fillRect/>
                    </a:stretch>
                  </pic:blipFill>
                  <pic:spPr bwMode="auto">
                    <a:xfrm>
                      <a:off x="0" y="0"/>
                      <a:ext cx="5943600" cy="3268980"/>
                    </a:xfrm>
                    <a:prstGeom prst="rect">
                      <a:avLst/>
                    </a:prstGeom>
                    <a:noFill/>
                    <a:ln w="9525">
                      <a:noFill/>
                      <a:headEnd/>
                      <a:tailEnd/>
                    </a:ln>
                  </pic:spPr>
                </pic:pic>
              </a:graphicData>
            </a:graphic>
          </wp:inline>
        </w:drawing>
      </w:r>
    </w:p>
    <w:p>
      <w:pPr>
        <w:pStyle w:val="ImageCaption"/>
      </w:pPr>
      <w:r>
        <w:t xml:space="preserve">Latent Monthly GDP vs Observed Quarterly GDP</w:t>
      </w:r>
    </w:p>
    <w:p>
      <w:r>
        <w:pict>
          <v:rect style="width:0;height:1.5pt" o:hralign="center" o:hrstd="t" o:hr="t"/>
        </w:pict>
      </w:r>
    </w:p>
    <w:bookmarkEnd w:id="53"/>
    <w:bookmarkStart w:id="57" w:name="X24a78213f598529de3420fcba45bc930ef05ac9"/>
    <w:p>
      <w:pPr>
        <w:pStyle w:val="Heading3"/>
      </w:pPr>
      <w:r>
        <w:t xml:space="preserve">Figure 2: Nowcast Comparison for Q2-2026 (MF-BVAR vs. AR-MIDAS)</w:t>
      </w:r>
    </w:p>
    <w:p>
      <w:pPr>
        <w:pStyle w:val="CaptionedFigure"/>
      </w:pPr>
      <w:r>
        <w:drawing>
          <wp:inline>
            <wp:extent cx="5943600" cy="3268980"/>
            <wp:effectExtent b="0" l="0" r="0" t="0"/>
            <wp:docPr descr="Nowcast Q2-2026 MF-BVAR vs AR-MIDAS" title="" id="55" name="Picture"/>
            <a:graphic>
              <a:graphicData uri="http://schemas.openxmlformats.org/drawingml/2006/picture">
                <pic:pic>
                  <pic:nvPicPr>
                    <pic:cNvPr descr="../grafica_nowcast_comparativo_q2_2026.png" id="56" name="Picture"/>
                    <pic:cNvPicPr>
                      <a:picLocks noChangeArrowheads="1" noChangeAspect="1"/>
                    </pic:cNvPicPr>
                  </pic:nvPicPr>
                  <pic:blipFill>
                    <a:blip r:embed="rId54"/>
                    <a:stretch>
                      <a:fillRect/>
                    </a:stretch>
                  </pic:blipFill>
                  <pic:spPr bwMode="auto">
                    <a:xfrm>
                      <a:off x="0" y="0"/>
                      <a:ext cx="5943600" cy="3268980"/>
                    </a:xfrm>
                    <a:prstGeom prst="rect">
                      <a:avLst/>
                    </a:prstGeom>
                    <a:noFill/>
                    <a:ln w="9525">
                      <a:noFill/>
                      <a:headEnd/>
                      <a:tailEnd/>
                    </a:ln>
                  </pic:spPr>
                </pic:pic>
              </a:graphicData>
            </a:graphic>
          </wp:inline>
        </w:drawing>
      </w:r>
    </w:p>
    <w:p>
      <w:pPr>
        <w:pStyle w:val="ImageCaption"/>
      </w:pPr>
      <w:r>
        <w:t xml:space="preserve">Nowcast Q2-2026 MF-BVAR vs AR-MIDAS</w:t>
      </w:r>
    </w:p>
    <w:bookmarkEnd w:id="57"/>
    <w:bookmarkEnd w:id="58"/>
    <w:bookmarkEnd w:id="59"/>
    <w:p>
      <w:pPr>
        <w:pStyle w:val="Heading1"/>
      </w:pPr>
      <w:r>
        <w:t xml:space="preserve">Referencias</w:t>
      </w:r>
    </w:p>
    <w:bookmarkStart w:id="79" w:name="refs"/>
    <w:bookmarkStart w:id="61" w:name="ref-ankargren2020mfbvar"/>
    <w:p>
      <w:pPr>
        <w:pStyle w:val="Bibliography"/>
      </w:pPr>
      <w:r>
        <w:t xml:space="preserve">Ankargren, S., &amp; Jonéus, P. (2020). Simulation-Based Inference for Mixed-Frequency</w:t>
      </w:r>
      <w:r>
        <w:t xml:space="preserve"> </w:t>
      </w:r>
      <w:r>
        <w:t xml:space="preserve">Bayesian VARs</w:t>
      </w:r>
      <w:r>
        <w:t xml:space="preserve">.</w:t>
      </w:r>
      <w:r>
        <w:t xml:space="preserve"> </w:t>
      </w:r>
      <w:r>
        <w:rPr>
          <w:i/>
          <w:iCs/>
        </w:rPr>
        <w:t xml:space="preserve">Journal of Statistical Computation and Simulation</w:t>
      </w:r>
      <w:r>
        <w:t xml:space="preserve">,</w:t>
      </w:r>
      <w:r>
        <w:t xml:space="preserve"> </w:t>
      </w:r>
      <w:r>
        <w:rPr>
          <w:i/>
          <w:iCs/>
        </w:rPr>
        <w:t xml:space="preserve">90</w:t>
      </w:r>
      <w:r>
        <w:t xml:space="preserve">(18), 3350-3375.</w:t>
      </w:r>
      <w:r>
        <w:t xml:space="preserve"> </w:t>
      </w:r>
      <w:hyperlink r:id="rId60">
        <w:r>
          <w:rPr>
            <w:rStyle w:val="Hyperlink"/>
          </w:rPr>
          <w:t xml:space="preserve">https://doi.org/10.1080/00949655.2020.1802511</w:t>
        </w:r>
      </w:hyperlink>
    </w:p>
    <w:bookmarkEnd w:id="61"/>
    <w:bookmarkStart w:id="63" w:name="ref-banbura2010large"/>
    <w:p>
      <w:pPr>
        <w:pStyle w:val="Bibliography"/>
      </w:pPr>
      <w:r>
        <w:t xml:space="preserve">Bańbura, M., Giannone, D., &amp; Reichlin, L. (2010). Large</w:t>
      </w:r>
      <w:r>
        <w:t xml:space="preserve"> </w:t>
      </w:r>
      <w:r>
        <w:t xml:space="preserve">Bayesian</w:t>
      </w:r>
      <w:r>
        <w:t xml:space="preserve"> </w:t>
      </w:r>
      <w:r>
        <w:t xml:space="preserve">Vector Auto Regressions.</w:t>
      </w:r>
      <w:r>
        <w:t xml:space="preserve"> </w:t>
      </w:r>
      <w:r>
        <w:rPr>
          <w:i/>
          <w:iCs/>
        </w:rPr>
        <w:t xml:space="preserve">Journal of Applied Econometrics</w:t>
      </w:r>
      <w:r>
        <w:t xml:space="preserve">,</w:t>
      </w:r>
      <w:r>
        <w:t xml:space="preserve"> </w:t>
      </w:r>
      <w:r>
        <w:rPr>
          <w:i/>
          <w:iCs/>
        </w:rPr>
        <w:t xml:space="preserve">25</w:t>
      </w:r>
      <w:r>
        <w:t xml:space="preserve">(1), 71-92.</w:t>
      </w:r>
      <w:r>
        <w:t xml:space="preserve"> </w:t>
      </w:r>
      <w:hyperlink r:id="rId62">
        <w:r>
          <w:rPr>
            <w:rStyle w:val="Hyperlink"/>
          </w:rPr>
          <w:t xml:space="preserve">https://doi.org/10.1002/jae.1137</w:t>
        </w:r>
      </w:hyperlink>
    </w:p>
    <w:bookmarkEnd w:id="63"/>
    <w:bookmarkStart w:id="65" w:name="ref-carter1994gibbs"/>
    <w:p>
      <w:pPr>
        <w:pStyle w:val="Bibliography"/>
      </w:pPr>
      <w:r>
        <w:t xml:space="preserve">Carter, C. K., &amp; Kohn, R. (1994). On</w:t>
      </w:r>
      <w:r>
        <w:t xml:space="preserve"> </w:t>
      </w:r>
      <w:r>
        <w:t xml:space="preserve">Gibbs</w:t>
      </w:r>
      <w:r>
        <w:t xml:space="preserve"> </w:t>
      </w:r>
      <w:r>
        <w:t xml:space="preserve">Sampling for State Space Models.</w:t>
      </w:r>
      <w:r>
        <w:t xml:space="preserve"> </w:t>
      </w:r>
      <w:r>
        <w:rPr>
          <w:i/>
          <w:iCs/>
        </w:rPr>
        <w:t xml:space="preserve">Biometrika</w:t>
      </w:r>
      <w:r>
        <w:t xml:space="preserve">,</w:t>
      </w:r>
      <w:r>
        <w:t xml:space="preserve"> </w:t>
      </w:r>
      <w:r>
        <w:rPr>
          <w:i/>
          <w:iCs/>
        </w:rPr>
        <w:t xml:space="preserve">81</w:t>
      </w:r>
      <w:r>
        <w:t xml:space="preserve">(3), 541-553.</w:t>
      </w:r>
      <w:r>
        <w:t xml:space="preserve"> </w:t>
      </w:r>
      <w:hyperlink r:id="rId64">
        <w:r>
          <w:rPr>
            <w:rStyle w:val="Hyperlink"/>
          </w:rPr>
          <w:t xml:space="preserve">https://doi.org/10.1093/biomet/81.3.541</w:t>
        </w:r>
      </w:hyperlink>
    </w:p>
    <w:bookmarkEnd w:id="65"/>
    <w:bookmarkStart w:id="66" w:name="ref-diebold1995comparing"/>
    <w:p>
      <w:pPr>
        <w:pStyle w:val="Bibliography"/>
      </w:pPr>
      <w:r>
        <w:t xml:space="preserve">Diebold, F. X., &amp; Mariano, R. S. (1995). Comparing predictive accuracy.</w:t>
      </w:r>
      <w:r>
        <w:t xml:space="preserve"> </w:t>
      </w:r>
      <w:r>
        <w:rPr>
          <w:i/>
          <w:iCs/>
        </w:rPr>
        <w:t xml:space="preserve">Journal of Business &amp; Economic Statistics</w:t>
      </w:r>
      <w:r>
        <w:t xml:space="preserve">,</w:t>
      </w:r>
      <w:r>
        <w:t xml:space="preserve"> </w:t>
      </w:r>
      <w:r>
        <w:rPr>
          <w:i/>
          <w:iCs/>
        </w:rPr>
        <w:t xml:space="preserve">13</w:t>
      </w:r>
      <w:r>
        <w:t xml:space="preserve">(3), 253-263.</w:t>
      </w:r>
    </w:p>
    <w:bookmarkEnd w:id="66"/>
    <w:bookmarkStart w:id="68" w:name="ref-foroni2015unrestricted"/>
    <w:p>
      <w:pPr>
        <w:pStyle w:val="Bibliography"/>
      </w:pPr>
      <w:r>
        <w:t xml:space="preserve">Foroni, C., Marcellino, M., &amp; Schumacher, C. (2015). Unrestricted Mixed Data Sampling (</w:t>
      </w:r>
      <w:r>
        <w:t xml:space="preserve">MIDAS</w:t>
      </w:r>
      <w:r>
        <w:t xml:space="preserve">):</w:t>
      </w:r>
      <w:r>
        <w:t xml:space="preserve"> </w:t>
      </w:r>
      <w:r>
        <w:t xml:space="preserve">MIDAS</w:t>
      </w:r>
      <w:r>
        <w:t xml:space="preserve"> </w:t>
      </w:r>
      <w:r>
        <w:t xml:space="preserve">Regressions with Unrestricted Lag Polynomials.</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(1), 57-82.</w:t>
      </w:r>
      <w:r>
        <w:t xml:space="preserve"> </w:t>
      </w:r>
      <w:hyperlink r:id="rId67">
        <w:r>
          <w:rPr>
            <w:rStyle w:val="Hyperlink"/>
          </w:rPr>
          <w:t xml:space="preserve">https://doi.org/10.1111/rssa.12074</w:t>
        </w:r>
      </w:hyperlink>
    </w:p>
    <w:bookmarkEnd w:id="68"/>
    <w:bookmarkStart w:id="69" w:name="ref-ghysels2004midas"/>
    <w:p>
      <w:pPr>
        <w:pStyle w:val="Bibliography"/>
      </w:pPr>
      <w:r>
        <w:t xml:space="preserve">Ghysels, E., Santa-Clara, P., &amp; Valkanov, R. (2004). The</w:t>
      </w:r>
      <w:r>
        <w:t xml:space="preserve"> </w:t>
      </w:r>
      <w:r>
        <w:t xml:space="preserve">MIDAS</w:t>
      </w:r>
      <w:r>
        <w:t xml:space="preserve"> </w:t>
      </w:r>
      <w:r>
        <w:t xml:space="preserve">Approach to Predicting Points and Periods.</w:t>
      </w:r>
      <w:r>
        <w:t xml:space="preserve"> </w:t>
      </w:r>
      <w:r>
        <w:rPr>
          <w:i/>
          <w:iCs/>
        </w:rPr>
        <w:t xml:space="preserve">CIRANO Working Paper</w:t>
      </w:r>
      <w:r>
        <w:t xml:space="preserve">,</w:t>
      </w:r>
      <w:r>
        <w:t xml:space="preserve"> </w:t>
      </w:r>
      <w:r>
        <w:rPr>
          <w:i/>
          <w:iCs/>
        </w:rPr>
        <w:t xml:space="preserve">2004s-21</w:t>
      </w:r>
      <w:r>
        <w:t xml:space="preserve">.</w:t>
      </w:r>
    </w:p>
    <w:bookmarkEnd w:id="69"/>
    <w:bookmarkStart w:id="70" w:name="ref-giannone2015prior"/>
    <w:p>
      <w:pPr>
        <w:pStyle w:val="Bibliography"/>
      </w:pPr>
      <w:r>
        <w:t xml:space="preserve">Giannone, D., Lenza, M., &amp; Primiceri, G. E. (2015). Prior selection for vector autoregressions.</w:t>
      </w:r>
      <w:r>
        <w:t xml:space="preserve"> </w:t>
      </w:r>
      <w:r>
        <w:rPr>
          <w:i/>
          <w:iCs/>
        </w:rPr>
        <w:t xml:space="preserve">Review of Economics and Statistics</w:t>
      </w:r>
      <w:r>
        <w:t xml:space="preserve">,</w:t>
      </w:r>
      <w:r>
        <w:t xml:space="preserve"> </w:t>
      </w:r>
      <w:r>
        <w:rPr>
          <w:i/>
          <w:iCs/>
        </w:rPr>
        <w:t xml:space="preserve">97</w:t>
      </w:r>
      <w:r>
        <w:t xml:space="preserve">(2), 436-451.</w:t>
      </w:r>
    </w:p>
    <w:bookmarkEnd w:id="70"/>
    <w:bookmarkStart w:id="72" w:name="ref-kuzin2011midas"/>
    <w:p>
      <w:pPr>
        <w:pStyle w:val="Bibliography"/>
      </w:pPr>
      <w:r>
        <w:t xml:space="preserve">Kuzin, V., Marcellino, M., &amp; Schumacher, C. (2011).</w:t>
      </w:r>
      <w:r>
        <w:t xml:space="preserve"> </w:t>
      </w:r>
      <w:r>
        <w:t xml:space="preserve">MIDAS</w:t>
      </w:r>
      <w:r>
        <w:t xml:space="preserve"> </w:t>
      </w:r>
      <w:r>
        <w:t xml:space="preserve">vs. Mixed-Frequency</w:t>
      </w:r>
      <w:r>
        <w:t xml:space="preserve"> </w:t>
      </w:r>
      <w:r>
        <w:t xml:space="preserve">VAR</w:t>
      </w:r>
      <w:r>
        <w:t xml:space="preserve">: Investigating the Forecasting Performance for Euro Area</w:t>
      </w:r>
      <w:r>
        <w:t xml:space="preserve"> </w:t>
      </w:r>
      <w:r>
        <w:t xml:space="preserve">GDP</w:t>
      </w:r>
      <w:r>
        <w:t xml:space="preserve">.</w:t>
      </w:r>
      <w:r>
        <w:t xml:space="preserve"> </w:t>
      </w:r>
      <w:r>
        <w:rPr>
          <w:i/>
          <w:iCs/>
        </w:rPr>
        <w:t xml:space="preserve">Journal of Applied Econometrics</w:t>
      </w:r>
      <w:r>
        <w:t xml:space="preserve">,</w:t>
      </w:r>
      <w:r>
        <w:t xml:space="preserve"> </w:t>
      </w:r>
      <w:r>
        <w:rPr>
          <w:i/>
          <w:iCs/>
        </w:rPr>
        <w:t xml:space="preserve">26</w:t>
      </w:r>
      <w:r>
        <w:t xml:space="preserve">(2), 214-242.</w:t>
      </w:r>
      <w:r>
        <w:t xml:space="preserve"> </w:t>
      </w:r>
      <w:hyperlink r:id="rId71">
        <w:r>
          <w:rPr>
            <w:rStyle w:val="Hyperlink"/>
          </w:rPr>
          <w:t xml:space="preserve">https://doi.org/10.1002/jae.1154</w:t>
        </w:r>
      </w:hyperlink>
    </w:p>
    <w:bookmarkEnd w:id="72"/>
    <w:bookmarkStart w:id="74" w:name="ref-litterman1986"/>
    <w:p>
      <w:pPr>
        <w:pStyle w:val="Bibliography"/>
      </w:pPr>
      <w:r>
        <w:t xml:space="preserve">Litterman, R. B. (1986). Forecasting with Bayesian Vector Autoregressions: Five Years of Experience.</w:t>
      </w:r>
      <w:r>
        <w:t xml:space="preserve"> </w:t>
      </w:r>
      <w:r>
        <w:rPr>
          <w:i/>
          <w:iCs/>
        </w:rPr>
        <w:t xml:space="preserve">Journal of Business &amp; Economic Statistics</w:t>
      </w:r>
      <w:r>
        <w:t xml:space="preserve">,</w:t>
      </w:r>
      <w:r>
        <w:t xml:space="preserve"> </w:t>
      </w:r>
      <w:r>
        <w:rPr>
          <w:i/>
          <w:iCs/>
        </w:rPr>
        <w:t xml:space="preserve">4</w:t>
      </w:r>
      <w:r>
        <w:t xml:space="preserve">(1), 25-38.</w:t>
      </w:r>
      <w:r>
        <w:t xml:space="preserve"> </w:t>
      </w:r>
      <w:hyperlink r:id="rId73">
        <w:r>
          <w:rPr>
            <w:rStyle w:val="Hyperlink"/>
          </w:rPr>
          <w:t xml:space="preserve">http://www.jstor.org/stable/1391384</w:t>
        </w:r>
      </w:hyperlink>
    </w:p>
    <w:bookmarkEnd w:id="74"/>
    <w:bookmarkStart w:id="76" w:name="ref-mariano2003new"/>
    <w:p>
      <w:pPr>
        <w:pStyle w:val="Bibliography"/>
      </w:pPr>
      <w:r>
        <w:t xml:space="preserve">Mariano, R. S., &amp; Murasawa, Y. (2003). A New Monthly Index of Coincident Economic Indicators.</w:t>
      </w:r>
      <w:r>
        <w:t xml:space="preserve"> </w:t>
      </w:r>
      <w:r>
        <w:rPr>
          <w:i/>
          <w:iCs/>
        </w:rPr>
        <w:t xml:space="preserve">Journal of Applied Econometrics</w:t>
      </w:r>
      <w:r>
        <w:t xml:space="preserve">,</w:t>
      </w:r>
      <w:r>
        <w:t xml:space="preserve"> </w:t>
      </w:r>
      <w:r>
        <w:rPr>
          <w:i/>
          <w:iCs/>
        </w:rPr>
        <w:t xml:space="preserve">18</w:t>
      </w:r>
      <w:r>
        <w:t xml:space="preserve">(4), 427-443.</w:t>
      </w:r>
      <w:r>
        <w:t xml:space="preserve"> </w:t>
      </w:r>
      <w:hyperlink r:id="rId75">
        <w:r>
          <w:rPr>
            <w:rStyle w:val="Hyperlink"/>
          </w:rPr>
          <w:t xml:space="preserve">https://doi.org/10.1002/jae.695</w:t>
        </w:r>
      </w:hyperlink>
    </w:p>
    <w:bookmarkEnd w:id="76"/>
    <w:bookmarkStart w:id="78" w:name="ref-schorfheide2015real"/>
    <w:p>
      <w:pPr>
        <w:pStyle w:val="Bibliography"/>
      </w:pPr>
      <w:r>
        <w:t xml:space="preserve">Schorfheide, F., &amp; Song, D. (2015). Real-Time Forecasting with a Mixed-Frequency</w:t>
      </w:r>
      <w:r>
        <w:t xml:space="preserve"> </w:t>
      </w:r>
      <w:r>
        <w:t xml:space="preserve">VAR</w:t>
      </w:r>
      <w:r>
        <w:t xml:space="preserve">.</w:t>
      </w:r>
      <w:r>
        <w:t xml:space="preserve"> </w:t>
      </w:r>
      <w:r>
        <w:rPr>
          <w:i/>
          <w:iCs/>
        </w:rPr>
        <w:t xml:space="preserve">Journal of Econometrics</w:t>
      </w:r>
      <w:r>
        <w:t xml:space="preserve">,</w:t>
      </w:r>
      <w:r>
        <w:t xml:space="preserve"> </w:t>
      </w:r>
      <w:r>
        <w:rPr>
          <w:i/>
          <w:iCs/>
        </w:rPr>
        <w:t xml:space="preserve">187</w:t>
      </w:r>
      <w:r>
        <w:t xml:space="preserve">(2), 345-365.</w:t>
      </w:r>
      <w:r>
        <w:t xml:space="preserve"> </w:t>
      </w:r>
      <w:hyperlink r:id="rId77">
        <w:r>
          <w:rPr>
            <w:rStyle w:val="Hyperlink"/>
          </w:rPr>
          <w:t xml:space="preserve">https://doi.org/10.1016/j.jeconom.2015.02.031</w:t>
        </w:r>
      </w:hyperlink>
    </w:p>
    <w:bookmarkEnd w:id="78"/>
    <w:bookmarkEnd w:id="79"/>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54" Target="media/rId54.png" /><Relationship Type="http://schemas.openxmlformats.org/officeDocument/2006/relationships/image" Id="rId50" Target="media/rId50.png" /><Relationship Type="http://schemas.openxmlformats.org/officeDocument/2006/relationships/image" Id="rId23" Target="media/rId23.svg" /><Relationship Type="http://schemas.openxmlformats.org/officeDocument/2006/relationships/hyperlink" Id="rId73" Target="http://www.jstor.org/stable/1391384" TargetMode="External" /><Relationship Type="http://schemas.openxmlformats.org/officeDocument/2006/relationships/hyperlink" Id="rId62" Target="https://doi.org/10.1002/jae.1137" TargetMode="External" /><Relationship Type="http://schemas.openxmlformats.org/officeDocument/2006/relationships/hyperlink" Id="rId71" Target="https://doi.org/10.1002/jae.1154" TargetMode="External" /><Relationship Type="http://schemas.openxmlformats.org/officeDocument/2006/relationships/hyperlink" Id="rId75" Target="https://doi.org/10.1002/jae.695" TargetMode="External" /><Relationship Type="http://schemas.openxmlformats.org/officeDocument/2006/relationships/hyperlink" Id="rId77" Target="https://doi.org/10.1016/j.jeconom.2015.02.031" TargetMode="External" /><Relationship Type="http://schemas.openxmlformats.org/officeDocument/2006/relationships/hyperlink" Id="rId60" Target="https://doi.org/10.1080/00949655.2020.1802511" TargetMode="External" /><Relationship Type="http://schemas.openxmlformats.org/officeDocument/2006/relationships/hyperlink" Id="rId64" Target="https://doi.org/10.1093/biomet/81.3.541" TargetMode="External" /><Relationship Type="http://schemas.openxmlformats.org/officeDocument/2006/relationships/hyperlink" Id="rId67" Target="https://doi.org/10.1111/rssa.12074" TargetMode="External" /><Relationship Type="http://schemas.openxmlformats.org/officeDocument/2006/relationships/hyperlink" Id="rId27" Target="https://orcid.org/0000-0000-0000-0000" TargetMode="External" /><Relationship Type="http://schemas.openxmlformats.org/officeDocument/2006/relationships/hyperlink" Id="rId31" Target="mailto:jacampo@ucatolica.edu.co" TargetMode="External" /></Relationships>
</file>

<file path=word/_rels/footnotes.xml.rels><?xml version="1.0" encoding="UTF-8"?><Relationships xmlns="http://schemas.openxmlformats.org/package/2006/relationships"><Relationship Type="http://schemas.openxmlformats.org/officeDocument/2006/relationships/hyperlink" Id="rId73" Target="http://www.jstor.org/stable/1391384" TargetMode="External" /><Relationship Type="http://schemas.openxmlformats.org/officeDocument/2006/relationships/hyperlink" Id="rId62" Target="https://doi.org/10.1002/jae.1137" TargetMode="External" /><Relationship Type="http://schemas.openxmlformats.org/officeDocument/2006/relationships/hyperlink" Id="rId71" Target="https://doi.org/10.1002/jae.1154" TargetMode="External" /><Relationship Type="http://schemas.openxmlformats.org/officeDocument/2006/relationships/hyperlink" Id="rId75" Target="https://doi.org/10.1002/jae.695" TargetMode="External" /><Relationship Type="http://schemas.openxmlformats.org/officeDocument/2006/relationships/hyperlink" Id="rId77" Target="https://doi.org/10.1016/j.jeconom.2015.02.031" TargetMode="External" /><Relationship Type="http://schemas.openxmlformats.org/officeDocument/2006/relationships/hyperlink" Id="rId60" Target="https://doi.org/10.1080/00949655.2020.1802511" TargetMode="External" /><Relationship Type="http://schemas.openxmlformats.org/officeDocument/2006/relationships/hyperlink" Id="rId64" Target="https://doi.org/10.1093/biomet/81.3.541" TargetMode="External" /><Relationship Type="http://schemas.openxmlformats.org/officeDocument/2006/relationships/hyperlink" Id="rId67" Target="https://doi.org/10.1111/rssa.12074" TargetMode="External" /><Relationship Type="http://schemas.openxmlformats.org/officeDocument/2006/relationships/hyperlink" Id="rId27" Target="https://orcid.org/0000-0000-0000-0000" TargetMode="External" /><Relationship Type="http://schemas.openxmlformats.org/officeDocument/2006/relationships/hyperlink" Id="rId31" Target="mailto:jacampo@ucatolica.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NOWCASTING ECONÓMICO EN COLOMBIA</dc:description>
  <dc:language>es</dc:language>
  <cp:keywords/>
  <dcterms:created xsi:type="dcterms:W3CDTF">2026-08-29T23:57:56Z</dcterms:created>
  <dcterms:modified xsi:type="dcterms:W3CDTF">2026-08-29T23:57:56Z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En este documento voy a sintizar la metodologia :)</vt:lpwstr>
  </property>
  <property fmtid="{D5CDD505-2E9C-101B-9397-08002B2CF9AE}" pid="5" name="apaauthor">
    <vt:lpwstr/>
  </property>
  <property fmtid="{D5CDD505-2E9C-101B-9397-08002B2CF9AE}" pid="6" name="apatitle">
    <vt:lpwstr>Nowcasting del crecimiento económico en Colombia mediante modelos bayesianos de frecuencia mixta</vt:lpwstr>
  </property>
  <property fmtid="{D5CDD505-2E9C-101B-9397-08002B2CF9AE}" pid="7" name="apatitledisplay">
    <vt:lpwstr>Nowcasting del crecimiento económico en Colombia mediante modelos bayesianos de frecuencia mixta</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ed-lines">
    <vt:lpwstr>False</vt:lpwstr>
  </property>
  <property fmtid="{D5CDD505-2E9C-101B-9397-08002B2CF9AE}" pid="29" name="numbersections">
    <vt:lpwstr>False</vt:lpwstr>
  </property>
  <property fmtid="{D5CDD505-2E9C-101B-9397-08002B2CF9AE}" pid="30" name="oneaffiliation">
    <vt:lpwstr>False</vt:lpwstr>
  </property>
  <property fmtid="{D5CDD505-2E9C-101B-9397-08002B2CF9AE}" pid="31" name="oneauthor">
    <vt:lpwstr>False</vt:lpwstr>
  </property>
  <property fmtid="{D5CDD505-2E9C-101B-9397-08002B2CF9AE}" pid="32" name="references">
    <vt:lpwstr/>
  </property>
  <property fmtid="{D5CDD505-2E9C-101B-9397-08002B2CF9AE}" pid="33" name="revealjs-plugins">
    <vt:lpwstr/>
  </property>
  <property fmtid="{D5CDD505-2E9C-101B-9397-08002B2CF9AE}" pid="34" name="shorttitle">
    <vt:lpwstr>NOWCASTING ECONÓMICO EN COLOMBIA</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countr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Tabla de contenidos</vt:lpwstr>
  </property>
  <property fmtid="{D5CDD505-2E9C-101B-9397-08002B2CF9AE}" pid="62" name="word-count">
    <vt:lpwstr>False</vt:lpwstr>
  </property>
  <property fmtid="{D5CDD505-2E9C-101B-9397-08002B2CF9AE}" pid="63" name="wordn">
    <vt:lpwstr>2857</vt:lpwstr>
  </property>
  <property fmtid="{D5CDD505-2E9C-101B-9397-08002B2CF9AE}" pid="64" name="zerocitations">
    <vt:lpwstr>False</vt:lpwstr>
  </property>
</Properties>
</file>