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56BBC584" w14:textId="0AB530E0" w:rsidR="001C6BC9" w:rsidRDefault="001C6BC9" w:rsidP="002152E2">
      <w:pPr>
        <w:spacing w:after="0" w:line="360" w:lineRule="auto"/>
        <w:rPr>
          <w:rFonts w:ascii="Times New Roman" w:hAnsi="Times New Roman" w:cs="Times New Roman"/>
          <w:sz w:val="24"/>
          <w:szCs w:val="24"/>
        </w:rPr>
      </w:pPr>
    </w:p>
    <w:p w14:paraId="6420A6FD" w14:textId="77777777" w:rsidR="002152E2" w:rsidRPr="0028050B" w:rsidRDefault="002152E2" w:rsidP="002152E2">
      <w:pPr>
        <w:spacing w:after="0" w:line="360" w:lineRule="auto"/>
        <w:rPr>
          <w:rFonts w:ascii="Times New Roman" w:hAnsi="Times New Roman" w:cs="Times New Roman"/>
          <w:sz w:val="24"/>
          <w:szCs w:val="24"/>
        </w:rPr>
      </w:pPr>
    </w:p>
    <w:p w14:paraId="7C954EBD" w14:textId="1FB48F79" w:rsidR="001C6BC9" w:rsidRPr="0028050B" w:rsidRDefault="002152E2" w:rsidP="00A23F2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0E667" wp14:editId="7431D53E">
            <wp:extent cx="4690800" cy="1724400"/>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8">
                      <a:extLst>
                        <a:ext uri="{28A0092B-C50C-407E-A947-70E740481C1C}">
                          <a14:useLocalDpi xmlns:a14="http://schemas.microsoft.com/office/drawing/2010/main" val="0"/>
                        </a:ext>
                      </a:extLst>
                    </a:blip>
                    <a:srcRect l="8363" t="17636" r="8014" b="27706"/>
                    <a:stretch/>
                  </pic:blipFill>
                  <pic:spPr bwMode="auto">
                    <a:xfrm>
                      <a:off x="0" y="0"/>
                      <a:ext cx="4690800" cy="1724400"/>
                    </a:xfrm>
                    <a:prstGeom prst="rect">
                      <a:avLst/>
                    </a:prstGeom>
                    <a:ln>
                      <a:noFill/>
                    </a:ln>
                    <a:extLst>
                      <a:ext uri="{53640926-AAD7-44D8-BBD7-CCE9431645EC}">
                        <a14:shadowObscured xmlns:a14="http://schemas.microsoft.com/office/drawing/2010/main"/>
                      </a:ext>
                    </a:extLst>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Estimación del efecto pass through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28D9CC7E"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0664E94A" w14:textId="235D735A" w:rsidR="000656EA" w:rsidRPr="00DB0D56" w:rsidRDefault="001C6BC9" w:rsidP="00DB0D56">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B1EC98D" w14:textId="69DFF6B8" w:rsidR="00DB0D56" w:rsidRDefault="00DB0D56" w:rsidP="00DB0D56"/>
    <w:p w14:paraId="0FAEF50C" w14:textId="77777777" w:rsidR="00DB0D56" w:rsidRDefault="00DB0D56" w:rsidP="00DB0D56">
      <w:pPr>
        <w:spacing w:line="360" w:lineRule="auto"/>
        <w:jc w:val="both"/>
        <w:rPr>
          <w:rFonts w:ascii="Times New Roman" w:hAnsi="Times New Roman" w:cs="Times New Roman"/>
        </w:rPr>
      </w:pPr>
    </w:p>
    <w:p w14:paraId="5AB8B85D" w14:textId="7CCC7E5E" w:rsidR="00DB0D56" w:rsidRPr="00DB0D56" w:rsidRDefault="00DB0D56" w:rsidP="00DB0D56">
      <w:pPr>
        <w:spacing w:line="360" w:lineRule="auto"/>
        <w:jc w:val="center"/>
        <w:rPr>
          <w:rFonts w:ascii="Times New Roman" w:hAnsi="Times New Roman" w:cs="Times New Roman"/>
          <w:b/>
          <w:bCs/>
        </w:rPr>
      </w:pPr>
      <w:r>
        <w:rPr>
          <w:rFonts w:ascii="Times New Roman" w:hAnsi="Times New Roman" w:cs="Times New Roman"/>
          <w:b/>
          <w:bCs/>
        </w:rPr>
        <w:lastRenderedPageBreak/>
        <w:t>Resumen</w:t>
      </w:r>
    </w:p>
    <w:p w14:paraId="01003773" w14:textId="4E89545C" w:rsidR="00DB0D56" w:rsidRPr="003F5A53" w:rsidRDefault="00DB0D56" w:rsidP="00DB0D56">
      <w:pPr>
        <w:spacing w:line="360" w:lineRule="auto"/>
        <w:jc w:val="both"/>
        <w:rPr>
          <w:rFonts w:ascii="Times New Roman" w:hAnsi="Times New Roman" w:cs="Times New Roman"/>
        </w:rPr>
      </w:pPr>
      <w:r w:rsidRPr="003F5A53">
        <w:rPr>
          <w:rFonts w:ascii="Times New Roman" w:hAnsi="Times New Roman" w:cs="Times New Roman"/>
        </w:rPr>
        <w:t>En el presente trabajo se indaga sobre un tipo particular de asimetría presente en el efecto traspaso del tipo de cambio a precios (pass-through), la del debilitamiento del efecto en la medida en que se hace</w:t>
      </w:r>
      <w:r w:rsidR="006F75CF">
        <w:rPr>
          <w:rFonts w:ascii="Times New Roman" w:hAnsi="Times New Roman" w:cs="Times New Roman"/>
        </w:rPr>
        <w:t>n</w:t>
      </w:r>
      <w:r w:rsidRPr="003F5A53">
        <w:rPr>
          <w:rFonts w:ascii="Times New Roman" w:hAnsi="Times New Roman" w:cs="Times New Roman"/>
        </w:rPr>
        <w:t xml:space="preserve"> transiciones de entornos de inflación alta a entornos de inflación baja. </w:t>
      </w:r>
    </w:p>
    <w:p w14:paraId="005BF5CC" w14:textId="74FA18E7" w:rsidR="00DB0D56" w:rsidRPr="003F5A53" w:rsidRDefault="00DB0D56" w:rsidP="00DB0D56">
      <w:pPr>
        <w:spacing w:line="360" w:lineRule="auto"/>
        <w:jc w:val="both"/>
        <w:rPr>
          <w:rFonts w:ascii="Times New Roman" w:hAnsi="Times New Roman" w:cs="Times New Roman"/>
        </w:rPr>
      </w:pPr>
      <w:r w:rsidRPr="003F5A53">
        <w:rPr>
          <w:rFonts w:ascii="Times New Roman" w:hAnsi="Times New Roman" w:cs="Times New Roman"/>
        </w:rPr>
        <w:t xml:space="preserve">El análisis abarca el periodo de enero 2001 hasta mayo 2022 debido al hecho de que en </w:t>
      </w:r>
      <w:r w:rsidR="006F75CF" w:rsidRPr="003F5A53">
        <w:rPr>
          <w:rFonts w:ascii="Times New Roman" w:hAnsi="Times New Roman" w:cs="Times New Roman"/>
        </w:rPr>
        <w:t>él</w:t>
      </w:r>
      <w:r w:rsidRPr="003F5A53">
        <w:rPr>
          <w:rFonts w:ascii="Times New Roman" w:hAnsi="Times New Roman" w:cs="Times New Roman"/>
        </w:rPr>
        <w:t xml:space="preserve"> se abarca la transición del esquema de agregados monetarios al de metas explicitas de inflación lo que ha propiciado un entorno de inflación baja y estable en el país en la cual los agentes han anclado sus expectativas de inflación a la meta fijada por el Banco de Guatemala</w:t>
      </w:r>
      <w:r w:rsidR="00C203B5">
        <w:rPr>
          <w:rFonts w:ascii="Times New Roman" w:hAnsi="Times New Roman" w:cs="Times New Roman"/>
        </w:rPr>
        <w:t>.</w:t>
      </w:r>
    </w:p>
    <w:p w14:paraId="5008E9DA" w14:textId="399A500D" w:rsidR="00DB0D56" w:rsidRDefault="00DB0D56" w:rsidP="006F75CF">
      <w:pPr>
        <w:spacing w:line="360" w:lineRule="auto"/>
        <w:jc w:val="both"/>
        <w:rPr>
          <w:rFonts w:ascii="Times New Roman" w:hAnsi="Times New Roman" w:cs="Times New Roman"/>
        </w:rPr>
      </w:pPr>
      <w:r>
        <w:rPr>
          <w:rFonts w:ascii="Times New Roman" w:hAnsi="Times New Roman" w:cs="Times New Roman"/>
        </w:rPr>
        <w:t>Para lograr lo anterior</w:t>
      </w:r>
      <w:r w:rsidR="006F75CF">
        <w:rPr>
          <w:rFonts w:ascii="Times New Roman" w:hAnsi="Times New Roman" w:cs="Times New Roman"/>
        </w:rPr>
        <w:t xml:space="preserve"> se estimó un modelo Autorregresivo con umbrales corroborando la hipótesis de que el estado inflacionario de la economía efectivamente reduce el efecto traspaso y esto puede deberse al debilitamiento de la relación existente entre precios y tipo de cambio en entornos inflacionarios bajos.</w:t>
      </w:r>
    </w:p>
    <w:p w14:paraId="6FFDDF8E" w14:textId="784095EB" w:rsidR="00C203B5" w:rsidRDefault="00C203B5" w:rsidP="00C203B5">
      <w:pPr>
        <w:spacing w:line="240" w:lineRule="auto"/>
        <w:jc w:val="both"/>
        <w:rPr>
          <w:rFonts w:ascii="Times New Roman" w:hAnsi="Times New Roman" w:cs="Times New Roman"/>
        </w:rPr>
      </w:pPr>
      <w:r>
        <w:rPr>
          <w:rFonts w:ascii="Times New Roman" w:hAnsi="Times New Roman" w:cs="Times New Roman"/>
          <w:b/>
          <w:bCs/>
        </w:rPr>
        <w:t>Palabras clave:</w:t>
      </w:r>
      <w:r>
        <w:rPr>
          <w:rFonts w:ascii="Times New Roman" w:hAnsi="Times New Roman" w:cs="Times New Roman"/>
        </w:rPr>
        <w:t xml:space="preserve"> inflación, umbral inflacionario, tipo de cambio, efecto pass-through.</w:t>
      </w:r>
    </w:p>
    <w:p w14:paraId="60C4616A" w14:textId="66625177" w:rsidR="00C203B5" w:rsidRPr="00C203B5" w:rsidRDefault="00C203B5" w:rsidP="00C203B5">
      <w:pPr>
        <w:spacing w:line="240" w:lineRule="auto"/>
        <w:jc w:val="both"/>
        <w:rPr>
          <w:rFonts w:ascii="Times New Roman" w:hAnsi="Times New Roman" w:cs="Times New Roman"/>
        </w:rPr>
      </w:pPr>
      <w:r>
        <w:rPr>
          <w:rFonts w:ascii="Times New Roman" w:hAnsi="Times New Roman" w:cs="Times New Roman"/>
          <w:b/>
          <w:bCs/>
        </w:rPr>
        <w:t>Clasificación JEL:</w:t>
      </w:r>
      <w:r w:rsidR="00534382">
        <w:rPr>
          <w:rFonts w:ascii="Times New Roman" w:hAnsi="Times New Roman" w:cs="Times New Roman"/>
          <w:b/>
          <w:bCs/>
        </w:rPr>
        <w:t xml:space="preserve"> </w:t>
      </w:r>
      <w:r w:rsidR="00534382">
        <w:rPr>
          <w:rFonts w:ascii="Times New Roman" w:hAnsi="Times New Roman" w:cs="Times New Roman"/>
        </w:rPr>
        <w:t>C51,</w:t>
      </w:r>
      <w:r>
        <w:rPr>
          <w:rFonts w:ascii="Times New Roman" w:hAnsi="Times New Roman" w:cs="Times New Roman"/>
        </w:rPr>
        <w:t xml:space="preserve"> </w:t>
      </w:r>
      <w:r w:rsidR="00686ECC">
        <w:rPr>
          <w:rFonts w:ascii="Times New Roman" w:hAnsi="Times New Roman" w:cs="Times New Roman"/>
        </w:rPr>
        <w:t>E31, E58</w:t>
      </w:r>
    </w:p>
    <w:p w14:paraId="374BD7C7" w14:textId="64DC23EF" w:rsidR="006F75CF" w:rsidRDefault="006F75CF" w:rsidP="006F75CF">
      <w:pPr>
        <w:spacing w:line="360" w:lineRule="auto"/>
        <w:jc w:val="both"/>
      </w:pPr>
    </w:p>
    <w:p w14:paraId="6C5B82A1" w14:textId="0DAF4F88" w:rsidR="00534382" w:rsidRDefault="00534382" w:rsidP="006F75CF">
      <w:pPr>
        <w:spacing w:line="360" w:lineRule="auto"/>
        <w:jc w:val="both"/>
      </w:pPr>
    </w:p>
    <w:p w14:paraId="198ABD65" w14:textId="7A908CE0" w:rsidR="00534382" w:rsidRDefault="00534382" w:rsidP="006F75CF">
      <w:pPr>
        <w:spacing w:line="360" w:lineRule="auto"/>
        <w:jc w:val="both"/>
      </w:pPr>
    </w:p>
    <w:p w14:paraId="16796EA1" w14:textId="4B95D6B4" w:rsidR="00534382" w:rsidRDefault="00534382" w:rsidP="006F75CF">
      <w:pPr>
        <w:spacing w:line="360" w:lineRule="auto"/>
        <w:jc w:val="both"/>
      </w:pPr>
    </w:p>
    <w:p w14:paraId="4E5A846B" w14:textId="0196CC39" w:rsidR="00534382" w:rsidRDefault="00534382" w:rsidP="006F75CF">
      <w:pPr>
        <w:spacing w:line="360" w:lineRule="auto"/>
        <w:jc w:val="both"/>
      </w:pPr>
    </w:p>
    <w:p w14:paraId="112567E6" w14:textId="630F9714" w:rsidR="00534382" w:rsidRDefault="00534382" w:rsidP="006F75CF">
      <w:pPr>
        <w:spacing w:line="360" w:lineRule="auto"/>
        <w:jc w:val="both"/>
      </w:pPr>
    </w:p>
    <w:p w14:paraId="6823CC44" w14:textId="406047BC" w:rsidR="00534382" w:rsidRDefault="00534382" w:rsidP="006F75CF">
      <w:pPr>
        <w:spacing w:line="360" w:lineRule="auto"/>
        <w:jc w:val="both"/>
      </w:pPr>
    </w:p>
    <w:p w14:paraId="48ACDAE0" w14:textId="2A55AC93" w:rsidR="00534382" w:rsidRDefault="00534382" w:rsidP="006F75CF">
      <w:pPr>
        <w:spacing w:line="360" w:lineRule="auto"/>
        <w:jc w:val="both"/>
      </w:pPr>
    </w:p>
    <w:p w14:paraId="33CA5E24" w14:textId="758A63A4" w:rsidR="00534382" w:rsidRDefault="00534382" w:rsidP="006F75CF">
      <w:pPr>
        <w:spacing w:line="360" w:lineRule="auto"/>
        <w:jc w:val="both"/>
      </w:pPr>
    </w:p>
    <w:p w14:paraId="591D7F3E" w14:textId="5BA74051" w:rsidR="00534382" w:rsidRDefault="00534382" w:rsidP="006F75CF">
      <w:pPr>
        <w:spacing w:line="360" w:lineRule="auto"/>
        <w:jc w:val="both"/>
      </w:pPr>
    </w:p>
    <w:p w14:paraId="184AC0E6" w14:textId="06D701D0" w:rsidR="00534382" w:rsidRDefault="00534382" w:rsidP="006F75CF">
      <w:pPr>
        <w:spacing w:line="360" w:lineRule="auto"/>
        <w:jc w:val="both"/>
      </w:pPr>
    </w:p>
    <w:p w14:paraId="62355066" w14:textId="4C927742" w:rsidR="00534382" w:rsidRDefault="00534382" w:rsidP="006F75CF">
      <w:pPr>
        <w:spacing w:line="360" w:lineRule="auto"/>
        <w:jc w:val="both"/>
      </w:pPr>
    </w:p>
    <w:sdt>
      <w:sdtPr>
        <w:rPr>
          <w:rFonts w:asciiTheme="minorHAnsi" w:eastAsiaTheme="minorHAnsi" w:hAnsiTheme="minorHAnsi" w:cstheme="minorBidi"/>
          <w:color w:val="auto"/>
          <w:sz w:val="22"/>
          <w:szCs w:val="22"/>
          <w:lang w:val="es-ES" w:eastAsia="en-US"/>
        </w:rPr>
        <w:id w:val="-1982298192"/>
        <w:docPartObj>
          <w:docPartGallery w:val="Table of Contents"/>
          <w:docPartUnique/>
        </w:docPartObj>
      </w:sdtPr>
      <w:sdtEndPr>
        <w:rPr>
          <w:rFonts w:ascii="Times New Roman" w:hAnsi="Times New Roman" w:cs="Times New Roman"/>
          <w:sz w:val="24"/>
          <w:szCs w:val="24"/>
        </w:rPr>
      </w:sdtEndPr>
      <w:sdtContent>
        <w:p w14:paraId="4DEA392F" w14:textId="021AC4A0" w:rsidR="00792F70" w:rsidRPr="00792F70" w:rsidRDefault="00792F70" w:rsidP="00792F70">
          <w:pPr>
            <w:pStyle w:val="TtuloTDC"/>
            <w:spacing w:line="360" w:lineRule="auto"/>
            <w:jc w:val="center"/>
            <w:rPr>
              <w:rFonts w:ascii="Times New Roman" w:hAnsi="Times New Roman" w:cs="Times New Roman"/>
              <w:b/>
              <w:bCs/>
              <w:color w:val="auto"/>
              <w:sz w:val="24"/>
              <w:szCs w:val="24"/>
            </w:rPr>
          </w:pPr>
          <w:r w:rsidRPr="00792F70">
            <w:rPr>
              <w:rFonts w:ascii="Times New Roman" w:hAnsi="Times New Roman" w:cs="Times New Roman"/>
              <w:b/>
              <w:bCs/>
              <w:color w:val="auto"/>
              <w:sz w:val="24"/>
              <w:szCs w:val="24"/>
              <w:lang w:val="es-ES"/>
            </w:rPr>
            <w:t>Índice</w:t>
          </w:r>
        </w:p>
        <w:p w14:paraId="096233DA" w14:textId="6D775D1A" w:rsidR="00792F70" w:rsidRPr="00792F70" w:rsidRDefault="00792F70" w:rsidP="00792F70">
          <w:pPr>
            <w:pStyle w:val="TDC1"/>
            <w:tabs>
              <w:tab w:val="right" w:leader="dot" w:pos="8828"/>
            </w:tabs>
            <w:spacing w:line="360" w:lineRule="auto"/>
            <w:rPr>
              <w:rFonts w:ascii="Times New Roman" w:hAnsi="Times New Roman" w:cs="Times New Roman"/>
              <w:noProof/>
              <w:sz w:val="24"/>
              <w:szCs w:val="24"/>
            </w:rPr>
          </w:pPr>
          <w:r w:rsidRPr="00792F70">
            <w:rPr>
              <w:rFonts w:ascii="Times New Roman" w:hAnsi="Times New Roman" w:cs="Times New Roman"/>
              <w:sz w:val="24"/>
              <w:szCs w:val="24"/>
            </w:rPr>
            <w:fldChar w:fldCharType="begin"/>
          </w:r>
          <w:r w:rsidRPr="00792F70">
            <w:rPr>
              <w:rFonts w:ascii="Times New Roman" w:hAnsi="Times New Roman" w:cs="Times New Roman"/>
              <w:sz w:val="24"/>
              <w:szCs w:val="24"/>
            </w:rPr>
            <w:instrText xml:space="preserve"> TOC \o "1-3" \h \z \u </w:instrText>
          </w:r>
          <w:r w:rsidRPr="00792F70">
            <w:rPr>
              <w:rFonts w:ascii="Times New Roman" w:hAnsi="Times New Roman" w:cs="Times New Roman"/>
              <w:sz w:val="24"/>
              <w:szCs w:val="24"/>
            </w:rPr>
            <w:fldChar w:fldCharType="separate"/>
          </w:r>
          <w:hyperlink w:anchor="_Toc111757481" w:history="1">
            <w:r w:rsidRPr="00792F70">
              <w:rPr>
                <w:rStyle w:val="Hipervnculo"/>
                <w:rFonts w:ascii="Times New Roman" w:hAnsi="Times New Roman" w:cs="Times New Roman"/>
                <w:noProof/>
                <w:color w:val="auto"/>
                <w:sz w:val="24"/>
                <w:szCs w:val="24"/>
              </w:rPr>
              <w:t>Introducción</w:t>
            </w:r>
            <w:r w:rsidRPr="00792F70">
              <w:rPr>
                <w:rFonts w:ascii="Times New Roman" w:hAnsi="Times New Roman" w:cs="Times New Roman"/>
                <w:noProof/>
                <w:webHidden/>
                <w:sz w:val="24"/>
                <w:szCs w:val="24"/>
              </w:rPr>
              <w:tab/>
            </w:r>
            <w:r w:rsidRPr="00792F70">
              <w:rPr>
                <w:rFonts w:ascii="Times New Roman" w:hAnsi="Times New Roman" w:cs="Times New Roman"/>
                <w:noProof/>
                <w:webHidden/>
                <w:sz w:val="24"/>
                <w:szCs w:val="24"/>
              </w:rPr>
              <w:fldChar w:fldCharType="begin"/>
            </w:r>
            <w:r w:rsidRPr="00792F70">
              <w:rPr>
                <w:rFonts w:ascii="Times New Roman" w:hAnsi="Times New Roman" w:cs="Times New Roman"/>
                <w:noProof/>
                <w:webHidden/>
                <w:sz w:val="24"/>
                <w:szCs w:val="24"/>
              </w:rPr>
              <w:instrText xml:space="preserve"> PAGEREF _Toc111757481 \h </w:instrText>
            </w:r>
            <w:r w:rsidRPr="00792F70">
              <w:rPr>
                <w:rFonts w:ascii="Times New Roman" w:hAnsi="Times New Roman" w:cs="Times New Roman"/>
                <w:noProof/>
                <w:webHidden/>
                <w:sz w:val="24"/>
                <w:szCs w:val="24"/>
              </w:rPr>
            </w:r>
            <w:r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v</w:t>
            </w:r>
            <w:r w:rsidRPr="00792F70">
              <w:rPr>
                <w:rFonts w:ascii="Times New Roman" w:hAnsi="Times New Roman" w:cs="Times New Roman"/>
                <w:noProof/>
                <w:webHidden/>
                <w:sz w:val="24"/>
                <w:szCs w:val="24"/>
              </w:rPr>
              <w:fldChar w:fldCharType="end"/>
            </w:r>
          </w:hyperlink>
        </w:p>
        <w:p w14:paraId="176BDCFB" w14:textId="1A42AD42"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482" w:history="1">
            <w:r w:rsidR="00792F70" w:rsidRPr="00792F70">
              <w:rPr>
                <w:rStyle w:val="Hipervnculo"/>
                <w:rFonts w:ascii="Times New Roman" w:hAnsi="Times New Roman" w:cs="Times New Roman"/>
                <w:noProof/>
                <w:color w:val="auto"/>
                <w:sz w:val="24"/>
                <w:szCs w:val="24"/>
              </w:rPr>
              <w:t>1. Revisión literaria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1</w:t>
            </w:r>
            <w:r w:rsidR="00792F70" w:rsidRPr="00792F70">
              <w:rPr>
                <w:rFonts w:ascii="Times New Roman" w:hAnsi="Times New Roman" w:cs="Times New Roman"/>
                <w:noProof/>
                <w:webHidden/>
                <w:sz w:val="24"/>
                <w:szCs w:val="24"/>
              </w:rPr>
              <w:fldChar w:fldCharType="end"/>
            </w:r>
          </w:hyperlink>
        </w:p>
        <w:p w14:paraId="20095829" w14:textId="3A25C8EA"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3" w:history="1">
            <w:r w:rsidR="00792F70" w:rsidRPr="00792F70">
              <w:rPr>
                <w:rStyle w:val="Hipervnculo"/>
                <w:rFonts w:ascii="Times New Roman" w:hAnsi="Times New Roman" w:cs="Times New Roman"/>
                <w:noProof/>
                <w:color w:val="auto"/>
                <w:sz w:val="24"/>
                <w:szCs w:val="24"/>
              </w:rPr>
              <w:t>1.1 Definición y consideraciones teóricas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1</w:t>
            </w:r>
            <w:r w:rsidR="00792F70" w:rsidRPr="00792F70">
              <w:rPr>
                <w:rFonts w:ascii="Times New Roman" w:hAnsi="Times New Roman" w:cs="Times New Roman"/>
                <w:noProof/>
                <w:webHidden/>
                <w:sz w:val="24"/>
                <w:szCs w:val="24"/>
              </w:rPr>
              <w:fldChar w:fldCharType="end"/>
            </w:r>
          </w:hyperlink>
        </w:p>
        <w:p w14:paraId="2187E19B" w14:textId="5A98380A"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4" w:history="1">
            <w:r w:rsidR="00792F70" w:rsidRPr="00792F70">
              <w:rPr>
                <w:rStyle w:val="Hipervnculo"/>
                <w:rFonts w:ascii="Times New Roman" w:hAnsi="Times New Roman" w:cs="Times New Roman"/>
                <w:noProof/>
                <w:color w:val="auto"/>
                <w:sz w:val="24"/>
                <w:szCs w:val="24"/>
                <w:lang w:val="es-ES"/>
              </w:rPr>
              <w:t>1.2 Efectos de primer y segundo orden</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2</w:t>
            </w:r>
            <w:r w:rsidR="00792F70" w:rsidRPr="00792F70">
              <w:rPr>
                <w:rFonts w:ascii="Times New Roman" w:hAnsi="Times New Roman" w:cs="Times New Roman"/>
                <w:noProof/>
                <w:webHidden/>
                <w:sz w:val="24"/>
                <w:szCs w:val="24"/>
              </w:rPr>
              <w:fldChar w:fldCharType="end"/>
            </w:r>
          </w:hyperlink>
        </w:p>
        <w:p w14:paraId="74E6C070" w14:textId="5E809CEF"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5" w:history="1">
            <w:r w:rsidR="00792F70" w:rsidRPr="00792F70">
              <w:rPr>
                <w:rStyle w:val="Hipervnculo"/>
                <w:rFonts w:ascii="Times New Roman" w:hAnsi="Times New Roman" w:cs="Times New Roman"/>
                <w:noProof/>
                <w:color w:val="auto"/>
                <w:sz w:val="24"/>
                <w:szCs w:val="24"/>
                <w:lang w:val="es-ES"/>
              </w:rPr>
              <w:t>1.3 Determinantes macroeconómicos del pass-through</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5</w:t>
            </w:r>
            <w:r w:rsidR="00792F70" w:rsidRPr="00792F70">
              <w:rPr>
                <w:rFonts w:ascii="Times New Roman" w:hAnsi="Times New Roman" w:cs="Times New Roman"/>
                <w:noProof/>
                <w:webHidden/>
                <w:sz w:val="24"/>
                <w:szCs w:val="24"/>
              </w:rPr>
              <w:fldChar w:fldCharType="end"/>
            </w:r>
          </w:hyperlink>
        </w:p>
        <w:p w14:paraId="53716D51" w14:textId="412AB2ED"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6" w:history="1">
            <w:r w:rsidR="00792F70" w:rsidRPr="00792F70">
              <w:rPr>
                <w:rStyle w:val="Hipervnculo"/>
                <w:rFonts w:ascii="Times New Roman" w:hAnsi="Times New Roman" w:cs="Times New Roman"/>
                <w:noProof/>
                <w:color w:val="auto"/>
                <w:sz w:val="24"/>
                <w:szCs w:val="24"/>
                <w:lang w:val="es-ES"/>
              </w:rPr>
              <w:t>1.3.1 Objetivo de inflación fijado por el Banco Central</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5</w:t>
            </w:r>
            <w:r w:rsidR="00792F70" w:rsidRPr="00792F70">
              <w:rPr>
                <w:rFonts w:ascii="Times New Roman" w:hAnsi="Times New Roman" w:cs="Times New Roman"/>
                <w:noProof/>
                <w:webHidden/>
                <w:sz w:val="24"/>
                <w:szCs w:val="24"/>
              </w:rPr>
              <w:fldChar w:fldCharType="end"/>
            </w:r>
          </w:hyperlink>
        </w:p>
        <w:p w14:paraId="417B942B" w14:textId="29354034"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7" w:history="1">
            <w:r w:rsidR="00792F70" w:rsidRPr="00792F70">
              <w:rPr>
                <w:rStyle w:val="Hipervnculo"/>
                <w:rFonts w:ascii="Times New Roman" w:hAnsi="Times New Roman" w:cs="Times New Roman"/>
                <w:noProof/>
                <w:color w:val="auto"/>
                <w:sz w:val="24"/>
                <w:szCs w:val="24"/>
                <w:lang w:val="es-ES"/>
              </w:rPr>
              <w:t>1.3.2 Credibilidad del Banco Central</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3CF003FF" w14:textId="6B1B821B"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8" w:history="1">
            <w:r w:rsidR="00792F70" w:rsidRPr="00792F70">
              <w:rPr>
                <w:rStyle w:val="Hipervnculo"/>
                <w:rFonts w:ascii="Times New Roman" w:hAnsi="Times New Roman" w:cs="Times New Roman"/>
                <w:noProof/>
                <w:color w:val="auto"/>
                <w:sz w:val="24"/>
                <w:szCs w:val="24"/>
                <w:lang w:val="es-ES"/>
              </w:rPr>
              <w:t>1.3.3 Ambiente inflacionario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5ED62753" w14:textId="5BC2480B"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9" w:history="1">
            <w:r w:rsidR="00792F70" w:rsidRPr="00792F70">
              <w:rPr>
                <w:rStyle w:val="Hipervnculo"/>
                <w:rFonts w:ascii="Times New Roman" w:hAnsi="Times New Roman" w:cs="Times New Roman"/>
                <w:noProof/>
                <w:color w:val="auto"/>
                <w:sz w:val="24"/>
                <w:szCs w:val="24"/>
                <w:lang w:val="es-ES"/>
              </w:rPr>
              <w:t>1.3.4 El ciclo económico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58AF8540" w14:textId="4D83FA4C"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0" w:history="1">
            <w:r w:rsidR="00792F70" w:rsidRPr="00792F70">
              <w:rPr>
                <w:rStyle w:val="Hipervnculo"/>
                <w:rFonts w:ascii="Times New Roman" w:hAnsi="Times New Roman" w:cs="Times New Roman"/>
                <w:noProof/>
                <w:color w:val="auto"/>
                <w:sz w:val="24"/>
                <w:szCs w:val="24"/>
                <w:lang w:val="es-ES"/>
              </w:rPr>
              <w:t>1.3.5 El grado de apertura económica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6097C9E1" w14:textId="5C6DF47E"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91" w:history="1">
            <w:r w:rsidR="00792F70" w:rsidRPr="00792F70">
              <w:rPr>
                <w:rStyle w:val="Hipervnculo"/>
                <w:rFonts w:ascii="Times New Roman" w:hAnsi="Times New Roman" w:cs="Times New Roman"/>
                <w:noProof/>
                <w:color w:val="auto"/>
                <w:sz w:val="24"/>
                <w:szCs w:val="24"/>
                <w:lang w:val="es-ES"/>
              </w:rPr>
              <w:t>1.4 Determinantes microeconómicos de pass-through</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_Toc111757491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3A28B094" w14:textId="7A91D16A"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2" w:history="1">
            <w:r w:rsidR="00792F70" w:rsidRPr="00792F70">
              <w:rPr>
                <w:rStyle w:val="Hipervnculo"/>
                <w:rFonts w:ascii="Times New Roman" w:hAnsi="Times New Roman" w:cs="Times New Roman"/>
                <w:noProof/>
                <w:color w:val="auto"/>
                <w:sz w:val="24"/>
                <w:szCs w:val="24"/>
                <w:lang w:val="es-ES"/>
              </w:rPr>
              <w:t>1.4.1 Política de fijación de precios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460AF090" w14:textId="10303F83"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3" w:history="1">
            <w:r w:rsidR="00792F70" w:rsidRPr="00792F70">
              <w:rPr>
                <w:rStyle w:val="Hipervnculo"/>
                <w:rFonts w:ascii="Times New Roman" w:hAnsi="Times New Roman" w:cs="Times New Roman"/>
                <w:noProof/>
                <w:color w:val="auto"/>
                <w:sz w:val="24"/>
                <w:szCs w:val="24"/>
                <w:lang w:val="es-ES"/>
              </w:rPr>
              <w:t>1.4.2 La existencia de costos de menú</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2CBB9323" w14:textId="1B31EEEC"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4" w:history="1">
            <w:r w:rsidR="00792F70" w:rsidRPr="00792F70">
              <w:rPr>
                <w:rStyle w:val="Hipervnculo"/>
                <w:rFonts w:ascii="Times New Roman" w:hAnsi="Times New Roman" w:cs="Times New Roman"/>
                <w:noProof/>
                <w:color w:val="auto"/>
                <w:sz w:val="24"/>
                <w:szCs w:val="24"/>
                <w:lang w:val="es-ES"/>
              </w:rPr>
              <w:t>1.4.3 Sustitución de productos importados y nacionales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330882DA" w14:textId="6ABDE8F6"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5" w:history="1">
            <w:r w:rsidR="00792F70" w:rsidRPr="00792F70">
              <w:rPr>
                <w:rStyle w:val="Hipervnculo"/>
                <w:rFonts w:ascii="Times New Roman" w:hAnsi="Times New Roman" w:cs="Times New Roman"/>
                <w:noProof/>
                <w:color w:val="auto"/>
                <w:sz w:val="24"/>
                <w:szCs w:val="24"/>
                <w:lang w:val="es-ES"/>
              </w:rPr>
              <w:t>1.4.4 Penetración de importaciones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6890B691" w14:textId="7E740394"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6" w:history="1">
            <w:r w:rsidR="00792F70" w:rsidRPr="00792F70">
              <w:rPr>
                <w:rStyle w:val="Hipervnculo"/>
                <w:rFonts w:ascii="Times New Roman" w:hAnsi="Times New Roman" w:cs="Times New Roman"/>
                <w:noProof/>
                <w:color w:val="auto"/>
                <w:sz w:val="24"/>
                <w:szCs w:val="24"/>
                <w:lang w:val="es-ES"/>
              </w:rPr>
              <w:t>1.4.5 Composición de la canasta de precios al consumidor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12B8BC8F" w14:textId="5B4557CE"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7" w:history="1">
            <w:r w:rsidR="00792F70" w:rsidRPr="00792F70">
              <w:rPr>
                <w:rStyle w:val="Hipervnculo"/>
                <w:rFonts w:ascii="Times New Roman" w:hAnsi="Times New Roman" w:cs="Times New Roman"/>
                <w:noProof/>
                <w:color w:val="auto"/>
                <w:sz w:val="24"/>
                <w:szCs w:val="24"/>
                <w:lang w:val="es-ES"/>
              </w:rPr>
              <w:t>1.4.6 Naturaleza temporal del ajuste cambiario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5426724B" w14:textId="3A780BDB"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98" w:history="1">
            <w:r w:rsidR="00792F70" w:rsidRPr="00792F70">
              <w:rPr>
                <w:rStyle w:val="Hipervnculo"/>
                <w:rFonts w:ascii="Times New Roman" w:hAnsi="Times New Roman" w:cs="Times New Roman"/>
                <w:noProof/>
                <w:color w:val="auto"/>
                <w:sz w:val="24"/>
                <w:szCs w:val="24"/>
                <w:lang w:val="es-ES"/>
              </w:rPr>
              <w:t>1.5 Política monetaria y tipo de cambio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8</w:t>
            </w:r>
            <w:r w:rsidR="00792F70" w:rsidRPr="00792F70">
              <w:rPr>
                <w:rFonts w:ascii="Times New Roman" w:hAnsi="Times New Roman" w:cs="Times New Roman"/>
                <w:noProof/>
                <w:webHidden/>
                <w:sz w:val="24"/>
                <w:szCs w:val="24"/>
              </w:rPr>
              <w:fldChar w:fldCharType="end"/>
            </w:r>
          </w:hyperlink>
        </w:p>
        <w:p w14:paraId="61FB97DD" w14:textId="00E7AC0C"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9" w:history="1">
            <w:r w:rsidR="00792F70" w:rsidRPr="00792F70">
              <w:rPr>
                <w:rStyle w:val="Hipervnculo"/>
                <w:rFonts w:ascii="Times New Roman" w:hAnsi="Times New Roman" w:cs="Times New Roman"/>
                <w:noProof/>
                <w:color w:val="auto"/>
                <w:sz w:val="24"/>
                <w:szCs w:val="24"/>
                <w:lang w:val="es-ES"/>
              </w:rPr>
              <w:t>1.5.1 Política Monetaria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8</w:t>
            </w:r>
            <w:r w:rsidR="00792F70" w:rsidRPr="00792F70">
              <w:rPr>
                <w:rFonts w:ascii="Times New Roman" w:hAnsi="Times New Roman" w:cs="Times New Roman"/>
                <w:noProof/>
                <w:webHidden/>
                <w:sz w:val="24"/>
                <w:szCs w:val="24"/>
              </w:rPr>
              <w:fldChar w:fldCharType="end"/>
            </w:r>
          </w:hyperlink>
        </w:p>
        <w:p w14:paraId="0BFDD35A" w14:textId="2AEDA9C1"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0" w:history="1">
            <w:r w:rsidR="00792F70" w:rsidRPr="00792F70">
              <w:rPr>
                <w:rStyle w:val="Hipervnculo"/>
                <w:rFonts w:ascii="Times New Roman" w:hAnsi="Times New Roman" w:cs="Times New Roman"/>
                <w:noProof/>
                <w:color w:val="auto"/>
                <w:sz w:val="24"/>
                <w:szCs w:val="24"/>
              </w:rPr>
              <w:t>1.5.2 Tipo de cambio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12</w:t>
            </w:r>
            <w:r w:rsidR="00792F70" w:rsidRPr="00792F70">
              <w:rPr>
                <w:rFonts w:ascii="Times New Roman" w:hAnsi="Times New Roman" w:cs="Times New Roman"/>
                <w:noProof/>
                <w:webHidden/>
                <w:sz w:val="24"/>
                <w:szCs w:val="24"/>
              </w:rPr>
              <w:fldChar w:fldCharType="end"/>
            </w:r>
          </w:hyperlink>
        </w:p>
        <w:p w14:paraId="23A1E3E9" w14:textId="68BF2093"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1" w:history="1">
            <w:r w:rsidR="00792F70" w:rsidRPr="00792F70">
              <w:rPr>
                <w:rStyle w:val="Hipervnculo"/>
                <w:rFonts w:ascii="Times New Roman" w:hAnsi="Times New Roman" w:cs="Times New Roman"/>
                <w:noProof/>
                <w:color w:val="auto"/>
                <w:sz w:val="24"/>
                <w:szCs w:val="24"/>
              </w:rPr>
              <w:t>2.1 Descripción del modelo a utilizar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_Toc111757501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15</w:t>
            </w:r>
            <w:r w:rsidR="00792F70" w:rsidRPr="00792F70">
              <w:rPr>
                <w:rFonts w:ascii="Times New Roman" w:hAnsi="Times New Roman" w:cs="Times New Roman"/>
                <w:noProof/>
                <w:webHidden/>
                <w:sz w:val="24"/>
                <w:szCs w:val="24"/>
              </w:rPr>
              <w:fldChar w:fldCharType="end"/>
            </w:r>
          </w:hyperlink>
        </w:p>
        <w:p w14:paraId="14B12EAC" w14:textId="62DCB3E0"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2" w:history="1">
            <w:r w:rsidR="00792F70" w:rsidRPr="00792F70">
              <w:rPr>
                <w:rStyle w:val="Hipervnculo"/>
                <w:rFonts w:ascii="Times New Roman" w:hAnsi="Times New Roman" w:cs="Times New Roman"/>
                <w:noProof/>
                <w:color w:val="auto"/>
                <w:sz w:val="24"/>
                <w:szCs w:val="24"/>
              </w:rPr>
              <w:t>2.2 Estimación del modelo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17</w:t>
            </w:r>
            <w:r w:rsidR="00792F70" w:rsidRPr="00792F70">
              <w:rPr>
                <w:rFonts w:ascii="Times New Roman" w:hAnsi="Times New Roman" w:cs="Times New Roman"/>
                <w:noProof/>
                <w:webHidden/>
                <w:sz w:val="24"/>
                <w:szCs w:val="24"/>
              </w:rPr>
              <w:fldChar w:fldCharType="end"/>
            </w:r>
          </w:hyperlink>
        </w:p>
        <w:p w14:paraId="6C584BD5" w14:textId="7D9F1E7E"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3" w:history="1">
            <w:r w:rsidR="00792F70" w:rsidRPr="00792F70">
              <w:rPr>
                <w:rStyle w:val="Hipervnculo"/>
                <w:rFonts w:ascii="Times New Roman" w:hAnsi="Times New Roman" w:cs="Times New Roman"/>
                <w:noProof/>
                <w:color w:val="auto"/>
                <w:sz w:val="24"/>
                <w:szCs w:val="24"/>
              </w:rPr>
              <w:t>2.3 Especificación del modelo y variables a utilizar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18</w:t>
            </w:r>
            <w:r w:rsidR="00792F70" w:rsidRPr="00792F70">
              <w:rPr>
                <w:rFonts w:ascii="Times New Roman" w:hAnsi="Times New Roman" w:cs="Times New Roman"/>
                <w:noProof/>
                <w:webHidden/>
                <w:sz w:val="24"/>
                <w:szCs w:val="24"/>
              </w:rPr>
              <w:fldChar w:fldCharType="end"/>
            </w:r>
          </w:hyperlink>
        </w:p>
        <w:p w14:paraId="126211EF" w14:textId="2AFA3955"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4" w:history="1">
            <w:r w:rsidR="00792F70" w:rsidRPr="00792F70">
              <w:rPr>
                <w:rStyle w:val="Hipervnculo"/>
                <w:rFonts w:ascii="Times New Roman" w:hAnsi="Times New Roman" w:cs="Times New Roman"/>
                <w:noProof/>
                <w:color w:val="auto"/>
                <w:sz w:val="24"/>
                <w:szCs w:val="24"/>
              </w:rPr>
              <w:t>3. Resultados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21</w:t>
            </w:r>
            <w:r w:rsidR="00792F70" w:rsidRPr="00792F70">
              <w:rPr>
                <w:rFonts w:ascii="Times New Roman" w:hAnsi="Times New Roman" w:cs="Times New Roman"/>
                <w:noProof/>
                <w:webHidden/>
                <w:sz w:val="24"/>
                <w:szCs w:val="24"/>
              </w:rPr>
              <w:fldChar w:fldCharType="end"/>
            </w:r>
          </w:hyperlink>
        </w:p>
        <w:p w14:paraId="5756B27F" w14:textId="3E9A622B"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5" w:history="1">
            <w:r w:rsidR="00792F70" w:rsidRPr="00792F70">
              <w:rPr>
                <w:rStyle w:val="Hipervnculo"/>
                <w:rFonts w:ascii="Times New Roman" w:hAnsi="Times New Roman" w:cs="Times New Roman"/>
                <w:noProof/>
                <w:color w:val="auto"/>
                <w:sz w:val="24"/>
                <w:szCs w:val="24"/>
              </w:rPr>
              <w:t>3.1 Proceso de ajuste del modelo TAR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21</w:t>
            </w:r>
            <w:r w:rsidR="00792F70" w:rsidRPr="00792F70">
              <w:rPr>
                <w:rFonts w:ascii="Times New Roman" w:hAnsi="Times New Roman" w:cs="Times New Roman"/>
                <w:noProof/>
                <w:webHidden/>
                <w:sz w:val="24"/>
                <w:szCs w:val="24"/>
              </w:rPr>
              <w:fldChar w:fldCharType="end"/>
            </w:r>
          </w:hyperlink>
        </w:p>
        <w:p w14:paraId="340AA694" w14:textId="0AA63624"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6" w:history="1">
            <w:r w:rsidR="00792F70" w:rsidRPr="00792F70">
              <w:rPr>
                <w:rStyle w:val="Hipervnculo"/>
                <w:rFonts w:ascii="Times New Roman" w:hAnsi="Times New Roman" w:cs="Times New Roman"/>
                <w:noProof/>
                <w:color w:val="auto"/>
                <w:sz w:val="24"/>
                <w:szCs w:val="24"/>
              </w:rPr>
              <w:t>3.2 Presentación y discusión de los resultados del modelo TAR de 3 regímenes inflacionarios.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23</w:t>
            </w:r>
            <w:r w:rsidR="00792F70" w:rsidRPr="00792F70">
              <w:rPr>
                <w:rFonts w:ascii="Times New Roman" w:hAnsi="Times New Roman" w:cs="Times New Roman"/>
                <w:noProof/>
                <w:webHidden/>
                <w:sz w:val="24"/>
                <w:szCs w:val="24"/>
              </w:rPr>
              <w:fldChar w:fldCharType="end"/>
            </w:r>
          </w:hyperlink>
        </w:p>
        <w:p w14:paraId="17A53996" w14:textId="7EDF3D85"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507" w:history="1">
            <w:r w:rsidR="00792F70" w:rsidRPr="00792F70">
              <w:rPr>
                <w:rStyle w:val="Hipervnculo"/>
                <w:rFonts w:ascii="Times New Roman" w:hAnsi="Times New Roman" w:cs="Times New Roman"/>
                <w:noProof/>
                <w:color w:val="auto"/>
                <w:sz w:val="24"/>
                <w:szCs w:val="24"/>
              </w:rPr>
              <w:t>3.2.1 Discusión de los resultados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24</w:t>
            </w:r>
            <w:r w:rsidR="00792F70" w:rsidRPr="00792F70">
              <w:rPr>
                <w:rFonts w:ascii="Times New Roman" w:hAnsi="Times New Roman" w:cs="Times New Roman"/>
                <w:noProof/>
                <w:webHidden/>
                <w:sz w:val="24"/>
                <w:szCs w:val="24"/>
              </w:rPr>
              <w:fldChar w:fldCharType="end"/>
            </w:r>
          </w:hyperlink>
        </w:p>
        <w:p w14:paraId="389EDD59" w14:textId="477F14B9"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8" w:history="1">
            <w:r w:rsidR="00792F70" w:rsidRPr="00792F70">
              <w:rPr>
                <w:rStyle w:val="Hipervnculo"/>
                <w:rFonts w:ascii="Times New Roman" w:hAnsi="Times New Roman" w:cs="Times New Roman"/>
                <w:noProof/>
                <w:color w:val="auto"/>
                <w:sz w:val="24"/>
                <w:szCs w:val="24"/>
              </w:rPr>
              <w:t>Conclusiones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26</w:t>
            </w:r>
            <w:r w:rsidR="00792F70" w:rsidRPr="00792F70">
              <w:rPr>
                <w:rFonts w:ascii="Times New Roman" w:hAnsi="Times New Roman" w:cs="Times New Roman"/>
                <w:noProof/>
                <w:webHidden/>
                <w:sz w:val="24"/>
                <w:szCs w:val="24"/>
              </w:rPr>
              <w:fldChar w:fldCharType="end"/>
            </w:r>
          </w:hyperlink>
        </w:p>
        <w:p w14:paraId="419E7F77" w14:textId="614240D8"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9" w:history="1">
            <w:r w:rsidR="00792F70" w:rsidRPr="00792F70">
              <w:rPr>
                <w:rStyle w:val="Hipervnculo"/>
                <w:rFonts w:ascii="Times New Roman" w:hAnsi="Times New Roman" w:cs="Times New Roman"/>
                <w:noProof/>
                <w:color w:val="auto"/>
                <w:sz w:val="24"/>
                <w:szCs w:val="24"/>
              </w:rPr>
              <w:t>Referencias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27</w:t>
            </w:r>
            <w:r w:rsidR="00792F70" w:rsidRPr="00792F70">
              <w:rPr>
                <w:rFonts w:ascii="Times New Roman" w:hAnsi="Times New Roman" w:cs="Times New Roman"/>
                <w:noProof/>
                <w:webHidden/>
                <w:sz w:val="24"/>
                <w:szCs w:val="24"/>
              </w:rPr>
              <w:fldChar w:fldCharType="end"/>
            </w:r>
          </w:hyperlink>
        </w:p>
        <w:p w14:paraId="788CD3CA" w14:textId="3C4A44A0"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10" w:history="1">
            <w:r w:rsidR="00792F70" w:rsidRPr="00792F70">
              <w:rPr>
                <w:rStyle w:val="Hipervnculo"/>
                <w:rFonts w:ascii="Times New Roman" w:hAnsi="Times New Roman" w:cs="Times New Roman"/>
                <w:noProof/>
                <w:color w:val="auto"/>
                <w:sz w:val="24"/>
                <w:szCs w:val="24"/>
              </w:rPr>
              <w:t>Anexos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_Toc111757510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471DCE">
              <w:rPr>
                <w:rFonts w:ascii="Times New Roman" w:hAnsi="Times New Roman" w:cs="Times New Roman"/>
                <w:noProof/>
                <w:webHidden/>
                <w:sz w:val="24"/>
                <w:szCs w:val="24"/>
              </w:rPr>
              <w:t>29</w:t>
            </w:r>
            <w:r w:rsidR="00792F70" w:rsidRPr="00792F70">
              <w:rPr>
                <w:rFonts w:ascii="Times New Roman" w:hAnsi="Times New Roman" w:cs="Times New Roman"/>
                <w:noProof/>
                <w:webHidden/>
                <w:sz w:val="24"/>
                <w:szCs w:val="24"/>
              </w:rPr>
              <w:fldChar w:fldCharType="end"/>
            </w:r>
          </w:hyperlink>
        </w:p>
        <w:p w14:paraId="2DA09891" w14:textId="06B6BF38" w:rsidR="00792F70" w:rsidRPr="00792F70" w:rsidRDefault="00792F70" w:rsidP="00792F70">
          <w:pPr>
            <w:spacing w:line="360" w:lineRule="auto"/>
            <w:rPr>
              <w:rFonts w:ascii="Times New Roman" w:hAnsi="Times New Roman" w:cs="Times New Roman"/>
              <w:sz w:val="24"/>
              <w:szCs w:val="24"/>
            </w:rPr>
          </w:pPr>
          <w:r w:rsidRPr="00792F70">
            <w:rPr>
              <w:rFonts w:ascii="Times New Roman" w:hAnsi="Times New Roman" w:cs="Times New Roman"/>
              <w:sz w:val="24"/>
              <w:szCs w:val="24"/>
              <w:lang w:val="es-ES"/>
            </w:rPr>
            <w:fldChar w:fldCharType="end"/>
          </w:r>
        </w:p>
      </w:sdtContent>
    </w:sdt>
    <w:p w14:paraId="29F60495" w14:textId="3C1E9BF7" w:rsidR="001D5363" w:rsidRDefault="001D5363" w:rsidP="006F75CF">
      <w:pPr>
        <w:spacing w:line="360" w:lineRule="auto"/>
        <w:jc w:val="both"/>
      </w:pPr>
    </w:p>
    <w:p w14:paraId="7D522094" w14:textId="52B8C367" w:rsidR="00792F70" w:rsidRDefault="00792F70" w:rsidP="006F75CF">
      <w:pPr>
        <w:spacing w:line="360" w:lineRule="auto"/>
        <w:jc w:val="both"/>
      </w:pPr>
    </w:p>
    <w:p w14:paraId="152D2727" w14:textId="5F153F8B" w:rsidR="00792F70" w:rsidRDefault="00792F70" w:rsidP="006F75CF">
      <w:pPr>
        <w:spacing w:line="360" w:lineRule="auto"/>
        <w:jc w:val="both"/>
      </w:pPr>
    </w:p>
    <w:p w14:paraId="4D33A6EA" w14:textId="29767CAE" w:rsidR="00792F70" w:rsidRDefault="00792F70" w:rsidP="006F75CF">
      <w:pPr>
        <w:spacing w:line="360" w:lineRule="auto"/>
        <w:jc w:val="both"/>
      </w:pPr>
    </w:p>
    <w:p w14:paraId="4199DA2E" w14:textId="7BA72D50" w:rsidR="00792F70" w:rsidRDefault="00792F70" w:rsidP="006F75CF">
      <w:pPr>
        <w:spacing w:line="360" w:lineRule="auto"/>
        <w:jc w:val="both"/>
      </w:pPr>
    </w:p>
    <w:p w14:paraId="57824149" w14:textId="7BF8BC0A" w:rsidR="00792F70" w:rsidRDefault="00792F70" w:rsidP="006F75CF">
      <w:pPr>
        <w:spacing w:line="360" w:lineRule="auto"/>
        <w:jc w:val="both"/>
      </w:pPr>
    </w:p>
    <w:p w14:paraId="1052D91A" w14:textId="282FDAAC" w:rsidR="00792F70" w:rsidRDefault="00792F70" w:rsidP="006F75CF">
      <w:pPr>
        <w:spacing w:line="360" w:lineRule="auto"/>
        <w:jc w:val="both"/>
      </w:pPr>
    </w:p>
    <w:p w14:paraId="4EE4BAB8" w14:textId="54787F59" w:rsidR="00792F70" w:rsidRDefault="00792F70" w:rsidP="006F75CF">
      <w:pPr>
        <w:spacing w:line="360" w:lineRule="auto"/>
        <w:jc w:val="both"/>
      </w:pPr>
    </w:p>
    <w:p w14:paraId="2DBA683A" w14:textId="07D34471" w:rsidR="00792F70" w:rsidRDefault="00792F70" w:rsidP="006F75CF">
      <w:pPr>
        <w:spacing w:line="360" w:lineRule="auto"/>
        <w:jc w:val="both"/>
      </w:pPr>
    </w:p>
    <w:p w14:paraId="4EF5504F" w14:textId="20186369" w:rsidR="00792F70" w:rsidRDefault="00792F70" w:rsidP="006F75CF">
      <w:pPr>
        <w:spacing w:line="360" w:lineRule="auto"/>
        <w:jc w:val="both"/>
      </w:pPr>
    </w:p>
    <w:p w14:paraId="62AA7049" w14:textId="162EDEDE" w:rsidR="00792F70" w:rsidRDefault="00792F70" w:rsidP="006F75CF">
      <w:pPr>
        <w:spacing w:line="360" w:lineRule="auto"/>
        <w:jc w:val="both"/>
      </w:pPr>
    </w:p>
    <w:p w14:paraId="1F28961C" w14:textId="20FBCCAE" w:rsidR="00792F70" w:rsidRDefault="00792F70" w:rsidP="006F75CF">
      <w:pPr>
        <w:spacing w:line="360" w:lineRule="auto"/>
        <w:jc w:val="both"/>
      </w:pPr>
    </w:p>
    <w:p w14:paraId="76E80214" w14:textId="4EC84DDE" w:rsidR="00792F70" w:rsidRDefault="00792F70" w:rsidP="006F75CF">
      <w:pPr>
        <w:spacing w:line="360" w:lineRule="auto"/>
        <w:jc w:val="both"/>
      </w:pPr>
    </w:p>
    <w:p w14:paraId="756019E2" w14:textId="54FE1F46" w:rsidR="00792F70" w:rsidRDefault="00792F70" w:rsidP="006F75CF">
      <w:pPr>
        <w:spacing w:line="360" w:lineRule="auto"/>
        <w:jc w:val="both"/>
      </w:pPr>
    </w:p>
    <w:p w14:paraId="34029D58" w14:textId="4CD7FF43" w:rsidR="00792F70" w:rsidRDefault="00792F70" w:rsidP="006F75CF">
      <w:pPr>
        <w:spacing w:line="360" w:lineRule="auto"/>
        <w:jc w:val="both"/>
      </w:pPr>
    </w:p>
    <w:p w14:paraId="41D6E8DD" w14:textId="77777777" w:rsidR="00792F70" w:rsidRDefault="00792F70" w:rsidP="006F75CF">
      <w:pPr>
        <w:spacing w:line="360" w:lineRule="auto"/>
        <w:jc w:val="both"/>
        <w:sectPr w:rsidR="00792F70" w:rsidSect="00905A9D">
          <w:pgSz w:w="12240" w:h="15840"/>
          <w:pgMar w:top="1417" w:right="1701" w:bottom="1417" w:left="1701" w:header="709" w:footer="709" w:gutter="0"/>
          <w:cols w:space="708"/>
          <w:docGrid w:linePitch="360"/>
        </w:sectPr>
      </w:pPr>
    </w:p>
    <w:p w14:paraId="3DDA9DCB" w14:textId="531F196A" w:rsidR="005B22D8" w:rsidRPr="0028050B" w:rsidRDefault="005B22D8" w:rsidP="00A23F2B">
      <w:pPr>
        <w:pStyle w:val="Ttulo1"/>
        <w:spacing w:line="360" w:lineRule="auto"/>
        <w:jc w:val="center"/>
        <w:rPr>
          <w:rFonts w:ascii="Times New Roman" w:hAnsi="Times New Roman" w:cs="Times New Roman"/>
          <w:b/>
          <w:bCs/>
          <w:color w:val="auto"/>
          <w:sz w:val="24"/>
          <w:szCs w:val="24"/>
        </w:rPr>
      </w:pPr>
      <w:bookmarkStart w:id="0" w:name="_Toc111757481"/>
      <w:r w:rsidRPr="0028050B">
        <w:rPr>
          <w:rFonts w:ascii="Times New Roman" w:hAnsi="Times New Roman" w:cs="Times New Roman"/>
          <w:b/>
          <w:bCs/>
          <w:color w:val="auto"/>
          <w:sz w:val="24"/>
          <w:szCs w:val="24"/>
        </w:rPr>
        <w:lastRenderedPageBreak/>
        <w:t>Introducción</w:t>
      </w:r>
      <w:bookmarkEnd w:id="0"/>
    </w:p>
    <w:p w14:paraId="478EE2A1" w14:textId="1C1CBA5F" w:rsidR="001E2559" w:rsidRDefault="001E255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1989 Guatemala comenzó un proceso de transformación económica y financiera</w:t>
      </w:r>
      <w:r w:rsidR="00410B61">
        <w:rPr>
          <w:rFonts w:ascii="Times New Roman" w:hAnsi="Times New Roman" w:cs="Times New Roman"/>
          <w:sz w:val="24"/>
          <w:szCs w:val="24"/>
        </w:rPr>
        <w:t>. El camino iniciaría</w:t>
      </w:r>
      <w:r w:rsidR="000D0E5F">
        <w:rPr>
          <w:rFonts w:ascii="Times New Roman" w:hAnsi="Times New Roman" w:cs="Times New Roman"/>
          <w:sz w:val="24"/>
          <w:szCs w:val="24"/>
        </w:rPr>
        <w:t xml:space="preserve"> con la</w:t>
      </w:r>
      <w:r>
        <w:rPr>
          <w:rFonts w:ascii="Times New Roman" w:hAnsi="Times New Roman" w:cs="Times New Roman"/>
          <w:sz w:val="24"/>
          <w:szCs w:val="24"/>
        </w:rPr>
        <w:t xml:space="preserve"> </w:t>
      </w:r>
      <w:r w:rsidR="000D0E5F">
        <w:rPr>
          <w:rFonts w:ascii="Times New Roman" w:hAnsi="Times New Roman" w:cs="Times New Roman"/>
          <w:sz w:val="24"/>
          <w:szCs w:val="24"/>
        </w:rPr>
        <w:t>liberación</w:t>
      </w:r>
      <w:r w:rsidR="00410B61">
        <w:rPr>
          <w:rFonts w:ascii="Times New Roman" w:hAnsi="Times New Roman" w:cs="Times New Roman"/>
          <w:sz w:val="24"/>
          <w:szCs w:val="24"/>
        </w:rPr>
        <w:t xml:space="preserve"> </w:t>
      </w:r>
      <w:r w:rsidR="000D0E5F">
        <w:rPr>
          <w:rFonts w:ascii="Times New Roman" w:hAnsi="Times New Roman" w:cs="Times New Roman"/>
          <w:sz w:val="24"/>
          <w:szCs w:val="24"/>
        </w:rPr>
        <w:t>d</w:t>
      </w:r>
      <w:r>
        <w:rPr>
          <w:rFonts w:ascii="Times New Roman" w:hAnsi="Times New Roman" w:cs="Times New Roman"/>
          <w:sz w:val="24"/>
          <w:szCs w:val="24"/>
        </w:rPr>
        <w:t xml:space="preserve">el tipo de cambio </w:t>
      </w:r>
      <w:r w:rsidR="00410B61">
        <w:rPr>
          <w:rFonts w:ascii="Times New Roman" w:hAnsi="Times New Roman" w:cs="Times New Roman"/>
          <w:sz w:val="24"/>
          <w:szCs w:val="24"/>
        </w:rPr>
        <w:t>y</w:t>
      </w:r>
      <w:r>
        <w:rPr>
          <w:rFonts w:ascii="Times New Roman" w:hAnsi="Times New Roman" w:cs="Times New Roman"/>
          <w:sz w:val="24"/>
          <w:szCs w:val="24"/>
        </w:rPr>
        <w:t xml:space="preserve"> las tasas de interés</w:t>
      </w:r>
      <w:r w:rsidR="00310869">
        <w:rPr>
          <w:rFonts w:ascii="Times New Roman" w:hAnsi="Times New Roman" w:cs="Times New Roman"/>
          <w:sz w:val="24"/>
          <w:szCs w:val="24"/>
        </w:rPr>
        <w:t xml:space="preserve"> lo que</w:t>
      </w:r>
      <w:r>
        <w:rPr>
          <w:rFonts w:ascii="Times New Roman" w:hAnsi="Times New Roman" w:cs="Times New Roman"/>
          <w:sz w:val="24"/>
          <w:szCs w:val="24"/>
        </w:rPr>
        <w:t xml:space="preserve"> permitió una mayor libertad al Banco de Guatemala al momento de implementar la Política Monetaria </w:t>
      </w:r>
      <w:r w:rsidR="00340A20">
        <w:rPr>
          <w:rFonts w:ascii="Times New Roman" w:hAnsi="Times New Roman" w:cs="Times New Roman"/>
          <w:sz w:val="24"/>
          <w:szCs w:val="24"/>
        </w:rPr>
        <w:t>y</w:t>
      </w:r>
      <w:r w:rsidR="00410B61">
        <w:rPr>
          <w:rFonts w:ascii="Times New Roman" w:hAnsi="Times New Roman" w:cs="Times New Roman"/>
          <w:sz w:val="24"/>
          <w:szCs w:val="24"/>
        </w:rPr>
        <w:t xml:space="preserve"> así </w:t>
      </w:r>
      <w:r w:rsidR="00340A20">
        <w:rPr>
          <w:rFonts w:ascii="Times New Roman" w:hAnsi="Times New Roman" w:cs="Times New Roman"/>
          <w:sz w:val="24"/>
          <w:szCs w:val="24"/>
        </w:rPr>
        <w:t xml:space="preserve">poder </w:t>
      </w:r>
      <w:r w:rsidR="00B27A39">
        <w:rPr>
          <w:rFonts w:ascii="Times New Roman" w:hAnsi="Times New Roman" w:cs="Times New Roman"/>
          <w:sz w:val="24"/>
          <w:szCs w:val="24"/>
        </w:rPr>
        <w:t>concentrarse directamente en la inflación.</w:t>
      </w:r>
    </w:p>
    <w:p w14:paraId="5C0B0F7E" w14:textId="55F736F8" w:rsidR="005B22D8" w:rsidRDefault="00AC5B1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liberación de tasas de interés y tipo de cambio solo </w:t>
      </w:r>
      <w:r w:rsidR="00340A20">
        <w:rPr>
          <w:rFonts w:ascii="Times New Roman" w:hAnsi="Times New Roman" w:cs="Times New Roman"/>
          <w:sz w:val="24"/>
          <w:szCs w:val="24"/>
        </w:rPr>
        <w:t>fue</w:t>
      </w:r>
      <w:r>
        <w:rPr>
          <w:rFonts w:ascii="Times New Roman" w:hAnsi="Times New Roman" w:cs="Times New Roman"/>
          <w:sz w:val="24"/>
          <w:szCs w:val="24"/>
        </w:rPr>
        <w:t xml:space="preserve"> un primer paso dentro de un proceso </w:t>
      </w:r>
      <w:r w:rsidR="00D50226">
        <w:rPr>
          <w:rFonts w:ascii="Times New Roman" w:hAnsi="Times New Roman" w:cs="Times New Roman"/>
          <w:sz w:val="24"/>
          <w:szCs w:val="24"/>
        </w:rPr>
        <w:t>que continuo</w:t>
      </w:r>
      <w:r w:rsidR="00C14F7A">
        <w:rPr>
          <w:rFonts w:ascii="Times New Roman" w:hAnsi="Times New Roman" w:cs="Times New Roman"/>
          <w:sz w:val="24"/>
          <w:szCs w:val="24"/>
        </w:rPr>
        <w:t xml:space="preserve"> con un conjunto extenso de reformas. Entre las más importantes se encuentra la aprobación por parte de Junta Monetaria de la resolución JM-167-93 mediante la cual se buscaba poner en práctica el Programa de Modernización Financiera, la reforma constitucional de 1994 que eliminaba la posibilidad de que el Banco de Guatemala otorgara financiamiento directo o indirecto al Estado, la aprobación de la ley de libre negociación de divisas en el año 2000</w:t>
      </w:r>
      <w:r w:rsidR="00DB3DFD">
        <w:rPr>
          <w:rFonts w:ascii="Times New Roman" w:hAnsi="Times New Roman" w:cs="Times New Roman"/>
          <w:sz w:val="24"/>
          <w:szCs w:val="24"/>
        </w:rPr>
        <w:t xml:space="preserve"> y por </w:t>
      </w:r>
      <w:r w:rsidR="00FA2EC3">
        <w:rPr>
          <w:rFonts w:ascii="Times New Roman" w:hAnsi="Times New Roman" w:cs="Times New Roman"/>
          <w:sz w:val="24"/>
          <w:szCs w:val="24"/>
        </w:rPr>
        <w:t>último,</w:t>
      </w:r>
      <w:r w:rsidR="00DB3DFD">
        <w:rPr>
          <w:rFonts w:ascii="Times New Roman" w:hAnsi="Times New Roman" w:cs="Times New Roman"/>
          <w:sz w:val="24"/>
          <w:szCs w:val="24"/>
        </w:rPr>
        <w:t xml:space="preserve"> la emisión de la</w:t>
      </w:r>
      <w:r w:rsidR="00FA2EC3">
        <w:rPr>
          <w:rFonts w:ascii="Times New Roman" w:hAnsi="Times New Roman" w:cs="Times New Roman"/>
          <w:sz w:val="24"/>
          <w:szCs w:val="24"/>
        </w:rPr>
        <w:t>s leyes</w:t>
      </w:r>
      <w:r w:rsidR="00DB3DFD">
        <w:rPr>
          <w:rFonts w:ascii="Times New Roman" w:hAnsi="Times New Roman" w:cs="Times New Roman"/>
          <w:sz w:val="24"/>
          <w:szCs w:val="24"/>
        </w:rPr>
        <w:t xml:space="preserve"> de Supervisión Financiera, Ley de Bancos y Grupos Financieros, y la Ley Orgánica del Banco de Guatemala, todas del año 2002.</w:t>
      </w:r>
    </w:p>
    <w:p w14:paraId="05B61CFC" w14:textId="6171E0DC" w:rsidR="00E17B26" w:rsidRDefault="00E17B2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Todo lo anterior cambio el rostro del entorno financiero volviéndolo más libre y diversificando </w:t>
      </w:r>
      <w:r w:rsidR="00920E1C">
        <w:rPr>
          <w:rFonts w:ascii="Times New Roman" w:hAnsi="Times New Roman" w:cs="Times New Roman"/>
          <w:sz w:val="24"/>
          <w:szCs w:val="24"/>
        </w:rPr>
        <w:t xml:space="preserve">la oferta de productos y servicios por parte </w:t>
      </w:r>
      <w:r w:rsidR="000D0E5F">
        <w:rPr>
          <w:rFonts w:ascii="Times New Roman" w:hAnsi="Times New Roman" w:cs="Times New Roman"/>
          <w:sz w:val="24"/>
          <w:szCs w:val="24"/>
        </w:rPr>
        <w:t>del sector bancario.</w:t>
      </w:r>
      <w:r w:rsidR="00920E1C">
        <w:rPr>
          <w:rFonts w:ascii="Times New Roman" w:hAnsi="Times New Roman" w:cs="Times New Roman"/>
          <w:sz w:val="24"/>
          <w:szCs w:val="24"/>
        </w:rPr>
        <w:t xml:space="preserve"> Además de lo anterior</w:t>
      </w:r>
      <w:r w:rsidR="000D0E5F">
        <w:rPr>
          <w:rFonts w:ascii="Times New Roman" w:hAnsi="Times New Roman" w:cs="Times New Roman"/>
          <w:sz w:val="24"/>
          <w:szCs w:val="24"/>
        </w:rPr>
        <w:t>,</w:t>
      </w:r>
      <w:r w:rsidR="00920E1C">
        <w:rPr>
          <w:rFonts w:ascii="Times New Roman" w:hAnsi="Times New Roman" w:cs="Times New Roman"/>
          <w:sz w:val="24"/>
          <w:szCs w:val="24"/>
        </w:rPr>
        <w:t xml:space="preserve"> las reformas </w:t>
      </w:r>
      <w:r w:rsidR="00F31BA9">
        <w:rPr>
          <w:rFonts w:ascii="Times New Roman" w:hAnsi="Times New Roman" w:cs="Times New Roman"/>
          <w:sz w:val="24"/>
          <w:szCs w:val="24"/>
        </w:rPr>
        <w:t>concedieron mayor autonómica al Banco de Guatemala lo que le permitió implementar la política monetaria en función de la consecución de la estabilidad en el nivel general de precios</w:t>
      </w:r>
      <w:r w:rsidR="00FA2EC3">
        <w:rPr>
          <w:rFonts w:ascii="Times New Roman" w:hAnsi="Times New Roman" w:cs="Times New Roman"/>
          <w:sz w:val="24"/>
          <w:szCs w:val="24"/>
        </w:rPr>
        <w:t xml:space="preserve">, objetivo primordial según </w:t>
      </w:r>
      <w:r w:rsidR="009B6DA2">
        <w:rPr>
          <w:rFonts w:ascii="Times New Roman" w:hAnsi="Times New Roman" w:cs="Times New Roman"/>
          <w:sz w:val="24"/>
          <w:szCs w:val="24"/>
        </w:rPr>
        <w:t>narra el artículo 3 de su ley orgánica</w:t>
      </w:r>
      <w:r w:rsidR="00F31BA9">
        <w:rPr>
          <w:rFonts w:ascii="Times New Roman" w:hAnsi="Times New Roman" w:cs="Times New Roman"/>
          <w:sz w:val="24"/>
          <w:szCs w:val="24"/>
        </w:rPr>
        <w:t>.</w:t>
      </w:r>
    </w:p>
    <w:p w14:paraId="4DA53222" w14:textId="3F8335C9" w:rsidR="00920E1C" w:rsidRDefault="00920E1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toda la década de los 90’s</w:t>
      </w:r>
      <w:r w:rsidR="00CC690F">
        <w:rPr>
          <w:rFonts w:ascii="Times New Roman" w:hAnsi="Times New Roman" w:cs="Times New Roman"/>
          <w:sz w:val="24"/>
          <w:szCs w:val="24"/>
        </w:rPr>
        <w:t xml:space="preserve"> hasta el año 2005 el Banco de Guatemala implementaba el Esquema de Agregados Monetarios </w:t>
      </w:r>
      <w:r w:rsidR="007E0BC1">
        <w:rPr>
          <w:rFonts w:ascii="Times New Roman" w:hAnsi="Times New Roman" w:cs="Times New Roman"/>
          <w:sz w:val="24"/>
          <w:szCs w:val="24"/>
        </w:rPr>
        <w:t>teniendo como ancla nominal la emisión monetaria. Este periodo tuvo dos características importantes, la primera de ellas es el</w:t>
      </w:r>
      <w:r w:rsidR="00310869">
        <w:rPr>
          <w:rFonts w:ascii="Times New Roman" w:hAnsi="Times New Roman" w:cs="Times New Roman"/>
          <w:sz w:val="24"/>
          <w:szCs w:val="24"/>
        </w:rPr>
        <w:t xml:space="preserve"> éxito del</w:t>
      </w:r>
      <w:r w:rsidR="007E0BC1">
        <w:rPr>
          <w:rFonts w:ascii="Times New Roman" w:hAnsi="Times New Roman" w:cs="Times New Roman"/>
          <w:sz w:val="24"/>
          <w:szCs w:val="24"/>
        </w:rPr>
        <w:t xml:space="preserve"> banco central</w:t>
      </w:r>
      <w:r w:rsidR="00310869">
        <w:rPr>
          <w:rFonts w:ascii="Times New Roman" w:hAnsi="Times New Roman" w:cs="Times New Roman"/>
          <w:sz w:val="24"/>
          <w:szCs w:val="24"/>
        </w:rPr>
        <w:t xml:space="preserve"> </w:t>
      </w:r>
      <w:r w:rsidR="007E0BC1">
        <w:rPr>
          <w:rFonts w:ascii="Times New Roman" w:hAnsi="Times New Roman" w:cs="Times New Roman"/>
          <w:sz w:val="24"/>
          <w:szCs w:val="24"/>
        </w:rPr>
        <w:t>en el control de la inflación</w:t>
      </w:r>
      <w:r w:rsidR="007F070B">
        <w:rPr>
          <w:rFonts w:ascii="Times New Roman" w:hAnsi="Times New Roman" w:cs="Times New Roman"/>
          <w:sz w:val="24"/>
          <w:szCs w:val="24"/>
        </w:rPr>
        <w:t xml:space="preserve"> logrando una disminución </w:t>
      </w:r>
      <w:r w:rsidR="00E60E35">
        <w:rPr>
          <w:rFonts w:ascii="Times New Roman" w:hAnsi="Times New Roman" w:cs="Times New Roman"/>
          <w:sz w:val="24"/>
          <w:szCs w:val="24"/>
        </w:rPr>
        <w:t>desde un máximo del 60.67% hasta</w:t>
      </w:r>
      <w:r w:rsidR="007E0BC1">
        <w:rPr>
          <w:rFonts w:ascii="Times New Roman" w:hAnsi="Times New Roman" w:cs="Times New Roman"/>
          <w:sz w:val="24"/>
          <w:szCs w:val="24"/>
        </w:rPr>
        <w:t xml:space="preserve"> </w:t>
      </w:r>
      <w:r w:rsidR="00E60E35">
        <w:rPr>
          <w:rFonts w:ascii="Times New Roman" w:hAnsi="Times New Roman" w:cs="Times New Roman"/>
          <w:sz w:val="24"/>
          <w:szCs w:val="24"/>
        </w:rPr>
        <w:t>presentar</w:t>
      </w:r>
      <w:r w:rsidR="009B6DA2">
        <w:rPr>
          <w:rFonts w:ascii="Times New Roman" w:hAnsi="Times New Roman" w:cs="Times New Roman"/>
          <w:sz w:val="24"/>
          <w:szCs w:val="24"/>
        </w:rPr>
        <w:t xml:space="preserve"> una media</w:t>
      </w:r>
      <w:r w:rsidR="00127777">
        <w:rPr>
          <w:rFonts w:ascii="Times New Roman" w:hAnsi="Times New Roman" w:cs="Times New Roman"/>
          <w:sz w:val="24"/>
          <w:szCs w:val="24"/>
        </w:rPr>
        <w:t xml:space="preserve"> 12.61% en el periodo luego de la liberación del tipo de cambio hasta la finalización del esquema de agregados monetarios y segundo, una marcada depreciación del tipo de cambio nominal.</w:t>
      </w:r>
    </w:p>
    <w:p w14:paraId="072A3676" w14:textId="53D288A0" w:rsidR="00E60E35" w:rsidRDefault="00E60E35"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w:t>
      </w:r>
      <w:r w:rsidR="00BB7747">
        <w:rPr>
          <w:rFonts w:ascii="Times New Roman" w:hAnsi="Times New Roman" w:cs="Times New Roman"/>
          <w:sz w:val="24"/>
          <w:szCs w:val="24"/>
        </w:rPr>
        <w:t>lado,</w:t>
      </w:r>
      <w:r>
        <w:rPr>
          <w:rFonts w:ascii="Times New Roman" w:hAnsi="Times New Roman" w:cs="Times New Roman"/>
          <w:sz w:val="24"/>
          <w:szCs w:val="24"/>
        </w:rPr>
        <w:t xml:space="preserve"> desde que el Banco de Guatemala adoptó</w:t>
      </w:r>
      <w:r w:rsidR="00BB7747">
        <w:rPr>
          <w:rFonts w:ascii="Times New Roman" w:hAnsi="Times New Roman" w:cs="Times New Roman"/>
          <w:sz w:val="24"/>
          <w:szCs w:val="24"/>
        </w:rPr>
        <w:t xml:space="preserve"> oficialmente</w:t>
      </w:r>
      <w:r>
        <w:rPr>
          <w:rFonts w:ascii="Times New Roman" w:hAnsi="Times New Roman" w:cs="Times New Roman"/>
          <w:sz w:val="24"/>
          <w:szCs w:val="24"/>
        </w:rPr>
        <w:t xml:space="preserve"> el Esquema de Metas Explicitas de Inflación</w:t>
      </w:r>
      <w:r w:rsidR="00AA3DB5">
        <w:rPr>
          <w:rFonts w:ascii="Times New Roman" w:hAnsi="Times New Roman" w:cs="Times New Roman"/>
          <w:sz w:val="24"/>
          <w:szCs w:val="24"/>
        </w:rPr>
        <w:t xml:space="preserve"> (EMEI)</w:t>
      </w:r>
      <w:r w:rsidR="00BB7747">
        <w:rPr>
          <w:rFonts w:ascii="Times New Roman" w:hAnsi="Times New Roman" w:cs="Times New Roman"/>
          <w:sz w:val="24"/>
          <w:szCs w:val="24"/>
        </w:rPr>
        <w:t xml:space="preserve"> en el año 2005</w:t>
      </w:r>
      <w:r>
        <w:rPr>
          <w:rFonts w:ascii="Times New Roman" w:hAnsi="Times New Roman" w:cs="Times New Roman"/>
          <w:sz w:val="24"/>
          <w:szCs w:val="24"/>
        </w:rPr>
        <w:t xml:space="preserve"> este </w:t>
      </w:r>
      <w:r w:rsidR="005C5D3D">
        <w:rPr>
          <w:rFonts w:ascii="Times New Roman" w:hAnsi="Times New Roman" w:cs="Times New Roman"/>
          <w:sz w:val="24"/>
          <w:szCs w:val="24"/>
        </w:rPr>
        <w:t>demostró tener</w:t>
      </w:r>
      <w:r>
        <w:rPr>
          <w:rFonts w:ascii="Times New Roman" w:hAnsi="Times New Roman" w:cs="Times New Roman"/>
          <w:sz w:val="24"/>
          <w:szCs w:val="24"/>
        </w:rPr>
        <w:t xml:space="preserve"> un mayor éxito en el manejo de inflación presentando una </w:t>
      </w:r>
      <w:r w:rsidR="00BB7747">
        <w:rPr>
          <w:rFonts w:ascii="Times New Roman" w:hAnsi="Times New Roman" w:cs="Times New Roman"/>
          <w:sz w:val="24"/>
          <w:szCs w:val="24"/>
        </w:rPr>
        <w:t>media de 4.91%</w:t>
      </w:r>
      <w:r w:rsidR="00A84CB4">
        <w:rPr>
          <w:rFonts w:ascii="Times New Roman" w:hAnsi="Times New Roman" w:cs="Times New Roman"/>
          <w:sz w:val="24"/>
          <w:szCs w:val="24"/>
        </w:rPr>
        <w:t xml:space="preserve"> </w:t>
      </w:r>
      <w:r w:rsidR="005C5D3D">
        <w:rPr>
          <w:rFonts w:ascii="Times New Roman" w:hAnsi="Times New Roman" w:cs="Times New Roman"/>
          <w:sz w:val="24"/>
          <w:szCs w:val="24"/>
        </w:rPr>
        <w:t xml:space="preserve">hasta la fecha </w:t>
      </w:r>
      <w:r w:rsidR="00A84CB4">
        <w:rPr>
          <w:rFonts w:ascii="Times New Roman" w:hAnsi="Times New Roman" w:cs="Times New Roman"/>
          <w:sz w:val="24"/>
          <w:szCs w:val="24"/>
        </w:rPr>
        <w:t>además</w:t>
      </w:r>
      <w:r w:rsidR="005C5D3D">
        <w:rPr>
          <w:rFonts w:ascii="Times New Roman" w:hAnsi="Times New Roman" w:cs="Times New Roman"/>
          <w:sz w:val="24"/>
          <w:szCs w:val="24"/>
        </w:rPr>
        <w:t xml:space="preserve"> de conseguir el </w:t>
      </w:r>
      <w:r w:rsidR="00A84CB4">
        <w:rPr>
          <w:rFonts w:ascii="Times New Roman" w:hAnsi="Times New Roman" w:cs="Times New Roman"/>
          <w:sz w:val="24"/>
          <w:szCs w:val="24"/>
        </w:rPr>
        <w:lastRenderedPageBreak/>
        <w:t>anclaje de las expectativas de inflación de los agentes, algo que fue</w:t>
      </w:r>
      <w:r w:rsidR="00BB7747">
        <w:rPr>
          <w:rFonts w:ascii="Times New Roman" w:hAnsi="Times New Roman" w:cs="Times New Roman"/>
          <w:sz w:val="24"/>
          <w:szCs w:val="24"/>
        </w:rPr>
        <w:t xml:space="preserve"> acompañado de un periodo de estabilidad cambiaria.</w:t>
      </w:r>
    </w:p>
    <w:p w14:paraId="35705B7D" w14:textId="68FEFF9A" w:rsidR="00127777" w:rsidRDefault="00A84CB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Aunado a lo anterior</w:t>
      </w:r>
      <w:r w:rsidR="005C5D3D">
        <w:rPr>
          <w:rFonts w:ascii="Times New Roman" w:hAnsi="Times New Roman" w:cs="Times New Roman"/>
          <w:sz w:val="24"/>
          <w:szCs w:val="24"/>
        </w:rPr>
        <w:t>,</w:t>
      </w:r>
      <w:r>
        <w:rPr>
          <w:rFonts w:ascii="Times New Roman" w:hAnsi="Times New Roman" w:cs="Times New Roman"/>
          <w:sz w:val="24"/>
          <w:szCs w:val="24"/>
        </w:rPr>
        <w:t xml:space="preserve"> los datos estadísticos muestran que el periodo inmediato a la liberación del tipo de cambio la inflación creció en gran medida siendo esto uno de los posibles motivos de tal comportamiento, pero posterior a ello y debido </w:t>
      </w:r>
      <w:r w:rsidR="005C5D3D">
        <w:rPr>
          <w:rFonts w:ascii="Times New Roman" w:hAnsi="Times New Roman" w:cs="Times New Roman"/>
          <w:sz w:val="24"/>
          <w:szCs w:val="24"/>
        </w:rPr>
        <w:t>a la pronta respuesta</w:t>
      </w:r>
      <w:r>
        <w:rPr>
          <w:rFonts w:ascii="Times New Roman" w:hAnsi="Times New Roman" w:cs="Times New Roman"/>
          <w:sz w:val="24"/>
          <w:szCs w:val="24"/>
        </w:rPr>
        <w:t xml:space="preserve"> del Banco de Guatemala la inflación </w:t>
      </w:r>
      <w:r w:rsidR="005C5D3D">
        <w:rPr>
          <w:rFonts w:ascii="Times New Roman" w:hAnsi="Times New Roman" w:cs="Times New Roman"/>
          <w:sz w:val="24"/>
          <w:szCs w:val="24"/>
        </w:rPr>
        <w:t>muestra una marcada disminución</w:t>
      </w:r>
      <w:r>
        <w:rPr>
          <w:rFonts w:ascii="Times New Roman" w:hAnsi="Times New Roman" w:cs="Times New Roman"/>
          <w:sz w:val="24"/>
          <w:szCs w:val="24"/>
        </w:rPr>
        <w:t xml:space="preserve"> y</w:t>
      </w:r>
      <w:r w:rsidR="005C5D3D">
        <w:rPr>
          <w:rFonts w:ascii="Times New Roman" w:hAnsi="Times New Roman" w:cs="Times New Roman"/>
          <w:sz w:val="24"/>
          <w:szCs w:val="24"/>
        </w:rPr>
        <w:t xml:space="preserve"> </w:t>
      </w:r>
      <w:r>
        <w:rPr>
          <w:rFonts w:ascii="Times New Roman" w:hAnsi="Times New Roman" w:cs="Times New Roman"/>
          <w:sz w:val="24"/>
          <w:szCs w:val="24"/>
        </w:rPr>
        <w:t>parece haber un periodo de disociación entre tipo de cambio e inflación.</w:t>
      </w:r>
    </w:p>
    <w:p w14:paraId="4014A2B8" w14:textId="37FB63CA" w:rsidR="00A84CB4" w:rsidRPr="0028050B" w:rsidRDefault="00CC11E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Aunque de forma preliminar las series históricas de inflación y tipo de cambio no muestren una relación evidente es importante ahondar en el tema y preguntarse el </w:t>
      </w:r>
      <w:r w:rsidR="00792F70">
        <w:rPr>
          <w:rFonts w:ascii="Times New Roman" w:hAnsi="Times New Roman" w:cs="Times New Roman"/>
          <w:sz w:val="24"/>
          <w:szCs w:val="24"/>
        </w:rPr>
        <w:t>porqué</w:t>
      </w:r>
      <w:r>
        <w:rPr>
          <w:rFonts w:ascii="Times New Roman" w:hAnsi="Times New Roman" w:cs="Times New Roman"/>
          <w:sz w:val="24"/>
          <w:szCs w:val="24"/>
        </w:rPr>
        <w:t xml:space="preserve"> de esta disociación. Para ello se tomó de referencia la hipótesis propuesta por John B. Taylor a finales de la década de los 90’s quien propone que los escenarios de inflación baja y estable atenúan los choques sobre los precios, incluidos los choques cambiarios, por lo que una disminución del efecto traspaso del tipo de cambio a precios (pass-through) </w:t>
      </w:r>
      <w:r w:rsidR="00AA3DB5">
        <w:rPr>
          <w:rFonts w:ascii="Times New Roman" w:hAnsi="Times New Roman" w:cs="Times New Roman"/>
          <w:sz w:val="24"/>
          <w:szCs w:val="24"/>
        </w:rPr>
        <w:t>puede deberse a la labor que ha llevado a cabo el Banco de Guatemala en mantener la inflación baja y estable incluso antes de la implementación del EMEI.</w:t>
      </w:r>
    </w:p>
    <w:p w14:paraId="4CCCFC15" w14:textId="64F85487" w:rsidR="005B22D8" w:rsidRPr="0028050B" w:rsidRDefault="008F4C9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Por tal razón en el presente trabajo</w:t>
      </w:r>
      <w:r w:rsidR="00AA3DB5">
        <w:rPr>
          <w:rFonts w:ascii="Times New Roman" w:hAnsi="Times New Roman" w:cs="Times New Roman"/>
          <w:sz w:val="24"/>
          <w:szCs w:val="24"/>
        </w:rPr>
        <w:t xml:space="preserve"> se implementó un modelo autorregresivo por umbrales (TAR por sus siglas en ingles) para indagar </w:t>
      </w:r>
      <w:r>
        <w:rPr>
          <w:rFonts w:ascii="Times New Roman" w:hAnsi="Times New Roman" w:cs="Times New Roman"/>
          <w:sz w:val="24"/>
          <w:szCs w:val="24"/>
        </w:rPr>
        <w:t xml:space="preserve">en la cuestión de si el estado inflacionario de la economía </w:t>
      </w:r>
      <w:r w:rsidR="00310869">
        <w:rPr>
          <w:rFonts w:ascii="Times New Roman" w:hAnsi="Times New Roman" w:cs="Times New Roman"/>
          <w:sz w:val="24"/>
          <w:szCs w:val="24"/>
        </w:rPr>
        <w:t>disminuye o no el efecto traspaso.</w:t>
      </w:r>
    </w:p>
    <w:p w14:paraId="79C2E9DD" w14:textId="25CF9F41" w:rsidR="005B22D8" w:rsidRDefault="005B22D8" w:rsidP="00A23F2B">
      <w:pPr>
        <w:spacing w:line="360" w:lineRule="auto"/>
        <w:jc w:val="both"/>
        <w:rPr>
          <w:rFonts w:ascii="Times New Roman" w:hAnsi="Times New Roman" w:cs="Times New Roman"/>
          <w:sz w:val="24"/>
          <w:szCs w:val="24"/>
        </w:rPr>
      </w:pPr>
    </w:p>
    <w:p w14:paraId="291D3CC8" w14:textId="61B19906" w:rsidR="00310869" w:rsidRDefault="00310869" w:rsidP="00A23F2B">
      <w:pPr>
        <w:spacing w:line="360" w:lineRule="auto"/>
        <w:jc w:val="both"/>
        <w:rPr>
          <w:rFonts w:ascii="Times New Roman" w:hAnsi="Times New Roman" w:cs="Times New Roman"/>
          <w:sz w:val="24"/>
          <w:szCs w:val="24"/>
        </w:rPr>
      </w:pPr>
    </w:p>
    <w:p w14:paraId="7548693F" w14:textId="75FA8F91" w:rsidR="00310869" w:rsidRDefault="00310869" w:rsidP="00A23F2B">
      <w:pPr>
        <w:spacing w:line="360" w:lineRule="auto"/>
        <w:jc w:val="both"/>
        <w:rPr>
          <w:rFonts w:ascii="Times New Roman" w:hAnsi="Times New Roman" w:cs="Times New Roman"/>
          <w:sz w:val="24"/>
          <w:szCs w:val="24"/>
        </w:rPr>
      </w:pPr>
    </w:p>
    <w:p w14:paraId="2862AD48" w14:textId="6C9E6384" w:rsidR="00310869" w:rsidRDefault="00310869" w:rsidP="00A23F2B">
      <w:pPr>
        <w:spacing w:line="360" w:lineRule="auto"/>
        <w:jc w:val="both"/>
        <w:rPr>
          <w:rFonts w:ascii="Times New Roman" w:hAnsi="Times New Roman" w:cs="Times New Roman"/>
          <w:sz w:val="24"/>
          <w:szCs w:val="24"/>
        </w:rPr>
      </w:pPr>
    </w:p>
    <w:p w14:paraId="135CC048" w14:textId="68495169" w:rsidR="00310869" w:rsidRDefault="00310869" w:rsidP="00A23F2B">
      <w:pPr>
        <w:spacing w:line="360" w:lineRule="auto"/>
        <w:jc w:val="both"/>
        <w:rPr>
          <w:rFonts w:ascii="Times New Roman" w:hAnsi="Times New Roman" w:cs="Times New Roman"/>
          <w:sz w:val="24"/>
          <w:szCs w:val="24"/>
        </w:rPr>
      </w:pPr>
    </w:p>
    <w:p w14:paraId="5FC51F61" w14:textId="2851BE35" w:rsidR="00310869" w:rsidRDefault="00310869" w:rsidP="00A23F2B">
      <w:pPr>
        <w:spacing w:line="360" w:lineRule="auto"/>
        <w:jc w:val="both"/>
        <w:rPr>
          <w:rFonts w:ascii="Times New Roman" w:hAnsi="Times New Roman" w:cs="Times New Roman"/>
          <w:sz w:val="24"/>
          <w:szCs w:val="24"/>
        </w:rPr>
      </w:pPr>
    </w:p>
    <w:p w14:paraId="2D218D65" w14:textId="7B3A31EE" w:rsidR="00310869" w:rsidRDefault="00310869" w:rsidP="00A23F2B">
      <w:pPr>
        <w:spacing w:line="360" w:lineRule="auto"/>
        <w:jc w:val="both"/>
        <w:rPr>
          <w:rFonts w:ascii="Times New Roman" w:hAnsi="Times New Roman" w:cs="Times New Roman"/>
          <w:sz w:val="24"/>
          <w:szCs w:val="24"/>
        </w:rPr>
      </w:pPr>
    </w:p>
    <w:p w14:paraId="2C54BBA6" w14:textId="77777777" w:rsidR="00792F70" w:rsidRDefault="00792F70" w:rsidP="00A23F2B">
      <w:pPr>
        <w:spacing w:line="360" w:lineRule="auto"/>
        <w:jc w:val="both"/>
        <w:rPr>
          <w:rFonts w:ascii="Times New Roman" w:hAnsi="Times New Roman" w:cs="Times New Roman"/>
          <w:sz w:val="24"/>
          <w:szCs w:val="24"/>
        </w:rPr>
        <w:sectPr w:rsidR="00792F70" w:rsidSect="0060244B">
          <w:headerReference w:type="default" r:id="rId9"/>
          <w:footerReference w:type="default" r:id="rId10"/>
          <w:pgSz w:w="12240" w:h="15840"/>
          <w:pgMar w:top="1417" w:right="1701" w:bottom="1417" w:left="1701" w:header="709" w:footer="709" w:gutter="0"/>
          <w:pgNumType w:fmt="lowerRoman" w:start="5"/>
          <w:cols w:space="708"/>
          <w:docGrid w:linePitch="360"/>
        </w:sect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bookmarkStart w:id="1" w:name="_Toc111757482"/>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bookmarkEnd w:id="1"/>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bookmarkStart w:id="2" w:name="_Toc111757483"/>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bookmarkEnd w:id="2"/>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 xml:space="preserve">traspaso del tipo de cambio a los precios domésticos (pass-trhough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Knetter (1996) definen el pass-trhough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3FC6C33"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w:t>
      </w:r>
      <w:r w:rsidR="004360EC">
        <w:rPr>
          <w:rFonts w:ascii="Times New Roman" w:hAnsi="Times New Roman" w:cs="Times New Roman"/>
          <w:sz w:val="24"/>
          <w:szCs w:val="24"/>
        </w:rPr>
        <w:t>tiene</w:t>
      </w:r>
      <w:r w:rsidR="00143946">
        <w:rPr>
          <w:rFonts w:ascii="Times New Roman"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942635" w14:paraId="1A40CDD2" w14:textId="77777777" w:rsidTr="005A3E51">
        <w:trPr>
          <w:trHeight w:val="567"/>
        </w:trPr>
        <w:tc>
          <w:tcPr>
            <w:tcW w:w="2943" w:type="dxa"/>
          </w:tcPr>
          <w:p w14:paraId="2B297657" w14:textId="77777777" w:rsidR="00942635" w:rsidRDefault="00942635" w:rsidP="00A23F2B">
            <w:pPr>
              <w:spacing w:line="360" w:lineRule="auto"/>
              <w:jc w:val="both"/>
              <w:rPr>
                <w:rFonts w:ascii="Times New Roman" w:hAnsi="Times New Roman" w:cs="Times New Roman"/>
                <w:sz w:val="24"/>
                <w:szCs w:val="24"/>
              </w:rPr>
            </w:pPr>
          </w:p>
        </w:tc>
        <w:tc>
          <w:tcPr>
            <w:tcW w:w="4000" w:type="pct"/>
          </w:tcPr>
          <w:p w14:paraId="70ADC291" w14:textId="770DFF57" w:rsidR="00942635" w:rsidRDefault="00000000" w:rsidP="00A23F2B">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500" w:type="pct"/>
            <w:vAlign w:val="center"/>
          </w:tcPr>
          <w:p w14:paraId="550E2225" w14:textId="58F24D1B" w:rsidR="00942635" w:rsidRDefault="00942635"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3A3CFA39"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w:t>
      </w:r>
      <w:r w:rsidR="004360EC">
        <w:rPr>
          <w:rFonts w:ascii="Times New Roman" w:eastAsiaTheme="minorEastAsia" w:hAnsi="Times New Roman" w:cs="Times New Roman"/>
          <w:sz w:val="24"/>
          <w:szCs w:val="24"/>
        </w:rPr>
        <w:t xml:space="preserve"> en</w:t>
      </w:r>
      <w:r w:rsidR="00DA1312">
        <w:rPr>
          <w:rFonts w:ascii="Times New Roman" w:eastAsiaTheme="minorEastAsia" w:hAnsi="Times New Roman" w:cs="Times New Roman"/>
          <w:sz w:val="24"/>
          <w:szCs w:val="24"/>
        </w:rPr>
        <w:t xml:space="preserve"> términos del nivel general de precios del país doméstico y extranjero: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38FDDFB2" w14:textId="77777777" w:rsidTr="005A3E51">
        <w:trPr>
          <w:trHeight w:val="567"/>
        </w:trPr>
        <w:tc>
          <w:tcPr>
            <w:tcW w:w="2943" w:type="dxa"/>
          </w:tcPr>
          <w:p w14:paraId="6BD14563" w14:textId="77777777" w:rsidR="005A3E51" w:rsidRDefault="005A3E51" w:rsidP="00A23F2B">
            <w:pPr>
              <w:spacing w:line="360" w:lineRule="auto"/>
              <w:jc w:val="both"/>
              <w:rPr>
                <w:rFonts w:ascii="Times New Roman" w:hAnsi="Times New Roman" w:cs="Times New Roman"/>
                <w:sz w:val="24"/>
                <w:szCs w:val="24"/>
              </w:rPr>
            </w:pPr>
          </w:p>
        </w:tc>
        <w:tc>
          <w:tcPr>
            <w:tcW w:w="4000" w:type="pct"/>
          </w:tcPr>
          <w:p w14:paraId="565FEA77" w14:textId="19818BEC" w:rsidR="005A3E51" w:rsidRPr="005A3E51" w:rsidRDefault="005A3E51" w:rsidP="005A3E51">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tc>
        <w:tc>
          <w:tcPr>
            <w:tcW w:w="500" w:type="pct"/>
            <w:vAlign w:val="center"/>
          </w:tcPr>
          <w:p w14:paraId="38B2A8AE" w14:textId="22A86693" w:rsidR="005A3E51" w:rsidRDefault="005A3E51"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2)</w:t>
            </w:r>
          </w:p>
        </w:tc>
      </w:tr>
    </w:tbl>
    <w:p w14:paraId="2A3F53E9" w14:textId="002526F5"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Goldberg y Knetter</w:t>
      </w:r>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4C9C0556" w14:textId="77777777" w:rsidTr="005A3E51">
        <w:trPr>
          <w:trHeight w:val="567"/>
        </w:trPr>
        <w:tc>
          <w:tcPr>
            <w:tcW w:w="500" w:type="pct"/>
          </w:tcPr>
          <w:p w14:paraId="4943C7AD" w14:textId="77777777" w:rsidR="005A3E51" w:rsidRDefault="005A3E51" w:rsidP="00A23F2B">
            <w:pPr>
              <w:spacing w:line="360" w:lineRule="auto"/>
              <w:jc w:val="both"/>
              <w:rPr>
                <w:rFonts w:ascii="Times New Roman" w:hAnsi="Times New Roman" w:cs="Times New Roman"/>
                <w:sz w:val="24"/>
                <w:szCs w:val="24"/>
              </w:rPr>
            </w:pPr>
          </w:p>
        </w:tc>
        <w:tc>
          <w:tcPr>
            <w:tcW w:w="4000" w:type="pct"/>
            <w:vAlign w:val="center"/>
          </w:tcPr>
          <w:p w14:paraId="485005D9" w14:textId="7D151067" w:rsidR="005A3E51" w:rsidRPr="005A3E51" w:rsidRDefault="00000000" w:rsidP="005A3E5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tc>
        <w:tc>
          <w:tcPr>
            <w:tcW w:w="500" w:type="pct"/>
            <w:vAlign w:val="center"/>
          </w:tcPr>
          <w:p w14:paraId="40FD330B" w14:textId="4768F24D" w:rsidR="005A3E51" w:rsidRDefault="005A3E51"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3)</w:t>
            </w:r>
          </w:p>
        </w:tc>
      </w:tr>
    </w:tbl>
    <w:p w14:paraId="7BC72B59" w14:textId="5BAFCB4C"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bookmarkStart w:id="3" w:name="_Toc111757484"/>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bookmarkEnd w:id="3"/>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El efecto pass-through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para los insumos y bienes de capital primero hay una modificación en la estructura interna de costos de las empresas y estas 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pass-through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económicos que modificarían constantemente sus expectativas y por ende el pass-through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pass-through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Además de lo anterior se ha observado que las principales características del pass-through son su magnitud, velocidad y la simetría.</w:t>
      </w:r>
    </w:p>
    <w:p w14:paraId="2C52D61F" w14:textId="1764325A" w:rsidR="00352005" w:rsidRDefault="00616FCA"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b/>
          <w:bCs/>
          <w:sz w:val="24"/>
          <w:szCs w:val="24"/>
          <w:lang w:val="es-ES"/>
        </w:rPr>
        <w:t>M</w:t>
      </w:r>
      <w:r w:rsidR="00352005">
        <w:rPr>
          <w:rFonts w:ascii="Times New Roman" w:eastAsiaTheme="minorEastAsia" w:hAnsi="Times New Roman" w:cs="Times New Roman"/>
          <w:b/>
          <w:bCs/>
          <w:sz w:val="24"/>
          <w:szCs w:val="24"/>
          <w:lang w:val="es-ES"/>
        </w:rPr>
        <w:t>agnitud</w:t>
      </w:r>
      <w:r>
        <w:rPr>
          <w:rFonts w:ascii="Times New Roman" w:eastAsiaTheme="minorEastAsia" w:hAnsi="Times New Roman" w:cs="Times New Roman"/>
          <w:b/>
          <w:bCs/>
          <w:sz w:val="24"/>
          <w:szCs w:val="24"/>
          <w:lang w:val="es-ES"/>
        </w:rPr>
        <w:t xml:space="preserve">: </w:t>
      </w:r>
      <w:r>
        <w:rPr>
          <w:rFonts w:ascii="Times New Roman" w:eastAsiaTheme="minorEastAsia" w:hAnsi="Times New Roman" w:cs="Times New Roman"/>
          <w:sz w:val="24"/>
          <w:szCs w:val="24"/>
          <w:lang w:val="es-ES"/>
        </w:rPr>
        <w:t>Esta se refiere al</w:t>
      </w:r>
      <w:r w:rsidR="00352005">
        <w:rPr>
          <w:rFonts w:ascii="Times New Roman" w:eastAsiaTheme="minorEastAsia" w:hAnsi="Times New Roman" w:cs="Times New Roman"/>
          <w:sz w:val="24"/>
          <w:szCs w:val="24"/>
          <w:lang w:val="es-ES"/>
        </w:rPr>
        <w:t xml:space="preserve"> coeficiente del pass-through el </w:t>
      </w:r>
      <w:r>
        <w:rPr>
          <w:rFonts w:ascii="Times New Roman" w:eastAsiaTheme="minorEastAsia" w:hAnsi="Times New Roman" w:cs="Times New Roman"/>
          <w:sz w:val="24"/>
          <w:szCs w:val="24"/>
          <w:lang w:val="es-ES"/>
        </w:rPr>
        <w:t>cual</w:t>
      </w:r>
      <w:r w:rsidR="00352005">
        <w:rPr>
          <w:rFonts w:ascii="Times New Roman" w:eastAsiaTheme="minorEastAsia" w:hAnsi="Times New Roman" w:cs="Times New Roman"/>
          <w:sz w:val="24"/>
          <w:szCs w:val="24"/>
          <w:lang w:val="es-ES"/>
        </w:rPr>
        <w:t xml:space="preserve"> define el tamaño del impacto que </w:t>
      </w:r>
      <w:r>
        <w:rPr>
          <w:rFonts w:ascii="Times New Roman" w:eastAsiaTheme="minorEastAsia" w:hAnsi="Times New Roman" w:cs="Times New Roman"/>
          <w:sz w:val="24"/>
          <w:szCs w:val="24"/>
          <w:lang w:val="es-ES"/>
        </w:rPr>
        <w:t>un choque cambiario</w:t>
      </w:r>
      <w:r w:rsidR="00352005">
        <w:rPr>
          <w:rFonts w:ascii="Times New Roman" w:eastAsiaTheme="minorEastAsia" w:hAnsi="Times New Roman" w:cs="Times New Roman"/>
          <w:sz w:val="24"/>
          <w:szCs w:val="24"/>
          <w:lang w:val="es-ES"/>
        </w:rPr>
        <w:t xml:space="preserve"> tendrá sobre el nivel general de precios. </w:t>
      </w:r>
      <w:r w:rsidR="00B52913">
        <w:rPr>
          <w:rFonts w:ascii="Times New Roman" w:eastAsiaTheme="minorEastAsia" w:hAnsi="Times New Roman" w:cs="Times New Roman"/>
          <w:sz w:val="24"/>
          <w:szCs w:val="24"/>
          <w:lang w:val="es-ES"/>
        </w:rPr>
        <w:t xml:space="preserve">El coeficiente puede ser tan grande como la unidad </w:t>
      </w:r>
      <w:r>
        <w:rPr>
          <w:rFonts w:ascii="Times New Roman" w:eastAsiaTheme="minorEastAsia" w:hAnsi="Times New Roman" w:cs="Times New Roman"/>
          <w:sz w:val="24"/>
          <w:szCs w:val="24"/>
          <w:lang w:val="es-ES"/>
        </w:rPr>
        <w:t>como propone</w:t>
      </w:r>
      <w:r w:rsidR="00B52913">
        <w:rPr>
          <w:rFonts w:ascii="Times New Roman" w:eastAsiaTheme="minorEastAsia" w:hAnsi="Times New Roman" w:cs="Times New Roman"/>
          <w:sz w:val="24"/>
          <w:szCs w:val="24"/>
          <w:lang w:val="es-ES"/>
        </w:rPr>
        <w:t xml:space="preserve"> la Ley de único precio o inferior al mismo.</w:t>
      </w:r>
    </w:p>
    <w:p w14:paraId="0678978E" w14:textId="043FA69C" w:rsidR="0046113B" w:rsidRDefault="00616FCA"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V</w:t>
      </w:r>
      <w:r w:rsidR="0046113B">
        <w:rPr>
          <w:rFonts w:ascii="Times New Roman" w:eastAsiaTheme="minorEastAsia" w:hAnsi="Times New Roman" w:cs="Times New Roman"/>
          <w:b/>
          <w:bCs/>
          <w:sz w:val="24"/>
          <w:szCs w:val="24"/>
          <w:lang w:val="es-ES"/>
        </w:rPr>
        <w:t>elocidad</w:t>
      </w:r>
      <w:r>
        <w:rPr>
          <w:rFonts w:ascii="Times New Roman" w:eastAsiaTheme="minorEastAsia" w:hAnsi="Times New Roman" w:cs="Times New Roman"/>
          <w:b/>
          <w:bCs/>
          <w:sz w:val="24"/>
          <w:szCs w:val="24"/>
          <w:lang w:val="es-ES"/>
        </w:rPr>
        <w:t>:</w:t>
      </w:r>
      <w:r>
        <w:rPr>
          <w:rFonts w:ascii="Times New Roman" w:eastAsiaTheme="minorEastAsia" w:hAnsi="Times New Roman" w:cs="Times New Roman"/>
          <w:sz w:val="24"/>
          <w:szCs w:val="24"/>
          <w:lang w:val="es-ES"/>
        </w:rPr>
        <w:t xml:space="preserve"> Esta característica</w:t>
      </w:r>
      <w:r w:rsidR="0046113B">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hace referencia</w:t>
      </w:r>
      <w:r w:rsidR="0046113B">
        <w:rPr>
          <w:rFonts w:ascii="Times New Roman" w:eastAsiaTheme="minorEastAsia" w:hAnsi="Times New Roman" w:cs="Times New Roman"/>
          <w:sz w:val="24"/>
          <w:szCs w:val="24"/>
          <w:lang w:val="es-ES"/>
        </w:rPr>
        <w:t xml:space="preserve"> al tiempo que le toma </w:t>
      </w:r>
      <w:r>
        <w:rPr>
          <w:rFonts w:ascii="Times New Roman" w:eastAsiaTheme="minorEastAsia" w:hAnsi="Times New Roman" w:cs="Times New Roman"/>
          <w:sz w:val="24"/>
          <w:szCs w:val="24"/>
          <w:lang w:val="es-ES"/>
        </w:rPr>
        <w:t>al</w:t>
      </w:r>
      <w:r w:rsidR="0046113B">
        <w:rPr>
          <w:rFonts w:ascii="Times New Roman" w:eastAsiaTheme="minorEastAsia" w:hAnsi="Times New Roman" w:cs="Times New Roman"/>
          <w:sz w:val="24"/>
          <w:szCs w:val="24"/>
          <w:lang w:val="es-ES"/>
        </w:rPr>
        <w:t xml:space="preserve"> choque cambiario materializarse en una variación en el nivel de precios. El pass-through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sidR="0046113B">
        <w:rPr>
          <w:rFonts w:ascii="Times New Roman" w:eastAsiaTheme="minorEastAsia" w:hAnsi="Times New Roman" w:cs="Times New Roman"/>
          <w:sz w:val="24"/>
          <w:szCs w:val="24"/>
          <w:lang w:val="es-ES"/>
        </w:rPr>
        <w:t xml:space="preserve"> o puede materializarse en un momento diferente.</w:t>
      </w:r>
    </w:p>
    <w:p w14:paraId="25A21371" w14:textId="30278716"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w:t>
      </w:r>
      <w:r w:rsidR="00616FCA">
        <w:rPr>
          <w:rFonts w:ascii="Times New Roman" w:eastAsiaTheme="minorEastAsia" w:hAnsi="Times New Roman" w:cs="Times New Roman"/>
          <w:sz w:val="24"/>
          <w:szCs w:val="24"/>
          <w:lang w:val="es-ES"/>
        </w:rPr>
        <w:t>las características anteriores</w:t>
      </w:r>
      <w:r>
        <w:rPr>
          <w:rFonts w:ascii="Times New Roman" w:eastAsiaTheme="minorEastAsia" w:hAnsi="Times New Roman" w:cs="Times New Roman"/>
          <w:sz w:val="24"/>
          <w:szCs w:val="24"/>
          <w:lang w:val="es-ES"/>
        </w:rPr>
        <w:t xml:space="preserve">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w:t>
      </w:r>
      <w:r w:rsidR="00186890">
        <w:rPr>
          <w:rFonts w:ascii="Times New Roman" w:eastAsiaTheme="minorEastAsia" w:hAnsi="Times New Roman" w:cs="Times New Roman"/>
          <w:sz w:val="24"/>
          <w:szCs w:val="24"/>
          <w:lang w:val="es-ES"/>
        </w:rPr>
        <w:lastRenderedPageBreak/>
        <w:t>como la magnitud del 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 cambia en el tiempo y su impacto desaparece con el mismo.</w:t>
      </w:r>
    </w:p>
    <w:p w14:paraId="772EFBDE" w14:textId="0F8AAA12"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471DCE">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Función impulso respuesta del efecto pass-through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Función impulso respuesta del efecto pass-through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0750" cy="2152723"/>
                    </a:xfrm>
                    <a:prstGeom prst="rect">
                      <a:avLst/>
                    </a:prstGeom>
                  </pic:spPr>
                </pic:pic>
              </a:graphicData>
            </a:graphic>
          </wp:inline>
        </w:drawing>
      </w:r>
    </w:p>
    <w:p w14:paraId="4D418E94" w14:textId="200C7E22" w:rsidR="00D71020" w:rsidRDefault="00AA5186" w:rsidP="00616FCA">
      <w:pPr>
        <w:spacing w:line="36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 xml:space="preserve">Estimación del Pass-Through en Costa Rica </w:t>
      </w:r>
      <w:r w:rsidR="004B7E0D">
        <w:rPr>
          <w:rFonts w:ascii="Times New Roman" w:eastAsiaTheme="minorEastAsia" w:hAnsi="Times New Roman" w:cs="Times New Roman"/>
          <w:sz w:val="24"/>
          <w:szCs w:val="24"/>
          <w:lang w:val="es-ES"/>
        </w:rPr>
        <w:t xml:space="preserve">(p. </w:t>
      </w:r>
      <w:r w:rsidR="002756DD">
        <w:rPr>
          <w:rFonts w:ascii="Times New Roman" w:eastAsiaTheme="minorEastAsia" w:hAnsi="Times New Roman" w:cs="Times New Roman"/>
          <w:sz w:val="24"/>
          <w:szCs w:val="24"/>
          <w:lang w:val="es-ES"/>
        </w:rPr>
        <w:t>51</w:t>
      </w:r>
      <w:r w:rsidR="004B7E0D">
        <w:rPr>
          <w:rFonts w:ascii="Times New Roman" w:eastAsiaTheme="minorEastAsia" w:hAnsi="Times New Roman" w:cs="Times New Roman"/>
          <w:sz w:val="24"/>
          <w:szCs w:val="24"/>
          <w:lang w:val="es-ES"/>
        </w:rPr>
        <w:t xml:space="preserve">)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61AB26C9"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w:t>
      </w:r>
      <w:r w:rsidR="0011634E">
        <w:rPr>
          <w:rFonts w:ascii="Times New Roman" w:eastAsiaTheme="minorEastAsia" w:hAnsi="Times New Roman" w:cs="Times New Roman"/>
          <w:sz w:val="24"/>
          <w:szCs w:val="24"/>
          <w:lang w:val="es-ES"/>
        </w:rPr>
        <w:t>Característica que define la</w:t>
      </w:r>
      <w:r w:rsidR="00D87510">
        <w:rPr>
          <w:rFonts w:ascii="Times New Roman" w:eastAsiaTheme="minorEastAsia" w:hAnsi="Times New Roman" w:cs="Times New Roman"/>
          <w:sz w:val="24"/>
          <w:szCs w:val="24"/>
          <w:lang w:val="es-ES"/>
        </w:rPr>
        <w:t xml:space="preserve"> respuesta de los precios ante distintos tipos de choques</w:t>
      </w:r>
      <w:r w:rsidR="0011634E">
        <w:rPr>
          <w:rFonts w:ascii="Times New Roman" w:eastAsiaTheme="minorEastAsia" w:hAnsi="Times New Roman" w:cs="Times New Roman"/>
          <w:sz w:val="24"/>
          <w:szCs w:val="24"/>
          <w:lang w:val="es-ES"/>
        </w:rPr>
        <w:t xml:space="preserve"> cambiarios</w:t>
      </w:r>
      <w:r w:rsidR="00D87510">
        <w:rPr>
          <w:rFonts w:ascii="Times New Roman" w:eastAsiaTheme="minorEastAsia" w:hAnsi="Times New Roman" w:cs="Times New Roman"/>
          <w:sz w:val="24"/>
          <w:szCs w:val="24"/>
          <w:lang w:val="es-ES"/>
        </w:rPr>
        <w:t xml:space="preserve">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en un momento dado.</w:t>
      </w:r>
      <w:r w:rsidR="0011634E">
        <w:rPr>
          <w:rFonts w:ascii="Times New Roman" w:eastAsiaTheme="minorEastAsia" w:hAnsi="Times New Roman" w:cs="Times New Roman"/>
          <w:sz w:val="24"/>
          <w:szCs w:val="24"/>
          <w:lang w:val="es-ES"/>
        </w:rPr>
        <w:t xml:space="preserve"> </w:t>
      </w:r>
      <w:r w:rsidR="000F523F">
        <w:rPr>
          <w:rFonts w:ascii="Times New Roman" w:eastAsiaTheme="minorEastAsia" w:hAnsi="Times New Roman" w:cs="Times New Roman"/>
          <w:sz w:val="24"/>
          <w:szCs w:val="24"/>
          <w:lang w:val="es-ES"/>
        </w:rPr>
        <w:t>Si se asumen un choque cambiario no importa si sea de apreciación o depreciación cambiaria la simetría indica que el impacto del choque será el mismo para ambos casos.</w:t>
      </w:r>
    </w:p>
    <w:p w14:paraId="5486BC4B" w14:textId="7E555312"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r w:rsidR="00EC6C63" w:rsidRPr="00B773D5">
        <w:rPr>
          <w:rFonts w:ascii="Times New Roman" w:eastAsiaTheme="minorEastAsia" w:hAnsi="Times New Roman" w:cs="Times New Roman"/>
          <w:noProof/>
          <w:sz w:val="24"/>
          <w:szCs w:val="24"/>
          <w:lang w:val="es-MX"/>
        </w:rPr>
        <w:t>Brufman, Trajtenberg, &amp; Donaldson</w:t>
      </w:r>
      <w:r w:rsidR="00EC6C63">
        <w:rPr>
          <w:rFonts w:ascii="Times New Roman" w:eastAsiaTheme="minorEastAsia" w:hAnsi="Times New Roman" w:cs="Times New Roman"/>
          <w:noProof/>
          <w:sz w:val="24"/>
          <w:szCs w:val="24"/>
          <w:lang w:val="es-MX"/>
        </w:rPr>
        <w:t xml:space="preserve"> (</w:t>
      </w:r>
      <w:r w:rsidR="00EC6C63" w:rsidRPr="00B773D5">
        <w:rPr>
          <w:rFonts w:ascii="Times New Roman" w:eastAsiaTheme="minorEastAsia" w:hAnsi="Times New Roman" w:cs="Times New Roman"/>
          <w:noProof/>
          <w:sz w:val="24"/>
          <w:szCs w:val="24"/>
          <w:lang w:val="es-MX"/>
        </w:rPr>
        <w:t>2016</w:t>
      </w:r>
      <w:r w:rsidR="00EC6C63">
        <w:rPr>
          <w:rFonts w:ascii="Times New Roman" w:eastAsiaTheme="minorEastAsia" w:hAnsi="Times New Roman" w:cs="Times New Roman"/>
          <w:noProof/>
          <w:sz w:val="24"/>
          <w:szCs w:val="24"/>
          <w:lang w:val="es-MX"/>
        </w:rPr>
        <w:t>)</w:t>
      </w:r>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la</w:t>
      </w:r>
      <w:r w:rsidR="00EC6C63">
        <w:rPr>
          <w:rFonts w:ascii="Times New Roman" w:eastAsiaTheme="minorEastAsia" w:hAnsi="Times New Roman" w:cs="Times New Roman"/>
          <w:sz w:val="24"/>
          <w:szCs w:val="24"/>
          <w:lang w:val="es-ES"/>
        </w:rPr>
        <w:t xml:space="preserve"> contrapartida de esta característica, la</w:t>
      </w:r>
      <w:r w:rsidR="009D6F6F">
        <w:rPr>
          <w:rFonts w:ascii="Times New Roman" w:eastAsiaTheme="minorEastAsia" w:hAnsi="Times New Roman" w:cs="Times New Roman"/>
          <w:sz w:val="24"/>
          <w:szCs w:val="24"/>
          <w:lang w:val="es-ES"/>
        </w:rPr>
        <w:t xml:space="preserve">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del pass-through</w:t>
      </w:r>
      <w:r w:rsidR="00EC6C63">
        <w:rPr>
          <w:rFonts w:ascii="Times New Roman" w:eastAsiaTheme="minorEastAsia" w:hAnsi="Times New Roman" w:cs="Times New Roman"/>
          <w:sz w:val="24"/>
          <w:szCs w:val="24"/>
          <w:lang w:val="es-ES"/>
        </w:rPr>
        <w:t xml:space="preserve">. Ellos </w:t>
      </w:r>
      <w:proofErr w:type="gramStart"/>
      <w:r w:rsidR="00EC6C63">
        <w:rPr>
          <w:rFonts w:ascii="Times New Roman" w:eastAsiaTheme="minorEastAsia" w:hAnsi="Times New Roman" w:cs="Times New Roman"/>
          <w:sz w:val="24"/>
          <w:szCs w:val="24"/>
          <w:lang w:val="es-ES"/>
        </w:rPr>
        <w:t>hacen</w:t>
      </w:r>
      <w:r w:rsidR="00E33C2A">
        <w:rPr>
          <w:rFonts w:ascii="Times New Roman" w:eastAsiaTheme="minorEastAsia" w:hAnsi="Times New Roman" w:cs="Times New Roman"/>
          <w:sz w:val="24"/>
          <w:szCs w:val="24"/>
          <w:lang w:val="es-ES"/>
        </w:rPr>
        <w:t xml:space="preserve"> </w:t>
      </w:r>
      <w:r w:rsidR="00EC6C63">
        <w:rPr>
          <w:rFonts w:ascii="Times New Roman" w:eastAsiaTheme="minorEastAsia" w:hAnsi="Times New Roman" w:cs="Times New Roman"/>
          <w:sz w:val="24"/>
          <w:szCs w:val="24"/>
          <w:lang w:val="es-ES"/>
        </w:rPr>
        <w:t>mención de</w:t>
      </w:r>
      <w:proofErr w:type="gramEnd"/>
      <w:r w:rsidR="00EE4CDC">
        <w:rPr>
          <w:rFonts w:ascii="Times New Roman" w:eastAsiaTheme="minorEastAsia" w:hAnsi="Times New Roman" w:cs="Times New Roman"/>
          <w:sz w:val="24"/>
          <w:szCs w:val="24"/>
          <w:lang w:val="es-ES"/>
        </w:rPr>
        <w:t xml:space="preserve"> los trabajos de</w:t>
      </w:r>
      <w:r w:rsidR="00300F24">
        <w:rPr>
          <w:rFonts w:ascii="Times New Roman" w:eastAsiaTheme="minorEastAsia" w:hAnsi="Times New Roman" w:cs="Times New Roman"/>
          <w:sz w:val="24"/>
          <w:szCs w:val="24"/>
          <w:lang w:val="es-ES"/>
        </w:rPr>
        <w:t xml:space="preserve"> Goldfajn y Werlang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pass-trhough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r w:rsidR="00300F24" w:rsidRPr="00300F24">
        <w:rPr>
          <w:rFonts w:ascii="Times New Roman" w:eastAsiaTheme="minorEastAsia" w:hAnsi="Times New Roman" w:cs="Times New Roman"/>
          <w:sz w:val="24"/>
          <w:szCs w:val="24"/>
          <w:lang w:val="es-ES"/>
        </w:rPr>
        <w:t>Pollard y Coughlin (2004)</w:t>
      </w:r>
      <w:r w:rsidR="00300F24">
        <w:rPr>
          <w:rFonts w:ascii="Times New Roman" w:eastAsiaTheme="minorEastAsia" w:hAnsi="Times New Roman" w:cs="Times New Roman"/>
          <w:sz w:val="24"/>
          <w:szCs w:val="24"/>
          <w:lang w:val="es-ES"/>
        </w:rPr>
        <w:t xml:space="preserve"> centraron su </w:t>
      </w:r>
      <w:r w:rsidR="00300F24">
        <w:rPr>
          <w:rFonts w:ascii="Times New Roman" w:eastAsiaTheme="minorEastAsia" w:hAnsi="Times New Roman" w:cs="Times New Roman"/>
          <w:sz w:val="24"/>
          <w:szCs w:val="24"/>
          <w:lang w:val="es-ES"/>
        </w:rPr>
        <w:lastRenderedPageBreak/>
        <w:t xml:space="preserve">enfoque de la asimetría </w:t>
      </w:r>
      <w:r w:rsidR="00BD0894">
        <w:rPr>
          <w:rFonts w:ascii="Times New Roman" w:eastAsiaTheme="minorEastAsia" w:hAnsi="Times New Roman" w:cs="Times New Roman"/>
          <w:sz w:val="24"/>
          <w:szCs w:val="24"/>
          <w:lang w:val="es-ES"/>
        </w:rPr>
        <w:t>en la dependencia del efecto pass-through del grado del choque cambiario que se experimente.</w:t>
      </w:r>
    </w:p>
    <w:p w14:paraId="03DE1617" w14:textId="18D7418A"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Finalmente, uno de los mayores aportes al tema de la asimetría del efecto pass-through es el de</w:t>
      </w:r>
      <w:r w:rsidR="002377FE">
        <w:rPr>
          <w:rFonts w:ascii="Times New Roman" w:eastAsiaTheme="minorEastAsia" w:hAnsi="Times New Roman" w:cs="Times New Roman"/>
          <w:sz w:val="24"/>
          <w:szCs w:val="24"/>
          <w:lang w:val="es-ES"/>
        </w:rPr>
        <w:t xml:space="preserve"> John Taylor en su trabajo “Low Inflation, Pass-Through, and the Pricing Power of Firms”</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t xml:space="preserve">Dentro de su trabajo Taylor expone que la magnitud del efecto pass-through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bookmarkStart w:id="4" w:name="_Toc111757485"/>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pass-through</w:t>
      </w:r>
      <w:bookmarkEnd w:id="4"/>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onómicas que determinan el coeficiente del pass-through.</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bookmarkStart w:id="5" w:name="_Toc111757486"/>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bookmarkEnd w:id="5"/>
    </w:p>
    <w:p w14:paraId="64216B52" w14:textId="43F59C03"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Dentro del contexto del Esquema de Metas Explicitas de Inflación, el ritmo de </w:t>
      </w:r>
      <w:r w:rsidR="00653C14">
        <w:rPr>
          <w:rFonts w:ascii="Times New Roman" w:eastAsiaTheme="minorEastAsia" w:hAnsi="Times New Roman" w:cs="Times New Roman"/>
          <w:sz w:val="24"/>
          <w:szCs w:val="24"/>
          <w:lang w:val="es-ES"/>
        </w:rPr>
        <w:t>esta</w:t>
      </w:r>
      <w:r>
        <w:rPr>
          <w:rFonts w:ascii="Times New Roman" w:eastAsiaTheme="minorEastAsia" w:hAnsi="Times New Roman" w:cs="Times New Roman"/>
          <w:sz w:val="24"/>
          <w:szCs w:val="24"/>
          <w:lang w:val="es-ES"/>
        </w:rPr>
        <w:t xml:space="preserve"> </w:t>
      </w:r>
      <w:r w:rsidR="00653C14">
        <w:rPr>
          <w:rFonts w:ascii="Times New Roman" w:eastAsiaTheme="minorEastAsia" w:hAnsi="Times New Roman" w:cs="Times New Roman"/>
          <w:sz w:val="24"/>
          <w:szCs w:val="24"/>
          <w:lang w:val="es-ES"/>
        </w:rPr>
        <w:t xml:space="preserve">se encuentra </w:t>
      </w:r>
      <w:r>
        <w:rPr>
          <w:rFonts w:ascii="Times New Roman" w:eastAsiaTheme="minorEastAsia" w:hAnsi="Times New Roman" w:cs="Times New Roman"/>
          <w:sz w:val="24"/>
          <w:szCs w:val="24"/>
          <w:lang w:val="es-ES"/>
        </w:rPr>
        <w:t xml:space="preserve">supeditado al comportamiento de la política monetaria y las expectativas de inflación de los agentes económicos. En este sentido si sucede una depreciación cambiaria en el corto plazo puede observarse un aumento en la inflación, pero debido a que la meta de </w:t>
      </w:r>
      <w:r>
        <w:rPr>
          <w:rFonts w:ascii="Times New Roman" w:eastAsiaTheme="minorEastAsia" w:hAnsi="Times New Roman" w:cs="Times New Roman"/>
          <w:sz w:val="24"/>
          <w:szCs w:val="24"/>
          <w:lang w:val="es-ES"/>
        </w:rPr>
        <w:lastRenderedPageBreak/>
        <w:t xml:space="preserve">inflación fijada por el Banco Central es creíble la inflación </w:t>
      </w:r>
      <w:r w:rsidR="00653C14">
        <w:rPr>
          <w:rFonts w:ascii="Times New Roman" w:eastAsiaTheme="minorEastAsia" w:hAnsi="Times New Roman" w:cs="Times New Roman"/>
          <w:sz w:val="24"/>
          <w:szCs w:val="24"/>
          <w:lang w:val="es-ES"/>
        </w:rPr>
        <w:t>tendrá una tendencia</w:t>
      </w:r>
      <w:r>
        <w:rPr>
          <w:rFonts w:ascii="Times New Roman" w:eastAsiaTheme="minorEastAsia" w:hAnsi="Times New Roman" w:cs="Times New Roman"/>
          <w:sz w:val="24"/>
          <w:szCs w:val="24"/>
          <w:lang w:val="es-ES"/>
        </w:rPr>
        <w:t xml:space="preserve">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bookmarkStart w:id="6" w:name="_Toc111757487"/>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bookmarkEnd w:id="6"/>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bookmarkStart w:id="7" w:name="_Toc111757488"/>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bookmarkEnd w:id="7"/>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ambiente inflacionario tiene una incidencia directa sobre el coeficiente del pass-through.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bookmarkStart w:id="8" w:name="_Toc111757489"/>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bookmarkEnd w:id="8"/>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bookmarkStart w:id="9" w:name="_Toc111757490"/>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bookmarkEnd w:id="9"/>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La mayor apertura económica puede traer consigo una mayor dependencia de los bienes importados y por ende una situación más vulnerable ante choques cambiarios. De esta manera, si la economía es altamente dependiente de los bienes importados el efecto pass-through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bookmarkStart w:id="10" w:name="_Toc111757491"/>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pass-through</w:t>
      </w:r>
      <w:bookmarkEnd w:id="10"/>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la teoría microeconómica se han identificado una serie de determinantes microeconómicos del pass-trhough,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bookmarkStart w:id="11" w:name="_Toc111757492"/>
      <w:r w:rsidRPr="00977C24">
        <w:rPr>
          <w:rFonts w:ascii="Times New Roman" w:eastAsiaTheme="minorEastAsia" w:hAnsi="Times New Roman" w:cs="Times New Roman"/>
          <w:b/>
          <w:bCs/>
          <w:color w:val="auto"/>
          <w:lang w:val="es-ES"/>
        </w:rPr>
        <w:lastRenderedPageBreak/>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bookmarkEnd w:id="11"/>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Las empresas pueden ejercer un poder monopólico u oligopólico y discriminar precios entre productos y lugares distintos, en la medida en la cual sea mayor el poder de discriminación menor será el pass-through.</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bookmarkStart w:id="12" w:name="_Toc111757493"/>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bookmarkEnd w:id="12"/>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Los costos de menú pueden llegar a determinar el grado del pass-through debido a que funcionan como una fuente de rigideces en los precios de la economía. Por ejemplo, cuando se experimentan choques cambiarios las empresas evalúan si modificar sus precios o no 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bookmarkStart w:id="13" w:name="_Toc111757494"/>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bookmarkEnd w:id="13"/>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pass-through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bookmarkStart w:id="14" w:name="_Toc111757495"/>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bookmarkEnd w:id="14"/>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las importaciones como porcentaje de la demanda agregada se consideran como una variable proxy de la penetración de las importaciones en las empresas, aquellos países con una penetración mayor tendrán un mayor pss-through.</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bookmarkStart w:id="15" w:name="_Toc111757496"/>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bookmarkEnd w:id="15"/>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dentro de la composición de la canasta de consumo para la medición del Índice de Precios al Consumidor (IPC) los bienes importados tienen una importancia relevante el pass-through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bookmarkStart w:id="16" w:name="_Toc111757497"/>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bookmarkEnd w:id="16"/>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la medida en la cual el choque cambiario sea transitorio los productores se verán reacios a modificar los precios debido a los costos de menú, pero si observan que el ajuste no es transitorio entonces van a modificar sus precios y de esta manera materializar el pass-through.</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bookmarkStart w:id="17" w:name="_Toc111757498"/>
      <w:r w:rsidRPr="000B7FCC">
        <w:rPr>
          <w:rFonts w:ascii="Times New Roman" w:eastAsiaTheme="minorEastAsia" w:hAnsi="Times New Roman" w:cs="Times New Roman"/>
          <w:b/>
          <w:bCs/>
          <w:color w:val="auto"/>
          <w:sz w:val="24"/>
          <w:szCs w:val="24"/>
          <w:lang w:val="es-ES"/>
        </w:rPr>
        <w:lastRenderedPageBreak/>
        <w:t>1.5 Política monetaria y tipo de cambio en Guatemala</w:t>
      </w:r>
      <w:bookmarkEnd w:id="17"/>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bookmarkStart w:id="18" w:name="_Toc111757499"/>
      <w:r w:rsidRPr="0030316A">
        <w:rPr>
          <w:rFonts w:ascii="Times New Roman" w:eastAsiaTheme="minorEastAsia" w:hAnsi="Times New Roman" w:cs="Times New Roman"/>
          <w:b/>
          <w:bCs/>
          <w:color w:val="auto"/>
          <w:lang w:val="es-ES"/>
        </w:rPr>
        <w:t>1.5.1 Política Monetaria en Guatemala</w:t>
      </w:r>
      <w:bookmarkEnd w:id="18"/>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 xml:space="preserve">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w:t>
      </w:r>
      <w:r w:rsidR="001A7652" w:rsidRPr="001A7652">
        <w:rPr>
          <w:rFonts w:ascii="Times New Roman" w:eastAsiaTheme="minorEastAsia" w:hAnsi="Times New Roman" w:cs="Times New Roman"/>
          <w:noProof/>
          <w:sz w:val="24"/>
          <w:szCs w:val="24"/>
          <w:lang w:val="es-MX"/>
        </w:rPr>
        <w:lastRenderedPageBreak/>
        <w:t>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Mishkin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 xml:space="preserve">anunciar la meta de inflación para el mediano plazo además </w:t>
      </w:r>
      <w:r w:rsidR="007A62A2">
        <w:rPr>
          <w:rFonts w:ascii="Times New Roman" w:eastAsiaTheme="minorEastAsia" w:hAnsi="Times New Roman" w:cs="Times New Roman"/>
          <w:sz w:val="24"/>
          <w:szCs w:val="24"/>
          <w:lang w:val="es-ES"/>
        </w:rPr>
        <w:lastRenderedPageBreak/>
        <w:t>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6240529D" w14:textId="77777777" w:rsidR="00C609FA" w:rsidRDefault="00C609FA" w:rsidP="008D687C">
      <w:pPr>
        <w:pStyle w:val="Descripcin"/>
        <w:rPr>
          <w:rFonts w:ascii="Times New Roman" w:hAnsi="Times New Roman" w:cs="Times New Roman"/>
          <w:b/>
          <w:bCs/>
          <w:i w:val="0"/>
          <w:iCs w:val="0"/>
          <w:color w:val="auto"/>
          <w:sz w:val="24"/>
          <w:szCs w:val="24"/>
        </w:rPr>
      </w:pPr>
    </w:p>
    <w:p w14:paraId="2CCF43A0" w14:textId="77777777" w:rsidR="00C609FA" w:rsidRDefault="00C609FA" w:rsidP="008D687C">
      <w:pPr>
        <w:pStyle w:val="Descripcin"/>
        <w:rPr>
          <w:rFonts w:ascii="Times New Roman" w:hAnsi="Times New Roman" w:cs="Times New Roman"/>
          <w:b/>
          <w:bCs/>
          <w:i w:val="0"/>
          <w:iCs w:val="0"/>
          <w:color w:val="auto"/>
          <w:sz w:val="24"/>
          <w:szCs w:val="24"/>
        </w:rPr>
      </w:pPr>
    </w:p>
    <w:p w14:paraId="1DFA8435" w14:textId="77777777" w:rsidR="00C609FA" w:rsidRDefault="00C609FA" w:rsidP="008D687C">
      <w:pPr>
        <w:pStyle w:val="Descripcin"/>
        <w:rPr>
          <w:rFonts w:ascii="Times New Roman" w:hAnsi="Times New Roman" w:cs="Times New Roman"/>
          <w:b/>
          <w:bCs/>
          <w:i w:val="0"/>
          <w:iCs w:val="0"/>
          <w:color w:val="auto"/>
          <w:sz w:val="24"/>
          <w:szCs w:val="24"/>
        </w:rPr>
      </w:pPr>
    </w:p>
    <w:p w14:paraId="7EBB0659" w14:textId="77777777" w:rsidR="00C609FA" w:rsidRDefault="00C609FA" w:rsidP="008D687C">
      <w:pPr>
        <w:pStyle w:val="Descripcin"/>
        <w:rPr>
          <w:rFonts w:ascii="Times New Roman" w:hAnsi="Times New Roman" w:cs="Times New Roman"/>
          <w:b/>
          <w:bCs/>
          <w:i w:val="0"/>
          <w:iCs w:val="0"/>
          <w:color w:val="auto"/>
          <w:sz w:val="24"/>
          <w:szCs w:val="24"/>
        </w:rPr>
      </w:pPr>
    </w:p>
    <w:p w14:paraId="69213FEF" w14:textId="77777777" w:rsidR="00C609FA" w:rsidRDefault="00C609FA" w:rsidP="008D687C">
      <w:pPr>
        <w:pStyle w:val="Descripcin"/>
        <w:rPr>
          <w:rFonts w:ascii="Times New Roman" w:hAnsi="Times New Roman" w:cs="Times New Roman"/>
          <w:b/>
          <w:bCs/>
          <w:i w:val="0"/>
          <w:iCs w:val="0"/>
          <w:color w:val="auto"/>
          <w:sz w:val="24"/>
          <w:szCs w:val="24"/>
        </w:rPr>
      </w:pPr>
    </w:p>
    <w:p w14:paraId="4EB00D48" w14:textId="77777777" w:rsidR="00C609FA" w:rsidRDefault="00C609FA" w:rsidP="008D687C">
      <w:pPr>
        <w:pStyle w:val="Descripcin"/>
        <w:rPr>
          <w:rFonts w:ascii="Times New Roman" w:hAnsi="Times New Roman" w:cs="Times New Roman"/>
          <w:b/>
          <w:bCs/>
          <w:i w:val="0"/>
          <w:iCs w:val="0"/>
          <w:color w:val="auto"/>
          <w:sz w:val="24"/>
          <w:szCs w:val="24"/>
        </w:rPr>
      </w:pPr>
    </w:p>
    <w:p w14:paraId="686CE437" w14:textId="77777777" w:rsidR="00C609FA" w:rsidRDefault="00C609FA" w:rsidP="008D687C">
      <w:pPr>
        <w:pStyle w:val="Descripcin"/>
        <w:rPr>
          <w:rFonts w:ascii="Times New Roman" w:hAnsi="Times New Roman" w:cs="Times New Roman"/>
          <w:b/>
          <w:bCs/>
          <w:i w:val="0"/>
          <w:iCs w:val="0"/>
          <w:color w:val="auto"/>
          <w:sz w:val="24"/>
          <w:szCs w:val="24"/>
        </w:rPr>
      </w:pPr>
    </w:p>
    <w:p w14:paraId="123ABBA5" w14:textId="77777777" w:rsidR="00C609FA" w:rsidRDefault="00C609FA" w:rsidP="008D687C">
      <w:pPr>
        <w:pStyle w:val="Descripcin"/>
        <w:rPr>
          <w:rFonts w:ascii="Times New Roman" w:hAnsi="Times New Roman" w:cs="Times New Roman"/>
          <w:b/>
          <w:bCs/>
          <w:i w:val="0"/>
          <w:iCs w:val="0"/>
          <w:color w:val="auto"/>
          <w:sz w:val="24"/>
          <w:szCs w:val="24"/>
        </w:rPr>
      </w:pPr>
    </w:p>
    <w:p w14:paraId="369F2B96" w14:textId="77777777" w:rsidR="00C609FA" w:rsidRDefault="00C609FA" w:rsidP="008D687C">
      <w:pPr>
        <w:pStyle w:val="Descripcin"/>
        <w:rPr>
          <w:rFonts w:ascii="Times New Roman" w:hAnsi="Times New Roman" w:cs="Times New Roman"/>
          <w:b/>
          <w:bCs/>
          <w:i w:val="0"/>
          <w:iCs w:val="0"/>
          <w:color w:val="auto"/>
          <w:sz w:val="24"/>
          <w:szCs w:val="24"/>
        </w:rPr>
      </w:pPr>
    </w:p>
    <w:p w14:paraId="312749A7" w14:textId="77777777" w:rsidR="00C609FA" w:rsidRDefault="00C609FA" w:rsidP="008D687C">
      <w:pPr>
        <w:pStyle w:val="Descripcin"/>
        <w:rPr>
          <w:rFonts w:ascii="Times New Roman" w:hAnsi="Times New Roman" w:cs="Times New Roman"/>
          <w:b/>
          <w:bCs/>
          <w:i w:val="0"/>
          <w:iCs w:val="0"/>
          <w:color w:val="auto"/>
          <w:sz w:val="24"/>
          <w:szCs w:val="24"/>
        </w:rPr>
      </w:pPr>
    </w:p>
    <w:p w14:paraId="277B36EB" w14:textId="77777777" w:rsidR="00C609FA" w:rsidRDefault="00C609FA" w:rsidP="008D687C">
      <w:pPr>
        <w:pStyle w:val="Descripcin"/>
        <w:rPr>
          <w:rFonts w:ascii="Times New Roman" w:hAnsi="Times New Roman" w:cs="Times New Roman"/>
          <w:b/>
          <w:bCs/>
          <w:i w:val="0"/>
          <w:iCs w:val="0"/>
          <w:color w:val="auto"/>
          <w:sz w:val="24"/>
          <w:szCs w:val="24"/>
        </w:rPr>
      </w:pPr>
    </w:p>
    <w:p w14:paraId="669ADC61" w14:textId="74C9AA53"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lastRenderedPageBreak/>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31681023"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42DF7BC0" w:rsidR="0072166C" w:rsidRPr="00370394" w:rsidRDefault="0072166C" w:rsidP="0072166C">
      <w:pPr>
        <w:pStyle w:val="Descripcin"/>
        <w:rPr>
          <w:color w:val="auto"/>
        </w:rPr>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370394">
        <w:rPr>
          <w:color w:val="FFFFFF" w:themeColor="background1"/>
        </w:rPr>
        <w:t xml:space="preserve">Inflación </w:t>
      </w:r>
      <w:r w:rsidR="00370394" w:rsidRPr="00370394">
        <w:rPr>
          <w:color w:val="FFFFFF" w:themeColor="background1"/>
        </w:rPr>
        <w:t>m</w:t>
      </w:r>
      <w:r w:rsidRPr="00370394">
        <w:rPr>
          <w:color w:val="FFFFFF" w:themeColor="background1"/>
        </w:rPr>
        <w:t>edia</w:t>
      </w:r>
      <w:r w:rsidR="00370394" w:rsidRPr="00370394">
        <w:rPr>
          <w:color w:val="FFFFFF" w:themeColor="background1"/>
        </w:rPr>
        <w:t xml:space="preserve"> y varianza</w:t>
      </w:r>
      <w:r w:rsidRPr="00370394">
        <w:rPr>
          <w:color w:val="FFFFFF" w:themeColor="background1"/>
        </w:rPr>
        <w:t xml:space="preserve"> según el esquema de Política Monetaria</w:t>
      </w:r>
    </w:p>
    <w:p w14:paraId="33E1E229" w14:textId="60F0C685"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 xml:space="preserve">Inflación </w:t>
      </w:r>
      <w:r w:rsidR="00370394">
        <w:rPr>
          <w:rFonts w:ascii="Times New Roman" w:hAnsi="Times New Roman" w:cs="Times New Roman"/>
          <w:i w:val="0"/>
          <w:iCs w:val="0"/>
          <w:color w:val="auto"/>
          <w:sz w:val="24"/>
          <w:szCs w:val="24"/>
        </w:rPr>
        <w:t>m</w:t>
      </w:r>
      <w:r w:rsidRPr="0072166C">
        <w:rPr>
          <w:rFonts w:ascii="Times New Roman" w:hAnsi="Times New Roman" w:cs="Times New Roman"/>
          <w:i w:val="0"/>
          <w:iCs w:val="0"/>
          <w:color w:val="auto"/>
          <w:sz w:val="24"/>
          <w:szCs w:val="24"/>
        </w:rPr>
        <w:t>edia</w:t>
      </w:r>
      <w:r w:rsidR="00370394">
        <w:rPr>
          <w:rFonts w:ascii="Times New Roman" w:hAnsi="Times New Roman" w:cs="Times New Roman"/>
          <w:i w:val="0"/>
          <w:iCs w:val="0"/>
          <w:color w:val="auto"/>
          <w:sz w:val="24"/>
          <w:szCs w:val="24"/>
        </w:rPr>
        <w:t xml:space="preserve"> y varianza</w:t>
      </w:r>
      <w:r w:rsidRPr="0072166C">
        <w:rPr>
          <w:rFonts w:ascii="Times New Roman" w:hAnsi="Times New Roman" w:cs="Times New Roman"/>
          <w:i w:val="0"/>
          <w:iCs w:val="0"/>
          <w:color w:val="auto"/>
          <w:sz w:val="24"/>
          <w:szCs w:val="24"/>
        </w:rPr>
        <w:t xml:space="preserve"> según el esquema de Política Monetaria</w:t>
      </w:r>
    </w:p>
    <w:tbl>
      <w:tblPr>
        <w:tblW w:w="8737" w:type="dxa"/>
        <w:jc w:val="center"/>
        <w:tblCellMar>
          <w:left w:w="70" w:type="dxa"/>
          <w:right w:w="70" w:type="dxa"/>
        </w:tblCellMar>
        <w:tblLook w:val="04A0" w:firstRow="1" w:lastRow="0" w:firstColumn="1" w:lastColumn="0" w:noHBand="0" w:noVBand="1"/>
      </w:tblPr>
      <w:tblGrid>
        <w:gridCol w:w="5500"/>
        <w:gridCol w:w="2155"/>
        <w:gridCol w:w="1087"/>
      </w:tblGrid>
      <w:tr w:rsidR="00C609FA" w:rsidRPr="00C804CD" w14:paraId="180D17B5" w14:textId="729A1A47" w:rsidTr="00C609FA">
        <w:trPr>
          <w:trHeight w:val="315"/>
          <w:jc w:val="center"/>
        </w:trPr>
        <w:tc>
          <w:tcPr>
            <w:tcW w:w="5500" w:type="dxa"/>
            <w:tcBorders>
              <w:top w:val="single" w:sz="4" w:space="0" w:color="auto"/>
              <w:left w:val="nil"/>
              <w:bottom w:val="single" w:sz="4" w:space="0" w:color="auto"/>
              <w:right w:val="nil"/>
            </w:tcBorders>
            <w:shd w:val="clear" w:color="auto" w:fill="auto"/>
            <w:noWrap/>
            <w:vAlign w:val="bottom"/>
            <w:hideMark/>
          </w:tcPr>
          <w:p w14:paraId="11F4E865" w14:textId="77777777"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155" w:type="dxa"/>
            <w:tcBorders>
              <w:top w:val="single" w:sz="4" w:space="0" w:color="auto"/>
              <w:left w:val="nil"/>
              <w:bottom w:val="single" w:sz="4" w:space="0" w:color="auto"/>
              <w:right w:val="nil"/>
            </w:tcBorders>
            <w:shd w:val="clear" w:color="auto" w:fill="auto"/>
            <w:noWrap/>
            <w:vAlign w:val="bottom"/>
            <w:hideMark/>
          </w:tcPr>
          <w:p w14:paraId="7B84285B" w14:textId="77777777"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c>
          <w:tcPr>
            <w:tcW w:w="1082" w:type="dxa"/>
            <w:tcBorders>
              <w:top w:val="single" w:sz="4" w:space="0" w:color="auto"/>
              <w:left w:val="nil"/>
              <w:bottom w:val="single" w:sz="4" w:space="0" w:color="auto"/>
              <w:right w:val="nil"/>
            </w:tcBorders>
          </w:tcPr>
          <w:p w14:paraId="1CEF18EC" w14:textId="0A8F1FCB"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Varianza</w:t>
            </w:r>
          </w:p>
        </w:tc>
      </w:tr>
      <w:tr w:rsidR="00C609FA" w:rsidRPr="00C804CD" w14:paraId="64337AC4" w14:textId="1B9BC46B" w:rsidTr="00C609FA">
        <w:trPr>
          <w:trHeight w:val="315"/>
          <w:jc w:val="center"/>
        </w:trPr>
        <w:tc>
          <w:tcPr>
            <w:tcW w:w="5500" w:type="dxa"/>
            <w:tcBorders>
              <w:top w:val="nil"/>
              <w:left w:val="nil"/>
              <w:bottom w:val="nil"/>
              <w:right w:val="nil"/>
            </w:tcBorders>
            <w:shd w:val="clear" w:color="auto" w:fill="auto"/>
            <w:noWrap/>
            <w:vAlign w:val="bottom"/>
            <w:hideMark/>
          </w:tcPr>
          <w:p w14:paraId="49533CEA" w14:textId="5D4DBAAF"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155" w:type="dxa"/>
            <w:tcBorders>
              <w:top w:val="nil"/>
              <w:left w:val="nil"/>
              <w:bottom w:val="nil"/>
              <w:right w:val="nil"/>
            </w:tcBorders>
            <w:shd w:val="clear" w:color="auto" w:fill="auto"/>
            <w:noWrap/>
            <w:vAlign w:val="bottom"/>
            <w:hideMark/>
          </w:tcPr>
          <w:p w14:paraId="1954C5C3"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c>
          <w:tcPr>
            <w:tcW w:w="1082" w:type="dxa"/>
            <w:tcBorders>
              <w:top w:val="nil"/>
              <w:left w:val="nil"/>
              <w:bottom w:val="nil"/>
              <w:right w:val="nil"/>
            </w:tcBorders>
          </w:tcPr>
          <w:p w14:paraId="41CAF691" w14:textId="31AC9A76"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132.68</w:t>
            </w:r>
          </w:p>
        </w:tc>
      </w:tr>
      <w:tr w:rsidR="00C609FA" w:rsidRPr="00C804CD" w14:paraId="2AB64F4A" w14:textId="2261ED46" w:rsidTr="00C609FA">
        <w:trPr>
          <w:trHeight w:val="315"/>
          <w:jc w:val="center"/>
        </w:trPr>
        <w:tc>
          <w:tcPr>
            <w:tcW w:w="5500" w:type="dxa"/>
            <w:tcBorders>
              <w:top w:val="nil"/>
              <w:left w:val="nil"/>
              <w:bottom w:val="nil"/>
              <w:right w:val="nil"/>
            </w:tcBorders>
            <w:shd w:val="clear" w:color="auto" w:fill="auto"/>
            <w:noWrap/>
            <w:vAlign w:val="bottom"/>
            <w:hideMark/>
          </w:tcPr>
          <w:p w14:paraId="25F9A27F" w14:textId="77777777"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155" w:type="dxa"/>
            <w:tcBorders>
              <w:top w:val="nil"/>
              <w:left w:val="nil"/>
              <w:bottom w:val="nil"/>
              <w:right w:val="nil"/>
            </w:tcBorders>
            <w:shd w:val="clear" w:color="auto" w:fill="auto"/>
            <w:noWrap/>
            <w:vAlign w:val="bottom"/>
            <w:hideMark/>
          </w:tcPr>
          <w:p w14:paraId="74DBAE30"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c>
          <w:tcPr>
            <w:tcW w:w="1082" w:type="dxa"/>
            <w:tcBorders>
              <w:top w:val="nil"/>
              <w:left w:val="nil"/>
              <w:bottom w:val="nil"/>
              <w:right w:val="nil"/>
            </w:tcBorders>
          </w:tcPr>
          <w:p w14:paraId="21D84CAE" w14:textId="4AA1740C"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7.93</w:t>
            </w:r>
          </w:p>
        </w:tc>
      </w:tr>
      <w:tr w:rsidR="00C609FA" w:rsidRPr="00C804CD" w14:paraId="758C63AF" w14:textId="0202762C" w:rsidTr="00C609FA">
        <w:trPr>
          <w:trHeight w:val="315"/>
          <w:jc w:val="center"/>
        </w:trPr>
        <w:tc>
          <w:tcPr>
            <w:tcW w:w="5500" w:type="dxa"/>
            <w:tcBorders>
              <w:top w:val="nil"/>
              <w:left w:val="nil"/>
              <w:bottom w:val="single" w:sz="4" w:space="0" w:color="auto"/>
              <w:right w:val="nil"/>
            </w:tcBorders>
            <w:shd w:val="clear" w:color="auto" w:fill="auto"/>
            <w:noWrap/>
            <w:vAlign w:val="bottom"/>
            <w:hideMark/>
          </w:tcPr>
          <w:p w14:paraId="2F0C9A6F" w14:textId="77777777"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155" w:type="dxa"/>
            <w:tcBorders>
              <w:top w:val="nil"/>
              <w:left w:val="nil"/>
              <w:bottom w:val="single" w:sz="4" w:space="0" w:color="auto"/>
              <w:right w:val="nil"/>
            </w:tcBorders>
            <w:shd w:val="clear" w:color="auto" w:fill="auto"/>
            <w:noWrap/>
            <w:vAlign w:val="bottom"/>
            <w:hideMark/>
          </w:tcPr>
          <w:p w14:paraId="118D51EB"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c>
          <w:tcPr>
            <w:tcW w:w="1082" w:type="dxa"/>
            <w:tcBorders>
              <w:top w:val="nil"/>
              <w:left w:val="nil"/>
              <w:bottom w:val="single" w:sz="4" w:space="0" w:color="auto"/>
              <w:right w:val="nil"/>
            </w:tcBorders>
          </w:tcPr>
          <w:p w14:paraId="337C29FC" w14:textId="423FD953"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6.85</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1C6E50A1"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términos de la media</w:t>
      </w:r>
      <w:r w:rsidR="005A3E51">
        <w:rPr>
          <w:rFonts w:ascii="Times New Roman" w:hAnsi="Times New Roman" w:cs="Times New Roman"/>
          <w:sz w:val="24"/>
          <w:szCs w:val="24"/>
        </w:rPr>
        <w:t>,</w:t>
      </w:r>
      <w:r>
        <w:rPr>
          <w:rFonts w:ascii="Times New Roman" w:hAnsi="Times New Roman" w:cs="Times New Roman"/>
          <w:sz w:val="24"/>
          <w:szCs w:val="24"/>
        </w:rPr>
        <w:t xml:space="preserve">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sidR="00370394">
        <w:rPr>
          <w:rFonts w:ascii="Times New Roman" w:hAnsi="Times New Roman" w:cs="Times New Roman"/>
          <w:sz w:val="24"/>
          <w:szCs w:val="24"/>
        </w:rPr>
        <w:t xml:space="preserve">, </w:t>
      </w:r>
      <w:r w:rsidR="00370394">
        <w:rPr>
          <w:rFonts w:ascii="Times New Roman" w:hAnsi="Times New Roman" w:cs="Times New Roman"/>
          <w:sz w:val="24"/>
          <w:szCs w:val="24"/>
        </w:rPr>
        <w:lastRenderedPageBreak/>
        <w:t>además de ello la inflación ha mostrado una menor volatilidad en el EMEI que en el esquema de agregados monetarios</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bookmarkStart w:id="19" w:name="_Toc111757500"/>
      <w:r w:rsidRPr="00A4465E">
        <w:rPr>
          <w:rFonts w:ascii="Times New Roman" w:hAnsi="Times New Roman" w:cs="Times New Roman"/>
          <w:b/>
          <w:bCs/>
          <w:color w:val="auto"/>
          <w:sz w:val="24"/>
          <w:szCs w:val="24"/>
        </w:rPr>
        <w:t>1.5.2 Tipo de cambio en Guatemala</w:t>
      </w:r>
      <w:bookmarkEnd w:id="19"/>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65DBB938" w14:textId="4F17FF2A" w:rsidR="005A3E51"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1B5088A7" w14:textId="4240D32F"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588FA20F" w14:textId="455429E5" w:rsidR="005A3E51"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6018D92B" w14:textId="19490FC4" w:rsidR="00F67B05" w:rsidRDefault="00766DC4" w:rsidP="005A3E51">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22EE7E6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pass-through.</w:t>
      </w:r>
    </w:p>
    <w:p w14:paraId="7D931519" w14:textId="77F06C7A"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76A6D8F5" w:rsidR="00F67B05" w:rsidRDefault="00F67B05"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CA7B8B5"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Knetter (1996) la estimación del efecto pass-through para Guatemala se </w:t>
      </w:r>
      <w:r w:rsidR="00AF7DBE">
        <w:rPr>
          <w:rFonts w:ascii="Times New Roman" w:hAnsi="Times New Roman" w:cs="Times New Roman"/>
          <w:sz w:val="24"/>
          <w:szCs w:val="24"/>
        </w:rPr>
        <w:t>hizo</w:t>
      </w:r>
      <w:r>
        <w:rPr>
          <w:rFonts w:ascii="Times New Roman" w:hAnsi="Times New Roman" w:cs="Times New Roman"/>
          <w:sz w:val="24"/>
          <w:szCs w:val="24"/>
        </w:rPr>
        <w:t xml:space="preserve"> en términos de la respuesta porcentual del nivel general de precios ante cambios en el tipo de cambio</w:t>
      </w:r>
      <w:r w:rsidR="00E80C84">
        <w:rPr>
          <w:rFonts w:ascii="Times New Roman" w:hAnsi="Times New Roman" w:cs="Times New Roman"/>
          <w:sz w:val="24"/>
          <w:szCs w:val="24"/>
        </w:rPr>
        <w:t xml:space="preserve"> nominal</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r w:rsidR="00E80C84">
        <w:rPr>
          <w:rFonts w:ascii="Times New Roman" w:hAnsi="Times New Roman" w:cs="Times New Roman"/>
          <w:sz w:val="24"/>
          <w:szCs w:val="24"/>
        </w:rPr>
        <w:t xml:space="preserve"> cambiario</w:t>
      </w:r>
      <w:r w:rsidR="009602B3">
        <w:rPr>
          <w:rFonts w:ascii="Times New Roman" w:hAnsi="Times New Roman" w:cs="Times New Roman"/>
          <w:sz w:val="24"/>
          <w:szCs w:val="24"/>
        </w:rPr>
        <w:t>.</w:t>
      </w:r>
    </w:p>
    <w:p w14:paraId="0F74B7A3" w14:textId="3AD0E911" w:rsidR="00072A44" w:rsidRPr="00D65238" w:rsidRDefault="00781EF8" w:rsidP="00FE029B">
      <w:pPr>
        <w:pStyle w:val="Ttulo2"/>
        <w:spacing w:line="480" w:lineRule="auto"/>
        <w:rPr>
          <w:rFonts w:ascii="Times New Roman" w:hAnsi="Times New Roman" w:cs="Times New Roman"/>
          <w:b/>
          <w:bCs/>
          <w:color w:val="auto"/>
          <w:sz w:val="24"/>
          <w:szCs w:val="24"/>
        </w:rPr>
      </w:pPr>
      <w:bookmarkStart w:id="20" w:name="_Toc111757501"/>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bookmarkEnd w:id="20"/>
    </w:p>
    <w:p w14:paraId="7B89FFB3" w14:textId="1A7555F1"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estimación </w:t>
      </w:r>
      <w:r w:rsidR="00AF7DBE">
        <w:rPr>
          <w:rFonts w:ascii="Times New Roman" w:hAnsi="Times New Roman" w:cs="Times New Roman"/>
          <w:sz w:val="24"/>
          <w:szCs w:val="24"/>
        </w:rPr>
        <w:t>se utilizó</w:t>
      </w:r>
      <w:r>
        <w:rPr>
          <w:rFonts w:ascii="Times New Roman" w:hAnsi="Times New Roman" w:cs="Times New Roman"/>
          <w:sz w:val="24"/>
          <w:szCs w:val="24"/>
        </w:rPr>
        <w:t xml:space="preserve"> un modelo autorregresivo por umbrales</w:t>
      </w:r>
      <w:r w:rsidR="007A0F73">
        <w:rPr>
          <w:rFonts w:ascii="Times New Roman" w:hAnsi="Times New Roman" w:cs="Times New Roman"/>
          <w:sz w:val="24"/>
          <w:szCs w:val="24"/>
        </w:rPr>
        <w:t xml:space="preserve"> (</w:t>
      </w:r>
      <w:r w:rsidR="007A0F73" w:rsidRPr="007A0F73">
        <w:rPr>
          <w:rFonts w:ascii="Times New Roman" w:hAnsi="Times New Roman" w:cs="Times New Roman"/>
          <w:sz w:val="24"/>
          <w:szCs w:val="24"/>
        </w:rPr>
        <w:t>Threshold 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r w:rsidR="00235151">
        <w:rPr>
          <w:rFonts w:ascii="Times New Roman" w:hAnsi="Times New Roman" w:cs="Times New Roman"/>
          <w:sz w:val="24"/>
          <w:szCs w:val="24"/>
        </w:rPr>
        <w:t>Enders (2015).</w:t>
      </w:r>
    </w:p>
    <w:p w14:paraId="31DF0792" w14:textId="045158D3"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w:t>
      </w:r>
      <w:r w:rsidR="00BA6369">
        <w:rPr>
          <w:rFonts w:ascii="Times New Roman" w:hAnsi="Times New Roman" w:cs="Times New Roman"/>
          <w:sz w:val="24"/>
          <w:szCs w:val="24"/>
        </w:rPr>
        <w:t>en cuestión</w:t>
      </w:r>
      <w:r w:rsidR="0034697C">
        <w:rPr>
          <w:rFonts w:ascii="Times New Roman" w:hAnsi="Times New Roman" w:cs="Times New Roman"/>
          <w:sz w:val="24"/>
          <w:szCs w:val="24"/>
        </w:rPr>
        <w:t>.</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258CB737" w14:textId="77777777" w:rsidTr="003D68EB">
        <w:trPr>
          <w:trHeight w:val="850"/>
        </w:trPr>
        <w:tc>
          <w:tcPr>
            <w:tcW w:w="500" w:type="pct"/>
          </w:tcPr>
          <w:p w14:paraId="258441C3"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DDB9A9F" w14:textId="53403671"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tc>
        <w:tc>
          <w:tcPr>
            <w:tcW w:w="500" w:type="pct"/>
            <w:vAlign w:val="center"/>
          </w:tcPr>
          <w:p w14:paraId="4CC7BC39" w14:textId="4941AE08"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0A7D62A4" w14:textId="664EB2CD"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El cual se conoce con el nombre de Self Exciting Threshold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005D0683">
        <w:rPr>
          <w:rFonts w:ascii="Times New Roman" w:eastAsiaTheme="minorEastAsia" w:hAnsi="Times New Roman" w:cs="Times New Roman"/>
          <w:sz w:val="24"/>
          <w:szCs w:val="24"/>
        </w:rPr>
        <w:t xml:space="preserve"> únicamente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o</w:t>
      </w:r>
      <w:r w:rsidR="003D68EB">
        <w:rPr>
          <w:rFonts w:ascii="Times New Roman" w:eastAsiaTheme="minorEastAsia" w:hAnsi="Times New Roman" w:cs="Times New Roman"/>
          <w:sz w:val="24"/>
          <w:szCs w:val="24"/>
        </w:rPr>
        <w:t>,</w:t>
      </w:r>
      <w:r w:rsidRPr="00227A97">
        <w:rPr>
          <w:rFonts w:ascii="Times New Roman" w:eastAsiaTheme="minorEastAsia" w:hAnsi="Times New Roman" w:cs="Times New Roman"/>
          <w:sz w:val="24"/>
          <w:szCs w:val="24"/>
        </w:rPr>
        <w:t xml:space="preserve">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w:t>
      </w:r>
      <w:r w:rsidR="00A105E8" w:rsidRPr="005D0683">
        <w:rPr>
          <w:rFonts w:ascii="Times New Roman" w:eastAsiaTheme="minorEastAsia" w:hAnsi="Times New Roman" w:cs="Times New Roman"/>
          <w:i/>
          <w:iCs/>
          <w:sz w:val="24"/>
          <w:szCs w:val="24"/>
        </w:rPr>
        <w:t>régimen</w:t>
      </w:r>
      <w:r w:rsidR="00A105E8" w:rsidRPr="00227A97">
        <w:rPr>
          <w:rFonts w:ascii="Times New Roman" w:eastAsiaTheme="minorEastAsia" w:hAnsi="Times New Roman" w:cs="Times New Roman"/>
          <w:sz w:val="24"/>
          <w:szCs w:val="24"/>
        </w:rPr>
        <w:t xml:space="preserve"> </w:t>
      </w:r>
      <w:r w:rsidR="005D0683">
        <w:rPr>
          <w:rFonts w:ascii="Times New Roman" w:eastAsiaTheme="minorEastAsia" w:hAnsi="Times New Roman" w:cs="Times New Roman"/>
          <w:sz w:val="24"/>
          <w:szCs w:val="24"/>
        </w:rPr>
        <w:t>y</w:t>
      </w:r>
      <w:r w:rsidR="00A105E8" w:rsidRPr="00227A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w:t>
      </w:r>
      <w:r w:rsidR="002B5C93" w:rsidRPr="00227A97">
        <w:rPr>
          <w:rFonts w:ascii="Times New Roman" w:eastAsiaTheme="minorEastAsia" w:hAnsi="Times New Roman" w:cs="Times New Roman"/>
          <w:sz w:val="24"/>
          <w:szCs w:val="24"/>
        </w:rPr>
        <w:t xml:space="preserve">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59208033"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w:t>
      </w:r>
      <w:r w:rsidR="00EC401A">
        <w:rPr>
          <w:rFonts w:ascii="Times New Roman" w:eastAsiaTheme="minorEastAsia" w:hAnsi="Times New Roman" w:cs="Times New Roman"/>
          <w:sz w:val="24"/>
          <w:szCs w:val="24"/>
        </w:rPr>
        <w:t xml:space="preserve"> anterior</w:t>
      </w:r>
      <w:r>
        <w:rPr>
          <w:rFonts w:ascii="Times New Roman" w:eastAsiaTheme="minorEastAsia" w:hAnsi="Times New Roman" w:cs="Times New Roman"/>
          <w:sz w:val="24"/>
          <w:szCs w:val="24"/>
        </w:rPr>
        <w:t xml:space="preserve"> </w:t>
      </w:r>
      <w:r w:rsidR="00A16ACA">
        <w:rPr>
          <w:rFonts w:ascii="Times New Roman" w:eastAsiaTheme="minorEastAsia" w:hAnsi="Times New Roman" w:cs="Times New Roman"/>
          <w:sz w:val="24"/>
          <w:szCs w:val="24"/>
        </w:rPr>
        <w:t>en términos de su interacción con una variable dummy es</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5810486E" w14:textId="77777777" w:rsidTr="005A3E51">
        <w:trPr>
          <w:trHeight w:val="567"/>
        </w:trPr>
        <w:tc>
          <w:tcPr>
            <w:tcW w:w="500" w:type="pct"/>
          </w:tcPr>
          <w:p w14:paraId="29C75530"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F1BE8FA" w14:textId="47887612"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tc>
        <w:tc>
          <w:tcPr>
            <w:tcW w:w="500" w:type="pct"/>
            <w:vAlign w:val="center"/>
          </w:tcPr>
          <w:p w14:paraId="4CC5B728" w14:textId="77E953B9"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322742">
              <w:rPr>
                <w:rFonts w:ascii="Times New Roman" w:hAnsi="Times New Roman" w:cs="Times New Roman"/>
                <w:sz w:val="24"/>
                <w:szCs w:val="24"/>
              </w:rPr>
              <w:t>1.2</w:t>
            </w:r>
            <w:r>
              <w:rPr>
                <w:rFonts w:ascii="Times New Roman" w:hAnsi="Times New Roman" w:cs="Times New Roman"/>
                <w:sz w:val="24"/>
                <w:szCs w:val="24"/>
              </w:rPr>
              <w:t>)</w:t>
            </w:r>
          </w:p>
        </w:tc>
      </w:tr>
    </w:tbl>
    <w:p w14:paraId="73796EBE" w14:textId="2A25EEDB"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65BA1075"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w:t>
      </w:r>
      <w:r w:rsidR="009A2EB2">
        <w:rPr>
          <w:rFonts w:ascii="Times New Roman" w:eastAsiaTheme="minorEastAsia" w:hAnsi="Times New Roman" w:cs="Times New Roman"/>
          <w:sz w:val="24"/>
          <w:szCs w:val="24"/>
        </w:rPr>
        <w:t xml:space="preserve"> por lo que (2.1.1) queda de la siguiente manera</w:t>
      </w:r>
      <w:r w:rsidR="00C46D9B">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22742" w14:paraId="37C76698" w14:textId="77777777" w:rsidTr="009A2EB2">
        <w:trPr>
          <w:trHeight w:val="850"/>
        </w:trPr>
        <w:tc>
          <w:tcPr>
            <w:tcW w:w="500" w:type="pct"/>
          </w:tcPr>
          <w:p w14:paraId="665C75C9" w14:textId="77777777" w:rsidR="00322742" w:rsidRDefault="00322742" w:rsidP="00A23F2B">
            <w:pPr>
              <w:spacing w:line="360" w:lineRule="auto"/>
              <w:jc w:val="both"/>
              <w:rPr>
                <w:rFonts w:ascii="Times New Roman" w:hAnsi="Times New Roman" w:cs="Times New Roman"/>
                <w:sz w:val="24"/>
                <w:szCs w:val="24"/>
              </w:rPr>
            </w:pPr>
          </w:p>
        </w:tc>
        <w:tc>
          <w:tcPr>
            <w:tcW w:w="4000" w:type="pct"/>
            <w:vAlign w:val="center"/>
          </w:tcPr>
          <w:p w14:paraId="041F7DFC" w14:textId="7C8B4DC6" w:rsidR="00322742"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4730D77B" w14:textId="70D7844F" w:rsidR="00322742" w:rsidRDefault="00322742"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(2.1.3)</w:t>
            </w:r>
          </w:p>
        </w:tc>
      </w:tr>
    </w:tbl>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7B3B2D1E" w14:textId="77777777" w:rsidTr="009A2EB2">
        <w:trPr>
          <w:trHeight w:val="850"/>
        </w:trPr>
        <w:tc>
          <w:tcPr>
            <w:tcW w:w="500" w:type="pct"/>
          </w:tcPr>
          <w:p w14:paraId="34A13C4C"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28930C39" w14:textId="30DC8252"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tc>
        <w:tc>
          <w:tcPr>
            <w:tcW w:w="500" w:type="pct"/>
            <w:vAlign w:val="center"/>
          </w:tcPr>
          <w:p w14:paraId="2C48ADAA" w14:textId="3948FCE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356BC9B4"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amplie el conjunto de variables explicativas y que considere como</w:t>
      </w:r>
      <w:r w:rsidR="00BA6369">
        <w:rPr>
          <w:rFonts w:ascii="Times New Roman" w:eastAsiaTheme="minorEastAsia" w:hAnsi="Times New Roman" w:cs="Times New Roman"/>
          <w:sz w:val="24"/>
          <w:szCs w:val="24"/>
        </w:rPr>
        <w:t xml:space="preserve"> pseudo</w:t>
      </w:r>
      <w:r w:rsidR="00732EAC">
        <w:rPr>
          <w:rFonts w:ascii="Times New Roman" w:eastAsiaTheme="minorEastAsia" w:hAnsi="Times New Roman" w:cs="Times New Roman"/>
          <w:sz w:val="24"/>
          <w:szCs w:val="24"/>
        </w:rPr>
        <w:t xml:space="preserve"> </w:t>
      </w:r>
      <w:r w:rsidR="00732EAC">
        <w:rPr>
          <w:rFonts w:ascii="Times New Roman" w:eastAsiaTheme="minorEastAsia" w:hAnsi="Times New Roman" w:cs="Times New Roman"/>
          <w:i/>
          <w:iCs/>
          <w:sz w:val="24"/>
          <w:szCs w:val="24"/>
        </w:rPr>
        <w:t>variable de estado</w:t>
      </w:r>
      <w:r w:rsidR="005D0683">
        <w:rPr>
          <w:rStyle w:val="Refdenotaalpie"/>
          <w:rFonts w:ascii="Times New Roman" w:eastAsiaTheme="minorEastAsia" w:hAnsi="Times New Roman" w:cs="Times New Roman"/>
          <w:i/>
          <w:iCs/>
          <w:sz w:val="24"/>
          <w:szCs w:val="24"/>
        </w:rPr>
        <w:footnoteReference w:id="11"/>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w:t>
      </w:r>
    </w:p>
    <w:p w14:paraId="2562397E" w14:textId="037D6DB8"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r w:rsidR="00167391">
        <w:rPr>
          <w:rStyle w:val="Refdenotaalpie"/>
          <w:rFonts w:ascii="Times New Roman" w:eastAsiaTheme="minorEastAsia" w:hAnsi="Times New Roman" w:cs="Times New Roman"/>
          <w:sz w:val="24"/>
          <w:szCs w:val="24"/>
        </w:rPr>
        <w:footnoteReference w:id="12"/>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3E132354" w14:textId="77777777" w:rsidTr="005A3E51">
        <w:trPr>
          <w:trHeight w:val="567"/>
        </w:trPr>
        <w:tc>
          <w:tcPr>
            <w:tcW w:w="500" w:type="pct"/>
          </w:tcPr>
          <w:p w14:paraId="771EA67D"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6DE5F2D5" w14:textId="1BA99094"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29A1C519" w14:textId="05945D07"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(2.1.5</w:t>
            </w:r>
          </w:p>
        </w:tc>
      </w:tr>
    </w:tbl>
    <w:p w14:paraId="7AE6935D" w14:textId="77777777" w:rsidR="007623B4" w:rsidRDefault="007623B4" w:rsidP="00626B71">
      <w:pPr>
        <w:spacing w:line="360" w:lineRule="auto"/>
        <w:jc w:val="both"/>
        <w:rPr>
          <w:rFonts w:ascii="Times New Roman" w:eastAsiaTheme="minorEastAsia" w:hAnsi="Times New Roman" w:cs="Times New Roman"/>
          <w:sz w:val="24"/>
          <w:szCs w:val="24"/>
        </w:rPr>
      </w:pPr>
    </w:p>
    <w:p w14:paraId="792DDAE6" w14:textId="77777777" w:rsidR="007623B4"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w:t>
      </w:r>
    </w:p>
    <w:p w14:paraId="012883A1" w14:textId="5251A1DF" w:rsidR="0072740C" w:rsidRDefault="004E436D"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Por último,</w:t>
      </w:r>
      <w:r w:rsidR="00D221CF">
        <w:rPr>
          <w:rFonts w:ascii="Times New Roman" w:eastAsiaTheme="minorEastAsia" w:hAnsi="Times New Roman" w:cs="Times New Roman"/>
          <w:sz w:val="24"/>
          <w:szCs w:val="24"/>
        </w:rPr>
        <w:t xml:space="preserve"> es</w:t>
      </w:r>
      <w:r w:rsidR="002E4E39">
        <w:rPr>
          <w:rFonts w:ascii="Times New Roman" w:eastAsiaTheme="minorEastAsia" w:hAnsi="Times New Roman" w:cs="Times New Roman"/>
          <w:sz w:val="24"/>
          <w:szCs w:val="24"/>
        </w:rPr>
        <w:t xml:space="preserve"> importante destacar que</w:t>
      </w:r>
      <w:r w:rsidR="003C454A">
        <w:rPr>
          <w:rFonts w:ascii="Times New Roman" w:eastAsiaTheme="minorEastAsia" w:hAnsi="Times New Roman" w:cs="Times New Roman"/>
          <w:sz w:val="24"/>
          <w:szCs w:val="24"/>
        </w:rPr>
        <w:t xml:space="preserve"> </w:t>
      </w:r>
      <w:r w:rsidR="002E4E39">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 xml:space="preserve">s </w:t>
      </w:r>
      <w:r w:rsidR="003C454A">
        <w:rPr>
          <w:rFonts w:ascii="Times New Roman" w:eastAsiaTheme="minorEastAsia" w:hAnsi="Times New Roman" w:cs="Times New Roman"/>
          <w:sz w:val="24"/>
          <w:szCs w:val="24"/>
        </w:rPr>
        <w:t xml:space="preserve">permite extender el efecto del cambio de régimen al conjunto </w:t>
      </w:r>
      <w:r w:rsidR="00A77E60">
        <w:rPr>
          <w:rFonts w:ascii="Times New Roman" w:eastAsiaTheme="minorEastAsia" w:hAnsi="Times New Roman" w:cs="Times New Roman"/>
          <w:sz w:val="24"/>
          <w:szCs w:val="24"/>
        </w:rPr>
        <w:t>completo</w:t>
      </w:r>
      <w:r w:rsidR="003C454A">
        <w:rPr>
          <w:rFonts w:ascii="Times New Roman" w:eastAsiaTheme="minorEastAsia" w:hAnsi="Times New Roman" w:cs="Times New Roman"/>
          <w:sz w:val="24"/>
          <w:szCs w:val="24"/>
        </w:rPr>
        <w:t xml:space="preserve">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FE029B">
      <w:pPr>
        <w:pStyle w:val="Ttulo2"/>
        <w:spacing w:line="480" w:lineRule="auto"/>
        <w:rPr>
          <w:rFonts w:ascii="Times New Roman" w:eastAsiaTheme="minorEastAsia" w:hAnsi="Times New Roman" w:cs="Times New Roman"/>
          <w:b/>
          <w:bCs/>
          <w:color w:val="auto"/>
          <w:sz w:val="24"/>
          <w:szCs w:val="24"/>
        </w:rPr>
      </w:pPr>
      <w:bookmarkStart w:id="21" w:name="_Toc111757502"/>
      <w:r w:rsidRPr="00D61CE4">
        <w:rPr>
          <w:rFonts w:ascii="Times New Roman" w:eastAsiaTheme="minorEastAsia" w:hAnsi="Times New Roman" w:cs="Times New Roman"/>
          <w:b/>
          <w:bCs/>
          <w:color w:val="auto"/>
          <w:sz w:val="24"/>
          <w:szCs w:val="24"/>
        </w:rPr>
        <w:t>2.2 Estimación del modelo</w:t>
      </w:r>
      <w:bookmarkEnd w:id="21"/>
    </w:p>
    <w:p w14:paraId="194358A7" w14:textId="4522F24A"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Enders (2015) indica que este dependerá de si se conoce el umbral o umbrales que determinan los regímenes </w:t>
      </w:r>
      <w:r w:rsidR="00F3491C">
        <w:rPr>
          <w:rFonts w:ascii="Times New Roman" w:eastAsiaTheme="minorEastAsia" w:hAnsi="Times New Roman" w:cs="Times New Roman"/>
          <w:sz w:val="24"/>
          <w:szCs w:val="24"/>
        </w:rPr>
        <w:t xml:space="preserve">del modelo. Dado que en la mayoría de las ocasiones se desconoce los umbrales </w:t>
      </w:r>
      <w:r w:rsidR="00311143">
        <w:rPr>
          <w:rFonts w:ascii="Times New Roman" w:eastAsiaTheme="minorEastAsia" w:hAnsi="Times New Roman" w:cs="Times New Roman"/>
          <w:sz w:val="24"/>
          <w:szCs w:val="24"/>
        </w:rPr>
        <w:t>lo primero que debe hacerse es la estimación de estos, para ello se seguirá la propuesta sugerida por Chan (1993) la cual se describe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3"/>
      </w:r>
      <w:r w:rsidR="002E5FD0">
        <w:rPr>
          <w:rFonts w:ascii="Times New Roman" w:eastAsiaTheme="minorEastAsia" w:hAnsi="Times New Roman" w:cs="Times New Roman"/>
          <w:sz w:val="24"/>
          <w:szCs w:val="24"/>
        </w:rPr>
        <w:t>.</w:t>
      </w:r>
    </w:p>
    <w:p w14:paraId="5D1DFBF6" w14:textId="138F463B"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w:t>
      </w:r>
      <w:r w:rsidR="00311143">
        <w:rPr>
          <w:rFonts w:ascii="Times New Roman" w:eastAsiaTheme="minorEastAsia" w:hAnsi="Times New Roman" w:cs="Times New Roman"/>
          <w:sz w:val="24"/>
          <w:szCs w:val="24"/>
        </w:rPr>
        <w:t>captura de cada uno de ellos</w:t>
      </w:r>
      <w:r w:rsidR="008D1843">
        <w:rPr>
          <w:rFonts w:ascii="Times New Roman" w:eastAsiaTheme="minorEastAsia" w:hAnsi="Times New Roman" w:cs="Times New Roman"/>
          <w:sz w:val="24"/>
          <w:szCs w:val="24"/>
        </w:rPr>
        <w:t xml:space="preserve"> la suma de residuos cuadrados (SSR).</w:t>
      </w:r>
    </w:p>
    <w:p w14:paraId="3FF904D7" w14:textId="4F041EFE"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w:t>
      </w:r>
      <w:r w:rsidR="00311143">
        <w:rPr>
          <w:rFonts w:ascii="Times New Roman" w:eastAsiaTheme="minorEastAsia" w:hAnsi="Times New Roman" w:cs="Times New Roman"/>
          <w:sz w:val="24"/>
          <w:szCs w:val="24"/>
        </w:rPr>
        <w:t>contra los umbrales</w:t>
      </w:r>
      <w:r>
        <w:rPr>
          <w:rFonts w:ascii="Times New Roman" w:eastAsiaTheme="minorEastAsia" w:hAnsi="Times New Roman" w:cs="Times New Roman"/>
          <w:sz w:val="24"/>
          <w:szCs w:val="24"/>
        </w:rPr>
        <w:t xml:space="preserve">.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De existir más de un umbral la función de residuos al cuadrado presentará tantos mínimos como umbrales puedan considerarse dentro del modelo.</w:t>
      </w:r>
    </w:p>
    <w:p w14:paraId="6B14E7C8" w14:textId="79BAF89C" w:rsidR="002B68D4" w:rsidRDefault="00311143"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Luego de la </w:t>
      </w:r>
      <w:r w:rsidR="00B71ADE">
        <w:rPr>
          <w:rFonts w:ascii="Times New Roman" w:eastAsiaTheme="minorEastAsia" w:hAnsi="Times New Roman" w:cs="Times New Roman"/>
          <w:sz w:val="24"/>
          <w:szCs w:val="24"/>
        </w:rPr>
        <w:t>estimación</w:t>
      </w:r>
      <w:r>
        <w:rPr>
          <w:rFonts w:ascii="Times New Roman" w:eastAsiaTheme="minorEastAsia" w:hAnsi="Times New Roman" w:cs="Times New Roman"/>
          <w:sz w:val="24"/>
          <w:szCs w:val="24"/>
        </w:rPr>
        <w:t xml:space="preserve"> de los umbrales se </w:t>
      </w:r>
      <w:r w:rsidR="00B71ADE">
        <w:rPr>
          <w:rFonts w:ascii="Times New Roman" w:eastAsiaTheme="minorEastAsia" w:hAnsi="Times New Roman" w:cs="Times New Roman"/>
          <w:sz w:val="24"/>
          <w:szCs w:val="24"/>
        </w:rPr>
        <w:t>ajusta</w:t>
      </w:r>
      <w:r>
        <w:rPr>
          <w:rFonts w:ascii="Times New Roman" w:eastAsiaTheme="minorEastAsia" w:hAnsi="Times New Roman" w:cs="Times New Roman"/>
          <w:sz w:val="24"/>
          <w:szCs w:val="24"/>
        </w:rPr>
        <w:t xml:space="preserve"> el modelo </w:t>
      </w:r>
      <w:r w:rsidR="0008227C">
        <w:rPr>
          <w:rFonts w:ascii="Times New Roman" w:eastAsiaTheme="minorEastAsia" w:hAnsi="Times New Roman" w:cs="Times New Roman"/>
          <w:sz w:val="24"/>
          <w:szCs w:val="24"/>
        </w:rPr>
        <w:t xml:space="preserve">mediante Mínimos Cuadrados Ordinarios ya sea </w:t>
      </w:r>
      <w:r w:rsidR="00D547F5">
        <w:rPr>
          <w:rFonts w:ascii="Times New Roman" w:eastAsiaTheme="minorEastAsia" w:hAnsi="Times New Roman" w:cs="Times New Roman"/>
          <w:sz w:val="24"/>
          <w:szCs w:val="24"/>
        </w:rPr>
        <w:t>a partir</w:t>
      </w:r>
      <w:r w:rsidR="002B68D4">
        <w:rPr>
          <w:rFonts w:ascii="Times New Roman" w:eastAsiaTheme="minorEastAsia" w:hAnsi="Times New Roman" w:cs="Times New Roman"/>
          <w:sz w:val="24"/>
          <w:szCs w:val="24"/>
        </w:rPr>
        <w:t xml:space="preserve"> de la</w:t>
      </w:r>
      <w:r w:rsidR="0008227C">
        <w:rPr>
          <w:rFonts w:ascii="Times New Roman" w:eastAsiaTheme="minorEastAsia" w:hAnsi="Times New Roman" w:cs="Times New Roman"/>
          <w:sz w:val="24"/>
          <w:szCs w:val="24"/>
        </w:rPr>
        <w:t xml:space="preserve"> correcta transformación de las variables</w:t>
      </w:r>
      <w:r w:rsidR="002B68D4">
        <w:rPr>
          <w:rFonts w:ascii="Times New Roman" w:eastAsiaTheme="minorEastAsia" w:hAnsi="Times New Roman" w:cs="Times New Roman"/>
          <w:sz w:val="24"/>
          <w:szCs w:val="24"/>
        </w:rPr>
        <w:t xml:space="preserve"> </w:t>
      </w:r>
      <w:r w:rsidR="00AB2D7B">
        <w:rPr>
          <w:rFonts w:ascii="Times New Roman" w:eastAsiaTheme="minorEastAsia" w:hAnsi="Times New Roman" w:cs="Times New Roman"/>
          <w:sz w:val="24"/>
          <w:szCs w:val="24"/>
        </w:rPr>
        <w:t>de tal manera que los regímenes queden correctamente identificados</w:t>
      </w:r>
      <w:r w:rsidR="0008227C">
        <w:rPr>
          <w:rFonts w:ascii="Times New Roman" w:eastAsiaTheme="minorEastAsia" w:hAnsi="Times New Roman" w:cs="Times New Roman"/>
          <w:sz w:val="24"/>
          <w:szCs w:val="24"/>
        </w:rPr>
        <w:t xml:space="preserve"> o</w:t>
      </w:r>
      <w:r w:rsidR="002B68D4">
        <w:rPr>
          <w:rFonts w:ascii="Times New Roman" w:eastAsiaTheme="minorEastAsia" w:hAnsi="Times New Roman" w:cs="Times New Roman"/>
          <w:sz w:val="24"/>
          <w:szCs w:val="24"/>
        </w:rPr>
        <w:t xml:space="preserve"> por medio d</w:t>
      </w:r>
      <w:r w:rsidR="0008227C">
        <w:rPr>
          <w:rFonts w:ascii="Times New Roman" w:eastAsiaTheme="minorEastAsia" w:hAnsi="Times New Roman" w:cs="Times New Roman"/>
          <w:sz w:val="24"/>
          <w:szCs w:val="24"/>
        </w:rPr>
        <w:t xml:space="preserve">el uso de variables dummy </w:t>
      </w:r>
      <w:r w:rsidR="00D547F5">
        <w:rPr>
          <w:rFonts w:ascii="Times New Roman" w:eastAsiaTheme="minorEastAsia" w:hAnsi="Times New Roman" w:cs="Times New Roman"/>
          <w:sz w:val="24"/>
          <w:szCs w:val="24"/>
        </w:rPr>
        <w:t>dejando uno de los regímenes como el escenario base sobre el cual se determinarán los demás</w:t>
      </w:r>
      <w:r w:rsidR="0008227C">
        <w:rPr>
          <w:rStyle w:val="Refdenotaalpie"/>
          <w:rFonts w:ascii="Times New Roman" w:eastAsiaTheme="minorEastAsia" w:hAnsi="Times New Roman" w:cs="Times New Roman"/>
          <w:sz w:val="24"/>
          <w:szCs w:val="24"/>
        </w:rPr>
        <w:footnoteReference w:id="14"/>
      </w:r>
      <w:r w:rsidR="0008227C">
        <w:rPr>
          <w:rFonts w:ascii="Times New Roman" w:eastAsiaTheme="minorEastAsia" w:hAnsi="Times New Roman" w:cs="Times New Roman"/>
          <w:sz w:val="24"/>
          <w:szCs w:val="24"/>
        </w:rPr>
        <w:t>.</w:t>
      </w:r>
    </w:p>
    <w:p w14:paraId="6E7AF77A" w14:textId="7E74E459" w:rsidR="00E129FD" w:rsidRDefault="00E129FD" w:rsidP="00311143">
      <w:pPr>
        <w:spacing w:line="360" w:lineRule="auto"/>
        <w:jc w:val="both"/>
        <w:rPr>
          <w:rFonts w:ascii="Times New Roman" w:eastAsiaTheme="minorEastAsia" w:hAnsi="Times New Roman" w:cs="Times New Roman"/>
          <w:sz w:val="24"/>
          <w:szCs w:val="24"/>
        </w:rPr>
      </w:pPr>
    </w:p>
    <w:p w14:paraId="3160F0C7" w14:textId="3E3B93FD" w:rsidR="002B68D4" w:rsidRPr="00AF7DBE" w:rsidRDefault="00A10AA7" w:rsidP="00FE029B">
      <w:pPr>
        <w:pStyle w:val="Ttulo2"/>
        <w:spacing w:line="480" w:lineRule="auto"/>
        <w:rPr>
          <w:rFonts w:ascii="Times New Roman" w:eastAsiaTheme="minorEastAsia" w:hAnsi="Times New Roman" w:cs="Times New Roman"/>
          <w:b/>
          <w:bCs/>
          <w:color w:val="auto"/>
          <w:sz w:val="24"/>
          <w:szCs w:val="24"/>
        </w:rPr>
      </w:pPr>
      <w:bookmarkStart w:id="22" w:name="_Toc111757503"/>
      <w:r w:rsidRPr="00AF7DBE">
        <w:rPr>
          <w:rFonts w:ascii="Times New Roman" w:eastAsiaTheme="minorEastAsia" w:hAnsi="Times New Roman" w:cs="Times New Roman"/>
          <w:b/>
          <w:bCs/>
          <w:color w:val="auto"/>
          <w:sz w:val="24"/>
          <w:szCs w:val="24"/>
        </w:rPr>
        <w:lastRenderedPageBreak/>
        <w:t>2.3 Especificación del modelo y variables a utilizar</w:t>
      </w:r>
      <w:bookmarkEnd w:id="22"/>
    </w:p>
    <w:p w14:paraId="0EA927E8" w14:textId="7F4A7245" w:rsidR="00B23072" w:rsidRDefault="00AF7DBE"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especificación general del modelo</w:t>
      </w:r>
      <w:r w:rsidR="00157501">
        <w:rPr>
          <w:rFonts w:ascii="Times New Roman" w:eastAsiaTheme="minorEastAsia" w:hAnsi="Times New Roman" w:cs="Times New Roman"/>
          <w:sz w:val="24"/>
          <w:szCs w:val="24"/>
        </w:rPr>
        <w:t xml:space="preserve"> TAR</w:t>
      </w:r>
      <w:r>
        <w:rPr>
          <w:rFonts w:ascii="Times New Roman" w:eastAsiaTheme="minorEastAsia" w:hAnsi="Times New Roman" w:cs="Times New Roman"/>
          <w:sz w:val="24"/>
          <w:szCs w:val="24"/>
        </w:rPr>
        <w:t xml:space="preserve"> para la estimación del efecto pass-through </w:t>
      </w:r>
      <w:r w:rsidR="009D732B">
        <w:rPr>
          <w:rFonts w:ascii="Times New Roman" w:eastAsiaTheme="minorEastAsia" w:hAnsi="Times New Roman" w:cs="Times New Roman"/>
          <w:sz w:val="24"/>
          <w:szCs w:val="24"/>
        </w:rPr>
        <w:t>fue: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E91018" w14:paraId="492BA610" w14:textId="77777777" w:rsidTr="00FE5621">
        <w:trPr>
          <w:trHeight w:val="964"/>
        </w:trPr>
        <w:tc>
          <w:tcPr>
            <w:tcW w:w="120" w:type="pct"/>
          </w:tcPr>
          <w:p w14:paraId="5B64721E" w14:textId="77777777" w:rsidR="00E91018" w:rsidRDefault="00E91018" w:rsidP="00A23F2B">
            <w:pPr>
              <w:spacing w:line="360" w:lineRule="auto"/>
              <w:jc w:val="both"/>
              <w:rPr>
                <w:rFonts w:ascii="Times New Roman" w:hAnsi="Times New Roman" w:cs="Times New Roman"/>
                <w:sz w:val="24"/>
                <w:szCs w:val="24"/>
              </w:rPr>
            </w:pPr>
          </w:p>
        </w:tc>
        <w:tc>
          <w:tcPr>
            <w:tcW w:w="4415" w:type="pct"/>
            <w:vAlign w:val="center"/>
          </w:tcPr>
          <w:p w14:paraId="377ADFA9" w14:textId="2E732E8D" w:rsidR="00E91018" w:rsidRDefault="00E91018"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&lt;τ</m:t>
                        </m:r>
                      </m:e>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≥τ</m:t>
                        </m:r>
                      </m:e>
                    </m:eqArr>
                  </m:e>
                </m:d>
              </m:oMath>
            </m:oMathPara>
          </w:p>
        </w:tc>
        <w:tc>
          <w:tcPr>
            <w:tcW w:w="464" w:type="pct"/>
            <w:vAlign w:val="center"/>
          </w:tcPr>
          <w:p w14:paraId="7FE32C69" w14:textId="32126B5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(2.3.1)</w:t>
            </w:r>
          </w:p>
        </w:tc>
      </w:tr>
    </w:tbl>
    <w:p w14:paraId="6782EA5C" w14:textId="409562CA" w:rsidR="007B74F8" w:rsidRDefault="007E1BF4"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Que para fines del ajuste del modelo</w:t>
      </w:r>
      <w:r w:rsidR="001575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 optó por una especificación equivalente que permitiera la interacción con una variable dummy</w:t>
      </w:r>
      <w:r w:rsidR="00BE22D3">
        <w:rPr>
          <w:rFonts w:ascii="Times New Roman" w:eastAsiaTheme="minorEastAsia" w:hAnsi="Times New Roman" w:cs="Times New Roman"/>
          <w:sz w:val="24"/>
          <w:szCs w:val="24"/>
        </w:rPr>
        <w:t>, por lo que (2.3.1) quedó definido de la siguiente manera</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7733"/>
        <w:gridCol w:w="871"/>
      </w:tblGrid>
      <w:tr w:rsidR="00E91018" w14:paraId="3E63094A" w14:textId="77777777" w:rsidTr="00E91018">
        <w:trPr>
          <w:trHeight w:val="567"/>
        </w:trPr>
        <w:tc>
          <w:tcPr>
            <w:tcW w:w="132" w:type="pct"/>
          </w:tcPr>
          <w:p w14:paraId="16BAB3EB" w14:textId="77777777" w:rsidR="00E91018" w:rsidRDefault="00E91018" w:rsidP="00A23F2B">
            <w:pPr>
              <w:spacing w:line="360" w:lineRule="auto"/>
              <w:jc w:val="both"/>
              <w:rPr>
                <w:rFonts w:ascii="Times New Roman" w:hAnsi="Times New Roman" w:cs="Times New Roman"/>
                <w:sz w:val="24"/>
                <w:szCs w:val="24"/>
              </w:rPr>
            </w:pPr>
          </w:p>
        </w:tc>
        <w:tc>
          <w:tcPr>
            <w:tcW w:w="4375" w:type="pct"/>
            <w:vAlign w:val="center"/>
          </w:tcPr>
          <w:p w14:paraId="1394FCCA" w14:textId="7B9B31FA" w:rsidR="00E91018" w:rsidRPr="00E91018" w:rsidRDefault="00E91018" w:rsidP="00E91018">
            <w:pPr>
              <w:spacing w:line="360" w:lineRule="auto"/>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m:oMathPara>
          </w:p>
        </w:tc>
        <w:tc>
          <w:tcPr>
            <w:tcW w:w="493" w:type="pct"/>
            <w:vAlign w:val="center"/>
          </w:tcPr>
          <w:p w14:paraId="55B2909F" w14:textId="697161F3"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(2.3.2)</w:t>
            </w:r>
          </w:p>
        </w:tc>
      </w:tr>
    </w:tbl>
    <w:p w14:paraId="6F14E993" w14:textId="794BAD32" w:rsidR="00CF6845" w:rsidRDefault="000710E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12B23FB2" w14:textId="3B9EA71E" w:rsidR="000710EE"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77217F">
        <w:rPr>
          <w:rFonts w:ascii="Times New Roman" w:eastAsiaTheme="minorEastAsia" w:hAnsi="Times New Roman" w:cs="Times New Roman"/>
          <w:sz w:val="24"/>
          <w:szCs w:val="24"/>
        </w:rPr>
        <w:t xml:space="preserve">  Es el componente autónomo de la inflación</w:t>
      </w:r>
      <w:r w:rsidR="00AF14FB">
        <w:rPr>
          <w:rFonts w:ascii="Times New Roman" w:eastAsiaTheme="minorEastAsia" w:hAnsi="Times New Roman" w:cs="Times New Roman"/>
          <w:sz w:val="24"/>
          <w:szCs w:val="24"/>
        </w:rPr>
        <w:t>.</w:t>
      </w:r>
    </w:p>
    <w:p w14:paraId="2F97F62A" w14:textId="5C68EDFC" w:rsidR="00D85485" w:rsidRDefault="00D85485" w:rsidP="0080021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w:r w:rsidR="00902AB8">
        <w:rPr>
          <w:rFonts w:ascii="Times New Roman" w:eastAsiaTheme="minorEastAsia" w:hAnsi="Times New Roman" w:cs="Times New Roman"/>
          <w:sz w:val="24"/>
          <w:szCs w:val="24"/>
        </w:rPr>
        <w:t>Inflación de Guatemala</w:t>
      </w:r>
      <w:r w:rsidR="00AF14FB">
        <w:rPr>
          <w:rFonts w:ascii="Times New Roman" w:eastAsiaTheme="minorEastAsia" w:hAnsi="Times New Roman" w:cs="Times New Roman"/>
          <w:sz w:val="24"/>
          <w:szCs w:val="24"/>
        </w:rPr>
        <w:t>.</w:t>
      </w:r>
    </w:p>
    <w:p w14:paraId="6D430E44" w14:textId="4C0E88E5"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w:r w:rsidR="007E1BF4">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omponente inercial de inflació</w:t>
      </w:r>
      <w:r w:rsidR="00B71ADE">
        <w:rPr>
          <w:rFonts w:ascii="Times New Roman" w:eastAsiaTheme="minorEastAsia" w:hAnsi="Times New Roman" w:cs="Times New Roman"/>
          <w:sz w:val="24"/>
          <w:szCs w:val="24"/>
        </w:rPr>
        <w:t>n</w:t>
      </w:r>
      <w:r w:rsidR="00AF14FB">
        <w:rPr>
          <w:rFonts w:ascii="Times New Roman" w:eastAsiaTheme="minorEastAsia" w:hAnsi="Times New Roman" w:cs="Times New Roman"/>
          <w:sz w:val="24"/>
          <w:szCs w:val="24"/>
        </w:rPr>
        <w:t>.</w:t>
      </w:r>
    </w:p>
    <w:p w14:paraId="6201D78F" w14:textId="131F9057"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Variación porcentual del tipo de cambio nomina</w:t>
      </w:r>
      <w:r w:rsidR="0080021E">
        <w:rPr>
          <w:rFonts w:ascii="Times New Roman" w:eastAsiaTheme="minorEastAsia" w:hAnsi="Times New Roman" w:cs="Times New Roman"/>
          <w:sz w:val="24"/>
          <w:szCs w:val="24"/>
        </w:rPr>
        <w:t>l.</w:t>
      </w:r>
    </w:p>
    <w:p w14:paraId="28F5AEE0" w14:textId="4FF8BDF6"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w:r>
        <w:rPr>
          <w:rFonts w:ascii="Times New Roman" w:eastAsiaTheme="minorEastAsia" w:hAnsi="Times New Roman" w:cs="Times New Roman"/>
          <w:sz w:val="24"/>
          <w:szCs w:val="24"/>
        </w:rPr>
        <w:t xml:space="preserve"> </w:t>
      </w:r>
      <w:r w:rsidR="00AF14FB">
        <w:rPr>
          <w:rFonts w:ascii="Times New Roman" w:eastAsiaTheme="minorEastAsia" w:hAnsi="Times New Roman" w:cs="Times New Roman"/>
          <w:sz w:val="24"/>
          <w:szCs w:val="24"/>
        </w:rPr>
        <w:t xml:space="preserve">Inflación </w:t>
      </w:r>
      <w:r w:rsidR="0080021E">
        <w:rPr>
          <w:rFonts w:ascii="Times New Roman" w:eastAsiaTheme="minorEastAsia" w:hAnsi="Times New Roman" w:cs="Times New Roman"/>
          <w:sz w:val="24"/>
          <w:szCs w:val="24"/>
        </w:rPr>
        <w:t>de Estados Unidos</w:t>
      </w:r>
      <w:r w:rsidR="00AF14FB">
        <w:rPr>
          <w:rFonts w:ascii="Times New Roman" w:eastAsiaTheme="minorEastAsia" w:hAnsi="Times New Roman" w:cs="Times New Roman"/>
          <w:sz w:val="24"/>
          <w:szCs w:val="24"/>
        </w:rPr>
        <w:t>.</w:t>
      </w:r>
    </w:p>
    <w:p w14:paraId="211C62BD" w14:textId="09B3635F" w:rsidR="00A03F0D" w:rsidRDefault="00000000" w:rsidP="000710EE">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w:r w:rsidR="0077217F">
        <w:rPr>
          <w:rFonts w:ascii="Times New Roman" w:eastAsiaTheme="minorEastAsia" w:hAnsi="Times New Roman" w:cs="Times New Roman"/>
          <w:sz w:val="24"/>
          <w:szCs w:val="24"/>
        </w:rPr>
        <w:t xml:space="preserve">  Brecha del producto en términos porcentuales</w:t>
      </w:r>
      <w:r w:rsidR="00AF14FB">
        <w:rPr>
          <w:rFonts w:ascii="Times New Roman" w:eastAsiaTheme="minorEastAsia" w:hAnsi="Times New Roman" w:cs="Times New Roman"/>
          <w:sz w:val="24"/>
          <w:szCs w:val="24"/>
        </w:rPr>
        <w:t>.</w:t>
      </w:r>
    </w:p>
    <w:p w14:paraId="11A42574" w14:textId="44633CD5" w:rsidR="00436DEC"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436DEC" w:rsidRPr="00436DEC">
        <w:rPr>
          <w:rFonts w:ascii="Times New Roman" w:eastAsiaTheme="minorEastAsia" w:hAnsi="Times New Roman" w:cs="Times New Roman"/>
          <w:sz w:val="24"/>
          <w:szCs w:val="24"/>
        </w:rPr>
        <w:t xml:space="preserve"> Variable </w:t>
      </w:r>
      <w:r w:rsidR="00436DEC">
        <w:rPr>
          <w:rFonts w:ascii="Times New Roman" w:eastAsiaTheme="minorEastAsia" w:hAnsi="Times New Roman" w:cs="Times New Roman"/>
          <w:sz w:val="24"/>
          <w:szCs w:val="24"/>
        </w:rPr>
        <w:t xml:space="preserve">dummy que toma el valor de 1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436DEC">
        <w:rPr>
          <w:rFonts w:ascii="Times New Roman" w:eastAsiaTheme="minorEastAsia" w:hAnsi="Times New Roman" w:cs="Times New Roman"/>
          <w:sz w:val="24"/>
          <w:szCs w:val="24"/>
        </w:rPr>
        <w:t xml:space="preserve"> y 0 en cualquier otro caso.</w:t>
      </w:r>
    </w:p>
    <w:p w14:paraId="65D46020" w14:textId="3DBD0C5A" w:rsidR="005202E7" w:rsidRPr="004573FE" w:rsidRDefault="00FE5621" w:rsidP="000710EE">
      <w:pPr>
        <w:spacing w:line="360" w:lineRule="auto"/>
        <w:jc w:val="both"/>
        <w:rPr>
          <w:rFonts w:ascii="Times New Roman" w:eastAsiaTheme="minorEastAsia" w:hAnsi="Times New Roman" w:cs="Times New Roman"/>
          <w:sz w:val="24"/>
          <w:szCs w:val="24"/>
        </w:rPr>
      </w:pPr>
      <w:r w:rsidRPr="004573FE">
        <w:rPr>
          <w:rFonts w:ascii="Times New Roman" w:eastAsiaTheme="minorEastAsia" w:hAnsi="Times New Roman" w:cs="Times New Roman"/>
          <w:sz w:val="24"/>
          <w:szCs w:val="24"/>
        </w:rPr>
        <w:t xml:space="preserve">Dentro de la especificación </w:t>
      </w:r>
      <w:r w:rsidR="005202E7" w:rsidRPr="004573FE">
        <w:rPr>
          <w:rFonts w:ascii="Times New Roman" w:eastAsiaTheme="minorEastAsia" w:hAnsi="Times New Roman" w:cs="Times New Roman"/>
          <w:sz w:val="24"/>
          <w:szCs w:val="24"/>
        </w:rPr>
        <w:t>de</w:t>
      </w:r>
      <w:r w:rsidRPr="004573FE">
        <w:rPr>
          <w:rFonts w:ascii="Times New Roman" w:eastAsiaTheme="minorEastAsia" w:hAnsi="Times New Roman" w:cs="Times New Roman"/>
          <w:sz w:val="24"/>
          <w:szCs w:val="24"/>
        </w:rPr>
        <w:t xml:space="preserve"> (2.3.2) el componente inercial de la inflación constituye la variable que defi</w:t>
      </w:r>
      <w:r w:rsidR="005202E7" w:rsidRPr="004573FE">
        <w:rPr>
          <w:rFonts w:ascii="Times New Roman" w:eastAsiaTheme="minorEastAsia" w:hAnsi="Times New Roman" w:cs="Times New Roman"/>
          <w:sz w:val="24"/>
          <w:szCs w:val="24"/>
        </w:rPr>
        <w:t xml:space="preserve">ne el estado del sistema.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5202E7" w:rsidRPr="004573FE">
        <w:rPr>
          <w:rFonts w:ascii="Times New Roman" w:eastAsiaTheme="minorEastAsia" w:hAnsi="Times New Roman" w:cs="Times New Roman"/>
          <w:sz w:val="24"/>
          <w:szCs w:val="24"/>
        </w:rPr>
        <w:t xml:space="preserve"> la economía se encuentra en un régimen de inflación baja, por el contrario,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oMath>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se encuentra </w:t>
      </w:r>
      <w:r w:rsidR="005202E7" w:rsidRPr="004573FE">
        <w:rPr>
          <w:rFonts w:ascii="Times New Roman" w:eastAsiaTheme="minorEastAsia" w:hAnsi="Times New Roman" w:cs="Times New Roman"/>
          <w:sz w:val="24"/>
          <w:szCs w:val="24"/>
        </w:rPr>
        <w:t>en un régimen inflacionario alt</w:t>
      </w:r>
      <w:r w:rsidR="00E06145" w:rsidRPr="004573FE">
        <w:rPr>
          <w:rFonts w:ascii="Times New Roman" w:eastAsiaTheme="minorEastAsia" w:hAnsi="Times New Roman" w:cs="Times New Roman"/>
          <w:sz w:val="24"/>
          <w:szCs w:val="24"/>
        </w:rPr>
        <w:t>a</w:t>
      </w:r>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Definido </w:t>
      </w:r>
      <w:r w:rsidR="00157501">
        <w:rPr>
          <w:rFonts w:ascii="Times New Roman" w:eastAsiaTheme="minorEastAsia" w:hAnsi="Times New Roman" w:cs="Times New Roman"/>
          <w:sz w:val="24"/>
          <w:szCs w:val="24"/>
        </w:rPr>
        <w:t>lo anterior</w:t>
      </w:r>
      <w:r w:rsidR="004573FE">
        <w:rPr>
          <w:rFonts w:ascii="Times New Roman" w:eastAsiaTheme="minorEastAsia" w:hAnsi="Times New Roman" w:cs="Times New Roman"/>
          <w:sz w:val="24"/>
          <w:szCs w:val="24"/>
        </w:rPr>
        <w:t xml:space="preserve">, el efecto pass-through </w:t>
      </w:r>
      <w:r w:rsidR="00D547F5">
        <w:rPr>
          <w:rFonts w:ascii="Times New Roman" w:eastAsiaTheme="minorEastAsia" w:hAnsi="Times New Roman" w:cs="Times New Roman"/>
          <w:sz w:val="24"/>
          <w:szCs w:val="24"/>
        </w:rPr>
        <w:t xml:space="preserve">es el coeficiente asociado 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D547F5">
        <w:rPr>
          <w:rFonts w:ascii="Times New Roman" w:eastAsiaTheme="minorEastAsia" w:hAnsi="Times New Roman" w:cs="Times New Roman"/>
          <w:sz w:val="24"/>
          <w:szCs w:val="24"/>
        </w:rPr>
        <w:t xml:space="preserve"> y su magnitud dependerá del régimen inflacionario de la economía</w:t>
      </w:r>
      <w:r w:rsidR="004573FE">
        <w:rPr>
          <w:rFonts w:ascii="Times New Roman" w:eastAsiaTheme="minorEastAsia" w:hAnsi="Times New Roman" w:cs="Times New Roman"/>
          <w:sz w:val="24"/>
          <w:szCs w:val="24"/>
        </w:rPr>
        <w:t>.</w:t>
      </w:r>
    </w:p>
    <w:p w14:paraId="5649D086" w14:textId="2F5187D2" w:rsidR="0080021E" w:rsidRPr="005202E7"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Descripción de las variables</w:t>
      </w:r>
    </w:p>
    <w:p w14:paraId="0043669E" w14:textId="4B3817C3" w:rsidR="0080021E" w:rsidRPr="0080021E"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Todas las variables utilizadas </w:t>
      </w:r>
      <w:r w:rsidR="008B66B6">
        <w:rPr>
          <w:rFonts w:ascii="Times New Roman" w:eastAsiaTheme="minorEastAsia" w:hAnsi="Times New Roman" w:cs="Times New Roman"/>
          <w:sz w:val="24"/>
          <w:szCs w:val="24"/>
        </w:rPr>
        <w:t>tienen una frecuencia</w:t>
      </w:r>
      <w:r>
        <w:rPr>
          <w:rFonts w:ascii="Times New Roman" w:eastAsiaTheme="minorEastAsia" w:hAnsi="Times New Roman" w:cs="Times New Roman"/>
          <w:sz w:val="24"/>
          <w:szCs w:val="24"/>
        </w:rPr>
        <w:t xml:space="preserve"> mensual con un periodo de análisis desde enero 2001 hasta mayo 2022</w:t>
      </w:r>
      <w:r w:rsidR="0015750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A44F7F">
        <w:rPr>
          <w:rFonts w:ascii="Times New Roman" w:eastAsiaTheme="minorEastAsia" w:hAnsi="Times New Roman" w:cs="Times New Roman"/>
          <w:sz w:val="24"/>
          <w:szCs w:val="24"/>
        </w:rPr>
        <w:t>esto debido a la disponibilidad</w:t>
      </w:r>
      <w:r w:rsidR="00303E86">
        <w:rPr>
          <w:rFonts w:ascii="Times New Roman" w:eastAsiaTheme="minorEastAsia" w:hAnsi="Times New Roman" w:cs="Times New Roman"/>
          <w:sz w:val="24"/>
          <w:szCs w:val="24"/>
        </w:rPr>
        <w:t xml:space="preserve"> y uniformidad</w:t>
      </w:r>
      <w:r w:rsidRPr="00A44F7F">
        <w:rPr>
          <w:rFonts w:ascii="Times New Roman" w:eastAsiaTheme="minorEastAsia" w:hAnsi="Times New Roman" w:cs="Times New Roman"/>
          <w:sz w:val="24"/>
          <w:szCs w:val="24"/>
        </w:rPr>
        <w:t xml:space="preserve"> de los datos</w:t>
      </w:r>
      <w:r>
        <w:rPr>
          <w:rFonts w:ascii="Times New Roman" w:eastAsiaTheme="minorEastAsia" w:hAnsi="Times New Roman" w:cs="Times New Roman"/>
          <w:sz w:val="24"/>
          <w:szCs w:val="24"/>
        </w:rPr>
        <w:t xml:space="preserve"> </w:t>
      </w:r>
      <w:r w:rsidR="00303E86">
        <w:rPr>
          <w:rFonts w:ascii="Times New Roman" w:eastAsiaTheme="minorEastAsia" w:hAnsi="Times New Roman" w:cs="Times New Roman"/>
          <w:sz w:val="24"/>
          <w:szCs w:val="24"/>
        </w:rPr>
        <w:lastRenderedPageBreak/>
        <w:t xml:space="preserve">además del </w:t>
      </w:r>
      <w:r>
        <w:rPr>
          <w:rFonts w:ascii="Times New Roman" w:eastAsiaTheme="minorEastAsia" w:hAnsi="Times New Roman" w:cs="Times New Roman"/>
          <w:sz w:val="24"/>
          <w:szCs w:val="24"/>
        </w:rPr>
        <w:t>hecho</w:t>
      </w:r>
      <w:r w:rsidR="00157501">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que </w:t>
      </w:r>
      <w:r w:rsidR="00303E86">
        <w:rPr>
          <w:rFonts w:ascii="Times New Roman" w:eastAsiaTheme="minorEastAsia" w:hAnsi="Times New Roman" w:cs="Times New Roman"/>
          <w:sz w:val="24"/>
          <w:szCs w:val="24"/>
        </w:rPr>
        <w:t>este</w:t>
      </w:r>
      <w:r w:rsidR="00157501">
        <w:rPr>
          <w:rFonts w:ascii="Times New Roman" w:eastAsiaTheme="minorEastAsia" w:hAnsi="Times New Roman" w:cs="Times New Roman"/>
          <w:sz w:val="24"/>
          <w:szCs w:val="24"/>
        </w:rPr>
        <w:t xml:space="preserve"> periodo abarca la transición del esquema de agregados monetari</w:t>
      </w:r>
      <w:r w:rsidR="008B66B6">
        <w:rPr>
          <w:rFonts w:ascii="Times New Roman" w:eastAsiaTheme="minorEastAsia" w:hAnsi="Times New Roman" w:cs="Times New Roman"/>
          <w:sz w:val="24"/>
          <w:szCs w:val="24"/>
        </w:rPr>
        <w:t>os</w:t>
      </w:r>
      <w:r w:rsidR="00157501">
        <w:rPr>
          <w:rFonts w:ascii="Times New Roman" w:eastAsiaTheme="minorEastAsia" w:hAnsi="Times New Roman" w:cs="Times New Roman"/>
          <w:sz w:val="24"/>
          <w:szCs w:val="24"/>
        </w:rPr>
        <w:t xml:space="preserve"> al de metas explicitas de inflación.</w:t>
      </w:r>
    </w:p>
    <w:p w14:paraId="596465B5" w14:textId="1B7065E3" w:rsidR="0077217F" w:rsidRDefault="00A03F0D"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Inflación mensual</w:t>
      </w:r>
      <w:r w:rsidR="003366EC">
        <w:rPr>
          <w:rFonts w:ascii="Times New Roman" w:eastAsiaTheme="minorEastAsia" w:hAnsi="Times New Roman" w:cs="Times New Roman"/>
          <w:b/>
          <w:bCs/>
          <w:sz w:val="24"/>
          <w:szCs w:val="24"/>
        </w:rPr>
        <w:t xml:space="preserve"> de Guatemala</w:t>
      </w:r>
      <w:r w:rsidR="00795813">
        <w:rPr>
          <w:rFonts w:ascii="Times New Roman" w:eastAsiaTheme="minorEastAsia" w:hAnsi="Times New Roman" w:cs="Times New Roman"/>
          <w:b/>
          <w:bCs/>
          <w:sz w:val="24"/>
          <w:szCs w:val="24"/>
        </w:rPr>
        <w:t>:</w:t>
      </w:r>
    </w:p>
    <w:p w14:paraId="54C8DBA5" w14:textId="0BC9EA9D" w:rsidR="00795813" w:rsidRDefault="00BF73DC"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inflación para Guatemala se calculó como la tasa de variación del Índice de Precios al Consumidor (IPC) de un mes a otro de la siguiente manera</w:t>
      </w:r>
      <w:r w:rsidR="00795813">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0DBDB979" w14:textId="77777777" w:rsidTr="009A2EB2">
        <w:trPr>
          <w:trHeight w:val="850"/>
        </w:trPr>
        <w:tc>
          <w:tcPr>
            <w:tcW w:w="500" w:type="pct"/>
          </w:tcPr>
          <w:p w14:paraId="57F8FB5F"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05D0552A" w14:textId="51B983F0"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245FE415" w14:textId="0396C7B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(2.3.3)</w:t>
            </w:r>
          </w:p>
        </w:tc>
      </w:tr>
    </w:tbl>
    <w:p w14:paraId="7BDBF396" w14:textId="030E10E0" w:rsidR="002F1E80" w:rsidRDefault="00A27922"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Depreciación mensual del tipo de cambio nominal</w:t>
      </w:r>
      <w:r w:rsidR="00795813">
        <w:rPr>
          <w:rFonts w:ascii="Times New Roman" w:eastAsiaTheme="minorEastAsia" w:hAnsi="Times New Roman" w:cs="Times New Roman"/>
          <w:b/>
          <w:bCs/>
          <w:sz w:val="24"/>
          <w:szCs w:val="24"/>
        </w:rPr>
        <w:t>:</w:t>
      </w:r>
    </w:p>
    <w:p w14:paraId="188DFD45" w14:textId="6061CF56" w:rsidR="00795813" w:rsidRDefault="00795813"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3A3C2A">
        <w:rPr>
          <w:rFonts w:ascii="Times New Roman" w:eastAsiaTheme="minorEastAsia" w:hAnsi="Times New Roman" w:cs="Times New Roman"/>
          <w:sz w:val="24"/>
          <w:szCs w:val="24"/>
        </w:rPr>
        <w:t xml:space="preserve">la depreciación mensual </w:t>
      </w:r>
      <w:r>
        <w:rPr>
          <w:rFonts w:ascii="Times New Roman" w:eastAsiaTheme="minorEastAsia" w:hAnsi="Times New Roman" w:cs="Times New Roman"/>
          <w:sz w:val="24"/>
          <w:szCs w:val="24"/>
        </w:rPr>
        <w:t xml:space="preserve">del tipo de cambio se utilizó </w:t>
      </w:r>
      <w:r w:rsidR="008B66B6">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promedio </w:t>
      </w:r>
      <w:r w:rsidR="008B66B6">
        <w:rPr>
          <w:rFonts w:ascii="Times New Roman" w:eastAsiaTheme="minorEastAsia" w:hAnsi="Times New Roman" w:cs="Times New Roman"/>
          <w:sz w:val="24"/>
          <w:szCs w:val="24"/>
        </w:rPr>
        <w:t>entre</w:t>
      </w:r>
      <w:r w:rsidR="00242DDD">
        <w:rPr>
          <w:rFonts w:ascii="Times New Roman" w:eastAsiaTheme="minorEastAsia" w:hAnsi="Times New Roman" w:cs="Times New Roman"/>
          <w:sz w:val="24"/>
          <w:szCs w:val="24"/>
        </w:rPr>
        <w:t xml:space="preserve"> las operaciones de compra y venta del</w:t>
      </w:r>
      <w:r>
        <w:rPr>
          <w:rFonts w:ascii="Times New Roman" w:eastAsiaTheme="minorEastAsia" w:hAnsi="Times New Roman" w:cs="Times New Roman"/>
          <w:sz w:val="24"/>
          <w:szCs w:val="24"/>
        </w:rPr>
        <w:t xml:space="preserve"> tipo de cambio promedio ponderado</w:t>
      </w:r>
      <w:r w:rsidR="0007020D">
        <w:rPr>
          <w:rFonts w:ascii="Times New Roman" w:eastAsiaTheme="minorEastAsia" w:hAnsi="Times New Roman" w:cs="Times New Roman"/>
          <w:sz w:val="24"/>
          <w:szCs w:val="24"/>
        </w:rPr>
        <w:t xml:space="preserve"> en el mercado institucional de divisa</w:t>
      </w:r>
      <w:r w:rsidR="008B66B6">
        <w:rPr>
          <w:rStyle w:val="Refdenotaalpie"/>
          <w:rFonts w:ascii="Times New Roman" w:eastAsiaTheme="minorEastAsia" w:hAnsi="Times New Roman" w:cs="Times New Roman"/>
          <w:sz w:val="24"/>
          <w:szCs w:val="24"/>
        </w:rPr>
        <w:footnoteReference w:id="15"/>
      </w:r>
      <w:r w:rsidR="0007020D">
        <w:rPr>
          <w:rFonts w:ascii="Times New Roman" w:eastAsiaTheme="minorEastAsia" w:hAnsi="Times New Roman" w:cs="Times New Roman"/>
          <w:sz w:val="24"/>
          <w:szCs w:val="24"/>
        </w:rPr>
        <w:t>.</w:t>
      </w:r>
      <w:r w:rsidR="00AF14FB">
        <w:rPr>
          <w:rFonts w:ascii="Times New Roman" w:eastAsiaTheme="minorEastAsia" w:hAnsi="Times New Roman" w:cs="Times New Roman"/>
          <w:sz w:val="24"/>
          <w:szCs w:val="24"/>
        </w:rPr>
        <w:t xml:space="preserve"> De igual manera que la inflación mensual</w:t>
      </w:r>
      <w:r w:rsidR="008B66B6">
        <w:rPr>
          <w:rFonts w:ascii="Times New Roman" w:eastAsiaTheme="minorEastAsia" w:hAnsi="Times New Roman" w:cs="Times New Roman"/>
          <w:sz w:val="24"/>
          <w:szCs w:val="24"/>
        </w:rPr>
        <w:t>,</w:t>
      </w:r>
      <w:r w:rsidR="00F4641E">
        <w:rPr>
          <w:rFonts w:ascii="Times New Roman" w:eastAsiaTheme="minorEastAsia" w:hAnsi="Times New Roman" w:cs="Times New Roman"/>
          <w:sz w:val="24"/>
          <w:szCs w:val="24"/>
        </w:rPr>
        <w:t xml:space="preserve"> s</w:t>
      </w:r>
      <w:r w:rsidR="00852F7F">
        <w:rPr>
          <w:rFonts w:ascii="Times New Roman" w:eastAsiaTheme="minorEastAsia" w:hAnsi="Times New Roman" w:cs="Times New Roman"/>
          <w:sz w:val="24"/>
          <w:szCs w:val="24"/>
        </w:rPr>
        <w:t>u</w:t>
      </w:r>
      <w:r w:rsidR="00F4641E">
        <w:rPr>
          <w:rFonts w:ascii="Times New Roman" w:eastAsiaTheme="minorEastAsia" w:hAnsi="Times New Roman" w:cs="Times New Roman"/>
          <w:sz w:val="24"/>
          <w:szCs w:val="24"/>
        </w:rPr>
        <w:t xml:space="preserve"> </w:t>
      </w:r>
      <w:r w:rsidR="00852F7F">
        <w:rPr>
          <w:rFonts w:ascii="Times New Roman" w:eastAsiaTheme="minorEastAsia" w:hAnsi="Times New Roman" w:cs="Times New Roman"/>
          <w:sz w:val="24"/>
          <w:szCs w:val="24"/>
        </w:rPr>
        <w:t>cálculo fue</w:t>
      </w:r>
      <w:r w:rsidR="00F4641E">
        <w:rPr>
          <w:rFonts w:ascii="Times New Roman" w:eastAsiaTheme="minorEastAsia" w:hAnsi="Times New Roman" w:cs="Times New Roman"/>
          <w:sz w:val="24"/>
          <w:szCs w:val="24"/>
        </w:rPr>
        <w:t xml:space="preserve"> una variación porcentual</w:t>
      </w:r>
      <w:r w:rsidR="00852F7F">
        <w:rPr>
          <w:rFonts w:ascii="Times New Roman" w:eastAsiaTheme="minorEastAsia" w:hAnsi="Times New Roman" w:cs="Times New Roman"/>
          <w:sz w:val="24"/>
          <w:szCs w:val="24"/>
        </w:rPr>
        <w:t xml:space="preserve"> de un mes a otro</w:t>
      </w:r>
      <w:r w:rsidR="00F4641E">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51C70C9B" w14:textId="77777777" w:rsidTr="009A2EB2">
        <w:trPr>
          <w:trHeight w:val="850"/>
        </w:trPr>
        <w:tc>
          <w:tcPr>
            <w:tcW w:w="500" w:type="pct"/>
          </w:tcPr>
          <w:p w14:paraId="0783F2D9"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6C081438" w14:textId="5BF8794E"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0CFC9AB0" w14:textId="77231FD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(2.3.4)</w:t>
            </w:r>
          </w:p>
        </w:tc>
      </w:tr>
    </w:tbl>
    <w:p w14:paraId="77141289" w14:textId="54E3C7D3" w:rsidR="00AF14FB" w:rsidRDefault="00F4641E" w:rsidP="00AF14F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Inflación mensual de Estados Unidos</w:t>
      </w:r>
    </w:p>
    <w:p w14:paraId="4175C909" w14:textId="4D6E9618" w:rsidR="00F4641E" w:rsidRPr="00F4641E" w:rsidRDefault="002036A9" w:rsidP="00AF14F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Debido a la estrecha relación de la economía estadounidense con la guatemalteca se añadió la inflación de Estados unidos dentro del modelo. El cálculo de esta variable fue de la misma manera que las anteriores.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1AC7F1B6" w14:textId="77777777" w:rsidTr="009A2EB2">
        <w:trPr>
          <w:trHeight w:val="850"/>
        </w:trPr>
        <w:tc>
          <w:tcPr>
            <w:tcW w:w="500" w:type="pct"/>
          </w:tcPr>
          <w:p w14:paraId="55954C66"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5BA0C03E" w14:textId="0D1D95D2"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EUA</m:t>
                            </m:r>
                          </m:sup>
                        </m:sSubSup>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40FBE689" w14:textId="6C192961" w:rsidR="00D951BC" w:rsidRDefault="00D951BC" w:rsidP="00D951BC">
            <w:pPr>
              <w:spacing w:line="360" w:lineRule="auto"/>
              <w:jc w:val="right"/>
              <w:rPr>
                <w:rFonts w:ascii="Times New Roman" w:hAnsi="Times New Roman" w:cs="Times New Roman"/>
                <w:sz w:val="24"/>
                <w:szCs w:val="24"/>
              </w:rPr>
            </w:pPr>
            <w:r>
              <w:rPr>
                <w:rFonts w:ascii="Times New Roman" w:hAnsi="Times New Roman" w:cs="Times New Roman"/>
                <w:sz w:val="24"/>
                <w:szCs w:val="24"/>
              </w:rPr>
              <w:t>(2.3.5)</w:t>
            </w:r>
          </w:p>
        </w:tc>
      </w:tr>
    </w:tbl>
    <w:p w14:paraId="42F89F62" w14:textId="5FB6F45D" w:rsidR="00AF14FB" w:rsidRDefault="00F4641E"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Brecha del producto</w:t>
      </w:r>
    </w:p>
    <w:p w14:paraId="15D3812F" w14:textId="5E195206" w:rsidR="00BF6807" w:rsidRDefault="00E7542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última variable considerada dentro del modelo fue la brecha del producto</w:t>
      </w:r>
      <w:r w:rsidR="00F80C8E">
        <w:rPr>
          <w:rFonts w:ascii="Times New Roman" w:eastAsiaTheme="minorEastAsia" w:hAnsi="Times New Roman" w:cs="Times New Roman"/>
          <w:sz w:val="24"/>
          <w:szCs w:val="24"/>
        </w:rPr>
        <w:t xml:space="preserve">, esto debido a que dentro de la teoría </w:t>
      </w:r>
      <w:r w:rsidR="002036A9">
        <w:rPr>
          <w:rFonts w:ascii="Times New Roman" w:eastAsiaTheme="minorEastAsia" w:hAnsi="Times New Roman" w:cs="Times New Roman"/>
          <w:sz w:val="24"/>
          <w:szCs w:val="24"/>
        </w:rPr>
        <w:t>económica se considera como uno de los determinantes de la inflación</w:t>
      </w:r>
      <w:r>
        <w:rPr>
          <w:rFonts w:ascii="Times New Roman" w:eastAsiaTheme="minorEastAsia" w:hAnsi="Times New Roman" w:cs="Times New Roman"/>
          <w:sz w:val="24"/>
          <w:szCs w:val="24"/>
        </w:rPr>
        <w:t xml:space="preserve">. </w:t>
      </w:r>
      <w:r w:rsidR="00F904CC">
        <w:rPr>
          <w:rFonts w:ascii="Times New Roman" w:eastAsiaTheme="minorEastAsia" w:hAnsi="Times New Roman" w:cs="Times New Roman"/>
          <w:sz w:val="24"/>
          <w:szCs w:val="24"/>
        </w:rPr>
        <w:t>Su estimación fue</w:t>
      </w:r>
      <w:r>
        <w:rPr>
          <w:rFonts w:ascii="Times New Roman" w:eastAsiaTheme="minorEastAsia" w:hAnsi="Times New Roman" w:cs="Times New Roman"/>
          <w:sz w:val="24"/>
          <w:szCs w:val="24"/>
        </w:rPr>
        <w:t xml:space="preserve"> a partir del Índice Mensual de la Actividad Económica (IMAE)</w:t>
      </w:r>
      <w:r w:rsidR="00F904CC">
        <w:rPr>
          <w:rFonts w:ascii="Times New Roman" w:eastAsiaTheme="minorEastAsia" w:hAnsi="Times New Roman" w:cs="Times New Roman"/>
          <w:sz w:val="24"/>
          <w:szCs w:val="24"/>
        </w:rPr>
        <w:t xml:space="preserve"> y el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proceso requirió la desestacionalización de la serie mediante el método X-11 Arima y la aplicación del filtro Hodrick-Prescott para aislar los componentes ciclo y tendencia.</w:t>
      </w:r>
    </w:p>
    <w:p w14:paraId="08C98468" w14:textId="6B491337" w:rsidR="00F4641E" w:rsidRDefault="00C55814"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Debido al hecho que </w:t>
      </w:r>
      <w:r w:rsidR="00BF6807">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tendencia de largo plazo constituye el producto potencial la brecha del producto 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74FEF94A" w14:textId="77777777" w:rsidTr="009A2EB2">
        <w:trPr>
          <w:trHeight w:val="850"/>
        </w:trPr>
        <w:tc>
          <w:tcPr>
            <w:tcW w:w="500" w:type="pct"/>
          </w:tcPr>
          <w:p w14:paraId="5A9C22B0"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32EB9666" w14:textId="23176F28" w:rsidR="00D951BC" w:rsidRDefault="00000000" w:rsidP="005A3E51">
            <w:pPr>
              <w:spacing w:line="360" w:lineRule="auto"/>
              <w:jc w:val="center"/>
              <w:rPr>
                <w:rFonts w:ascii="Times New Roman"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den>
                    </m:f>
                  </m:e>
                </m:d>
                <m:r>
                  <w:rPr>
                    <w:rFonts w:ascii="Cambria Math" w:eastAsiaTheme="minorEastAsia" w:hAnsi="Cambria Math" w:cs="Times New Roman"/>
                    <w:sz w:val="24"/>
                    <w:szCs w:val="24"/>
                  </w:rPr>
                  <m:t>*100</m:t>
                </m:r>
              </m:oMath>
            </m:oMathPara>
          </w:p>
        </w:tc>
        <w:tc>
          <w:tcPr>
            <w:tcW w:w="500" w:type="pct"/>
            <w:vAlign w:val="center"/>
          </w:tcPr>
          <w:p w14:paraId="12F5A671" w14:textId="45C9E313"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(2.3.6)</w:t>
            </w:r>
          </w:p>
        </w:tc>
      </w:tr>
    </w:tbl>
    <w:p w14:paraId="21182E3F" w14:textId="3F1426F5" w:rsidR="00F3491C" w:rsidRDefault="00C4572A"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oMath>
      <w:r>
        <w:rPr>
          <w:rFonts w:ascii="Times New Roman" w:eastAsiaTheme="minorEastAsia" w:hAnsi="Times New Roman" w:cs="Times New Roman"/>
          <w:sz w:val="24"/>
          <w:szCs w:val="24"/>
        </w:rPr>
        <w:t xml:space="preserve"> es el componente tendencial </w:t>
      </w:r>
      <w:r w:rsidR="00BF6807">
        <w:rPr>
          <w:rFonts w:ascii="Times New Roman" w:eastAsiaTheme="minorEastAsia" w:hAnsi="Times New Roman" w:cs="Times New Roman"/>
          <w:sz w:val="24"/>
          <w:szCs w:val="24"/>
        </w:rPr>
        <w:t>estimado por</w:t>
      </w:r>
      <w:r>
        <w:rPr>
          <w:rFonts w:ascii="Times New Roman" w:eastAsiaTheme="minorEastAsia" w:hAnsi="Times New Roman" w:cs="Times New Roman"/>
          <w:sz w:val="24"/>
          <w:szCs w:val="24"/>
        </w:rPr>
        <w:t xml:space="preserve"> el filtro Hodrick-Prescott.</w:t>
      </w:r>
    </w:p>
    <w:p w14:paraId="472CA7C2" w14:textId="5FA5D866" w:rsidR="003769A8" w:rsidRDefault="003769A8" w:rsidP="003C454A">
      <w:pPr>
        <w:jc w:val="both"/>
        <w:rPr>
          <w:rFonts w:ascii="Times New Roman" w:eastAsiaTheme="minorEastAsia" w:hAnsi="Times New Roman" w:cs="Times New Roman"/>
          <w:sz w:val="24"/>
          <w:szCs w:val="24"/>
        </w:rPr>
      </w:pPr>
    </w:p>
    <w:p w14:paraId="27BB0D50" w14:textId="137FB24C" w:rsidR="003769A8" w:rsidRDefault="003769A8" w:rsidP="003C454A">
      <w:pPr>
        <w:jc w:val="both"/>
        <w:rPr>
          <w:rFonts w:ascii="Times New Roman" w:eastAsiaTheme="minorEastAsia" w:hAnsi="Times New Roman" w:cs="Times New Roman"/>
          <w:sz w:val="24"/>
          <w:szCs w:val="24"/>
        </w:rPr>
      </w:pPr>
    </w:p>
    <w:p w14:paraId="24E7C43D" w14:textId="6A600C3C" w:rsidR="00DC0276" w:rsidRDefault="00DC0276" w:rsidP="003C454A">
      <w:pPr>
        <w:jc w:val="both"/>
        <w:rPr>
          <w:rFonts w:ascii="Times New Roman" w:eastAsiaTheme="minorEastAsia" w:hAnsi="Times New Roman" w:cs="Times New Roman"/>
          <w:sz w:val="24"/>
          <w:szCs w:val="24"/>
        </w:rPr>
      </w:pPr>
    </w:p>
    <w:p w14:paraId="01C23CDB" w14:textId="13A555FC" w:rsidR="00DC0276" w:rsidRDefault="00DC0276" w:rsidP="003C454A">
      <w:pPr>
        <w:jc w:val="both"/>
        <w:rPr>
          <w:rFonts w:ascii="Times New Roman" w:eastAsiaTheme="minorEastAsia" w:hAnsi="Times New Roman" w:cs="Times New Roman"/>
          <w:sz w:val="24"/>
          <w:szCs w:val="24"/>
        </w:rPr>
      </w:pPr>
    </w:p>
    <w:p w14:paraId="48E04F68" w14:textId="605335BA" w:rsidR="00DC0276" w:rsidRDefault="00DC0276" w:rsidP="003C454A">
      <w:pPr>
        <w:jc w:val="both"/>
        <w:rPr>
          <w:rFonts w:ascii="Times New Roman" w:eastAsiaTheme="minorEastAsia" w:hAnsi="Times New Roman" w:cs="Times New Roman"/>
          <w:sz w:val="24"/>
          <w:szCs w:val="24"/>
        </w:rPr>
      </w:pPr>
    </w:p>
    <w:p w14:paraId="7340FE74" w14:textId="1F6E98D6" w:rsidR="00DC0276" w:rsidRDefault="00DC0276" w:rsidP="003C454A">
      <w:pPr>
        <w:jc w:val="both"/>
        <w:rPr>
          <w:rFonts w:ascii="Times New Roman" w:eastAsiaTheme="minorEastAsia" w:hAnsi="Times New Roman" w:cs="Times New Roman"/>
          <w:sz w:val="24"/>
          <w:szCs w:val="24"/>
        </w:rPr>
      </w:pPr>
    </w:p>
    <w:p w14:paraId="70EA0469" w14:textId="5CB81299" w:rsidR="00DC0276" w:rsidRDefault="00DC0276" w:rsidP="003C454A">
      <w:pPr>
        <w:jc w:val="both"/>
        <w:rPr>
          <w:rFonts w:ascii="Times New Roman" w:eastAsiaTheme="minorEastAsia" w:hAnsi="Times New Roman" w:cs="Times New Roman"/>
          <w:sz w:val="24"/>
          <w:szCs w:val="24"/>
        </w:rPr>
      </w:pPr>
    </w:p>
    <w:p w14:paraId="1CAE6B80" w14:textId="6A5EC0E6" w:rsidR="00DC0276" w:rsidRDefault="00DC0276" w:rsidP="003C454A">
      <w:pPr>
        <w:jc w:val="both"/>
        <w:rPr>
          <w:rFonts w:ascii="Times New Roman" w:eastAsiaTheme="minorEastAsia" w:hAnsi="Times New Roman" w:cs="Times New Roman"/>
          <w:sz w:val="24"/>
          <w:szCs w:val="24"/>
        </w:rPr>
      </w:pPr>
    </w:p>
    <w:p w14:paraId="501B289F" w14:textId="3CF23946" w:rsidR="00DC0276" w:rsidRDefault="00DC0276" w:rsidP="003C454A">
      <w:pPr>
        <w:jc w:val="both"/>
        <w:rPr>
          <w:rFonts w:ascii="Times New Roman" w:eastAsiaTheme="minorEastAsia" w:hAnsi="Times New Roman" w:cs="Times New Roman"/>
          <w:sz w:val="24"/>
          <w:szCs w:val="24"/>
        </w:rPr>
      </w:pPr>
    </w:p>
    <w:p w14:paraId="338C0048" w14:textId="1CF3996F" w:rsidR="00DC0276" w:rsidRDefault="00DC0276" w:rsidP="003C454A">
      <w:pPr>
        <w:jc w:val="both"/>
        <w:rPr>
          <w:rFonts w:ascii="Times New Roman" w:eastAsiaTheme="minorEastAsia" w:hAnsi="Times New Roman" w:cs="Times New Roman"/>
          <w:sz w:val="24"/>
          <w:szCs w:val="24"/>
        </w:rPr>
      </w:pPr>
    </w:p>
    <w:p w14:paraId="4851F18B" w14:textId="0AAC4082" w:rsidR="00DC0276" w:rsidRDefault="00DC0276" w:rsidP="003C454A">
      <w:pPr>
        <w:jc w:val="both"/>
        <w:rPr>
          <w:rFonts w:ascii="Times New Roman" w:eastAsiaTheme="minorEastAsia" w:hAnsi="Times New Roman" w:cs="Times New Roman"/>
          <w:sz w:val="24"/>
          <w:szCs w:val="24"/>
        </w:rPr>
      </w:pPr>
    </w:p>
    <w:p w14:paraId="0D337AFE" w14:textId="0B022BDB" w:rsidR="00DC0276" w:rsidRDefault="00DC0276" w:rsidP="003C454A">
      <w:pPr>
        <w:jc w:val="both"/>
        <w:rPr>
          <w:rFonts w:ascii="Times New Roman" w:eastAsiaTheme="minorEastAsia" w:hAnsi="Times New Roman" w:cs="Times New Roman"/>
          <w:sz w:val="24"/>
          <w:szCs w:val="24"/>
        </w:rPr>
      </w:pPr>
    </w:p>
    <w:p w14:paraId="6D593245" w14:textId="11EA665F" w:rsidR="00DC0276" w:rsidRDefault="00DC0276" w:rsidP="003C454A">
      <w:pPr>
        <w:jc w:val="both"/>
        <w:rPr>
          <w:rFonts w:ascii="Times New Roman" w:eastAsiaTheme="minorEastAsia" w:hAnsi="Times New Roman" w:cs="Times New Roman"/>
          <w:sz w:val="24"/>
          <w:szCs w:val="24"/>
        </w:rPr>
      </w:pPr>
    </w:p>
    <w:p w14:paraId="6866142A" w14:textId="2F207E4E" w:rsidR="00DC0276" w:rsidRDefault="00DC0276" w:rsidP="003C454A">
      <w:pPr>
        <w:jc w:val="both"/>
        <w:rPr>
          <w:rFonts w:ascii="Times New Roman" w:eastAsiaTheme="minorEastAsia" w:hAnsi="Times New Roman" w:cs="Times New Roman"/>
          <w:sz w:val="24"/>
          <w:szCs w:val="24"/>
        </w:rPr>
      </w:pPr>
    </w:p>
    <w:p w14:paraId="0C9A3128" w14:textId="125C9590" w:rsidR="00DC0276" w:rsidRDefault="00DC0276" w:rsidP="003C454A">
      <w:pPr>
        <w:jc w:val="both"/>
        <w:rPr>
          <w:rFonts w:ascii="Times New Roman" w:eastAsiaTheme="minorEastAsia" w:hAnsi="Times New Roman" w:cs="Times New Roman"/>
          <w:sz w:val="24"/>
          <w:szCs w:val="24"/>
        </w:rPr>
      </w:pPr>
    </w:p>
    <w:p w14:paraId="04E27A7A" w14:textId="7F814088" w:rsidR="00DC0276" w:rsidRDefault="00DC0276" w:rsidP="003C454A">
      <w:pPr>
        <w:jc w:val="both"/>
        <w:rPr>
          <w:rFonts w:ascii="Times New Roman" w:eastAsiaTheme="minorEastAsia" w:hAnsi="Times New Roman" w:cs="Times New Roman"/>
          <w:sz w:val="24"/>
          <w:szCs w:val="24"/>
        </w:rPr>
      </w:pPr>
    </w:p>
    <w:p w14:paraId="4637A086" w14:textId="0C6CA466" w:rsidR="00DC0276" w:rsidRDefault="00DC0276" w:rsidP="003C454A">
      <w:pPr>
        <w:jc w:val="both"/>
        <w:rPr>
          <w:rFonts w:ascii="Times New Roman" w:eastAsiaTheme="minorEastAsia" w:hAnsi="Times New Roman" w:cs="Times New Roman"/>
          <w:sz w:val="24"/>
          <w:szCs w:val="24"/>
        </w:rPr>
      </w:pPr>
    </w:p>
    <w:p w14:paraId="3EEB85F7" w14:textId="77777777" w:rsidR="00F904CC" w:rsidRDefault="00F904CC" w:rsidP="003C454A">
      <w:pPr>
        <w:jc w:val="both"/>
        <w:rPr>
          <w:rFonts w:ascii="Times New Roman" w:eastAsiaTheme="minorEastAsia" w:hAnsi="Times New Roman" w:cs="Times New Roman"/>
          <w:sz w:val="24"/>
          <w:szCs w:val="24"/>
        </w:rPr>
      </w:pPr>
    </w:p>
    <w:p w14:paraId="4A25B743" w14:textId="50339DDF" w:rsidR="00DC0276" w:rsidRPr="00DC0276" w:rsidRDefault="00DC0276" w:rsidP="00DC0276">
      <w:pPr>
        <w:rPr>
          <w:rFonts w:ascii="Times New Roman" w:eastAsiaTheme="minorEastAsia" w:hAnsi="Times New Roman" w:cs="Times New Roman"/>
          <w:b/>
          <w:bCs/>
          <w:sz w:val="24"/>
          <w:szCs w:val="24"/>
        </w:rPr>
      </w:pPr>
    </w:p>
    <w:p w14:paraId="33CC8C33" w14:textId="1BEE49FE" w:rsidR="003C454A" w:rsidRDefault="00DC0276" w:rsidP="0009410E">
      <w:pPr>
        <w:pStyle w:val="Ttulo1"/>
        <w:spacing w:line="480" w:lineRule="auto"/>
        <w:jc w:val="center"/>
        <w:rPr>
          <w:rFonts w:ascii="Times New Roman" w:eastAsiaTheme="minorEastAsia" w:hAnsi="Times New Roman" w:cs="Times New Roman"/>
          <w:b/>
          <w:bCs/>
          <w:color w:val="auto"/>
          <w:sz w:val="24"/>
          <w:szCs w:val="24"/>
        </w:rPr>
      </w:pPr>
      <w:bookmarkStart w:id="23" w:name="_Toc111757504"/>
      <w:r w:rsidRPr="00DC0276">
        <w:rPr>
          <w:rFonts w:ascii="Times New Roman" w:eastAsiaTheme="minorEastAsia" w:hAnsi="Times New Roman" w:cs="Times New Roman"/>
          <w:b/>
          <w:bCs/>
          <w:color w:val="auto"/>
          <w:sz w:val="24"/>
          <w:szCs w:val="24"/>
        </w:rPr>
        <w:lastRenderedPageBreak/>
        <w:t>3. Resultados</w:t>
      </w:r>
      <w:bookmarkEnd w:id="23"/>
    </w:p>
    <w:p w14:paraId="1F9968F8" w14:textId="0279AD9B" w:rsidR="00DC0276" w:rsidRDefault="00F904CC" w:rsidP="00FE029B">
      <w:pPr>
        <w:spacing w:line="360" w:lineRule="auto"/>
        <w:jc w:val="both"/>
        <w:rPr>
          <w:rFonts w:ascii="Times New Roman" w:hAnsi="Times New Roman" w:cs="Times New Roman"/>
          <w:sz w:val="24"/>
          <w:szCs w:val="24"/>
        </w:rPr>
      </w:pPr>
      <w:r>
        <w:rPr>
          <w:rFonts w:ascii="Times New Roman" w:hAnsi="Times New Roman" w:cs="Times New Roman"/>
          <w:sz w:val="24"/>
          <w:szCs w:val="24"/>
        </w:rPr>
        <w:t>Este capítulo</w:t>
      </w:r>
      <w:r w:rsidR="00FE029B">
        <w:rPr>
          <w:rFonts w:ascii="Times New Roman" w:hAnsi="Times New Roman" w:cs="Times New Roman"/>
          <w:sz w:val="24"/>
          <w:szCs w:val="24"/>
        </w:rPr>
        <w:t xml:space="preserve"> contiene una exposición sobre el proceso de ajuste del </w:t>
      </w:r>
      <w:r>
        <w:rPr>
          <w:rFonts w:ascii="Times New Roman" w:hAnsi="Times New Roman" w:cs="Times New Roman"/>
          <w:sz w:val="24"/>
          <w:szCs w:val="24"/>
        </w:rPr>
        <w:t>modelo,</w:t>
      </w:r>
      <w:r w:rsidR="00FE029B">
        <w:rPr>
          <w:rFonts w:ascii="Times New Roman" w:hAnsi="Times New Roman" w:cs="Times New Roman"/>
          <w:sz w:val="24"/>
          <w:szCs w:val="24"/>
        </w:rPr>
        <w:t xml:space="preserve"> así como la presentación de los resultados más relevantes para el análisis del efecto pass-through.</w:t>
      </w:r>
    </w:p>
    <w:p w14:paraId="4AE5B5C8" w14:textId="681973ED" w:rsidR="00FE029B" w:rsidRDefault="00FE029B" w:rsidP="0009410E">
      <w:pPr>
        <w:pStyle w:val="Ttulo2"/>
        <w:spacing w:line="480" w:lineRule="auto"/>
        <w:rPr>
          <w:rFonts w:ascii="Times New Roman" w:hAnsi="Times New Roman" w:cs="Times New Roman"/>
          <w:b/>
          <w:bCs/>
          <w:color w:val="auto"/>
          <w:sz w:val="24"/>
          <w:szCs w:val="24"/>
        </w:rPr>
      </w:pPr>
      <w:bookmarkStart w:id="24" w:name="_Toc111757505"/>
      <w:r w:rsidRPr="00FE029B">
        <w:rPr>
          <w:rFonts w:ascii="Times New Roman" w:hAnsi="Times New Roman" w:cs="Times New Roman"/>
          <w:b/>
          <w:bCs/>
          <w:color w:val="auto"/>
          <w:sz w:val="24"/>
          <w:szCs w:val="24"/>
        </w:rPr>
        <w:t>3.</w:t>
      </w:r>
      <w:r>
        <w:rPr>
          <w:rFonts w:ascii="Times New Roman" w:hAnsi="Times New Roman" w:cs="Times New Roman"/>
          <w:b/>
          <w:bCs/>
          <w:color w:val="auto"/>
          <w:sz w:val="24"/>
          <w:szCs w:val="24"/>
        </w:rPr>
        <w:t xml:space="preserve">1 </w:t>
      </w:r>
      <w:r w:rsidRPr="00FE029B">
        <w:rPr>
          <w:rFonts w:ascii="Times New Roman" w:hAnsi="Times New Roman" w:cs="Times New Roman"/>
          <w:b/>
          <w:bCs/>
          <w:color w:val="auto"/>
          <w:sz w:val="24"/>
          <w:szCs w:val="24"/>
        </w:rPr>
        <w:t>Proceso de ajuste del modelo TAR</w:t>
      </w:r>
      <w:bookmarkEnd w:id="24"/>
      <w:r>
        <w:rPr>
          <w:rFonts w:ascii="Times New Roman" w:hAnsi="Times New Roman" w:cs="Times New Roman"/>
          <w:b/>
          <w:bCs/>
          <w:color w:val="auto"/>
          <w:sz w:val="24"/>
          <w:szCs w:val="24"/>
        </w:rPr>
        <w:t xml:space="preserve"> </w:t>
      </w:r>
    </w:p>
    <w:p w14:paraId="5A7AA815" w14:textId="5C424D1E" w:rsidR="000B4CE6" w:rsidRDefault="0009410E" w:rsidP="0009410E">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fase del ajuste del modelo consiste en la estimación</w:t>
      </w:r>
      <w:r w:rsidR="00834F6A">
        <w:rPr>
          <w:rFonts w:ascii="Times New Roman" w:hAnsi="Times New Roman" w:cs="Times New Roman"/>
          <w:sz w:val="24"/>
          <w:szCs w:val="24"/>
        </w:rPr>
        <w:t xml:space="preserve"> de los umbrales</w:t>
      </w:r>
      <w:r w:rsidR="002E59CC">
        <w:rPr>
          <w:rFonts w:ascii="Times New Roman" w:hAnsi="Times New Roman" w:cs="Times New Roman"/>
          <w:sz w:val="24"/>
          <w:szCs w:val="24"/>
        </w:rPr>
        <w:t>,</w:t>
      </w:r>
      <w:r w:rsidR="00834F6A">
        <w:rPr>
          <w:rFonts w:ascii="Times New Roman" w:hAnsi="Times New Roman" w:cs="Times New Roman"/>
          <w:sz w:val="24"/>
          <w:szCs w:val="24"/>
        </w:rPr>
        <w:t xml:space="preserve"> para ello</w:t>
      </w:r>
      <w:r w:rsidR="00D95305">
        <w:rPr>
          <w:rFonts w:ascii="Times New Roman" w:hAnsi="Times New Roman" w:cs="Times New Roman"/>
          <w:sz w:val="24"/>
          <w:szCs w:val="24"/>
        </w:rPr>
        <w:t xml:space="preserve"> se ajustó el modelo</w:t>
      </w:r>
      <w:r w:rsidR="00834F6A">
        <w:rPr>
          <w:rFonts w:ascii="Times New Roman" w:hAnsi="Times New Roman" w:cs="Times New Roman"/>
          <w:sz w:val="24"/>
          <w:szCs w:val="24"/>
        </w:rPr>
        <w:t xml:space="preserve"> TAR</w:t>
      </w:r>
      <w:r w:rsidR="00D95305">
        <w:rPr>
          <w:rFonts w:ascii="Times New Roman" w:hAnsi="Times New Roman" w:cs="Times New Roman"/>
          <w:sz w:val="24"/>
          <w:szCs w:val="24"/>
        </w:rPr>
        <w:t xml:space="preserve"> especificado en </w:t>
      </w:r>
      <w:r w:rsidR="00A44F7F">
        <w:rPr>
          <w:rFonts w:ascii="Times New Roman" w:hAnsi="Times New Roman" w:cs="Times New Roman"/>
          <w:sz w:val="24"/>
          <w:szCs w:val="24"/>
        </w:rPr>
        <w:t>(2.3.2)</w:t>
      </w:r>
      <w:r w:rsidR="00834F6A">
        <w:rPr>
          <w:rFonts w:ascii="Times New Roman" w:hAnsi="Times New Roman" w:cs="Times New Roman"/>
          <w:sz w:val="24"/>
          <w:szCs w:val="24"/>
        </w:rPr>
        <w:t xml:space="preserve"> un total de 180 veces</w:t>
      </w:r>
      <w:r w:rsidR="00BE2C37">
        <w:rPr>
          <w:rFonts w:ascii="Times New Roman" w:hAnsi="Times New Roman" w:cs="Times New Roman"/>
          <w:sz w:val="24"/>
          <w:szCs w:val="24"/>
        </w:rPr>
        <w:t xml:space="preserve"> con lo que se obtuvo la función SSR</w:t>
      </w:r>
      <w:r w:rsidR="002E59CC">
        <w:rPr>
          <w:rFonts w:ascii="Times New Roman" w:hAnsi="Times New Roman" w:cs="Times New Roman"/>
          <w:sz w:val="24"/>
          <w:szCs w:val="24"/>
        </w:rPr>
        <w:t>.</w:t>
      </w:r>
    </w:p>
    <w:p w14:paraId="3E3182C0" w14:textId="3E8D9158" w:rsidR="008F0AEB" w:rsidRDefault="008F0AEB" w:rsidP="008F0AEB">
      <w:pPr>
        <w:pStyle w:val="Descripcin"/>
      </w:pPr>
      <w:r w:rsidRPr="008F0AEB">
        <w:rPr>
          <w:rFonts w:ascii="Times New Roman" w:hAnsi="Times New Roman" w:cs="Times New Roman"/>
          <w:b/>
          <w:bCs/>
          <w:i w:val="0"/>
          <w:iCs w:val="0"/>
          <w:color w:val="auto"/>
          <w:sz w:val="24"/>
          <w:szCs w:val="24"/>
        </w:rPr>
        <w:t xml:space="preserve">Figura </w:t>
      </w:r>
      <w:r w:rsidRPr="008F0AEB">
        <w:rPr>
          <w:rFonts w:ascii="Times New Roman" w:hAnsi="Times New Roman" w:cs="Times New Roman"/>
          <w:b/>
          <w:bCs/>
          <w:i w:val="0"/>
          <w:iCs w:val="0"/>
          <w:color w:val="auto"/>
          <w:sz w:val="24"/>
          <w:szCs w:val="24"/>
        </w:rPr>
        <w:fldChar w:fldCharType="begin"/>
      </w:r>
      <w:r w:rsidRPr="008F0AEB">
        <w:rPr>
          <w:rFonts w:ascii="Times New Roman" w:hAnsi="Times New Roman" w:cs="Times New Roman"/>
          <w:b/>
          <w:bCs/>
          <w:i w:val="0"/>
          <w:iCs w:val="0"/>
          <w:color w:val="auto"/>
          <w:sz w:val="24"/>
          <w:szCs w:val="24"/>
        </w:rPr>
        <w:instrText xml:space="preserve"> SEQ Figura \* ARABIC </w:instrText>
      </w:r>
      <w:r w:rsidRPr="008F0AEB">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5</w:t>
      </w:r>
      <w:r w:rsidRPr="008F0AEB">
        <w:rPr>
          <w:rFonts w:ascii="Times New Roman" w:hAnsi="Times New Roman" w:cs="Times New Roman"/>
          <w:b/>
          <w:bCs/>
          <w:i w:val="0"/>
          <w:iCs w:val="0"/>
          <w:color w:val="auto"/>
          <w:sz w:val="24"/>
          <w:szCs w:val="24"/>
        </w:rPr>
        <w:fldChar w:fldCharType="end"/>
      </w:r>
      <w:r w:rsidRPr="008F0AEB">
        <w:rPr>
          <w:color w:val="auto"/>
          <w:sz w:val="24"/>
          <w:szCs w:val="24"/>
        </w:rPr>
        <w:t xml:space="preserve"> </w:t>
      </w:r>
      <w:r w:rsidRPr="008F0AEB">
        <w:rPr>
          <w:color w:val="FFFFFF" w:themeColor="background1"/>
        </w:rPr>
        <w:t>Función SSR</w:t>
      </w:r>
    </w:p>
    <w:p w14:paraId="0CD8F58D" w14:textId="7A50E07C" w:rsidR="008F0AEB" w:rsidRPr="008F0AEB" w:rsidRDefault="008F0AEB" w:rsidP="008F0AEB">
      <w:pPr>
        <w:rPr>
          <w:rFonts w:ascii="Times New Roman" w:hAnsi="Times New Roman" w:cs="Times New Roman"/>
          <w:sz w:val="24"/>
          <w:szCs w:val="24"/>
        </w:rPr>
      </w:pPr>
      <w:r w:rsidRPr="008F0AEB">
        <w:rPr>
          <w:rFonts w:ascii="Times New Roman" w:hAnsi="Times New Roman" w:cs="Times New Roman"/>
          <w:sz w:val="24"/>
          <w:szCs w:val="24"/>
        </w:rPr>
        <w:t>Función SSR</w:t>
      </w:r>
    </w:p>
    <w:p w14:paraId="68851B38" w14:textId="4A1FB0BB" w:rsidR="008F0AEB" w:rsidRDefault="008F0AEB" w:rsidP="0009410E">
      <w:pPr>
        <w:spacing w:line="360" w:lineRule="auto"/>
        <w:jc w:val="both"/>
        <w:rPr>
          <w:rFonts w:ascii="Times New Roman" w:hAnsi="Times New Roman" w:cs="Times New Roman"/>
          <w:sz w:val="24"/>
          <w:szCs w:val="24"/>
        </w:rPr>
      </w:pPr>
      <w:r w:rsidRPr="008F0AEB">
        <w:rPr>
          <w:rFonts w:ascii="Times New Roman" w:hAnsi="Times New Roman" w:cs="Times New Roman"/>
          <w:noProof/>
          <w:sz w:val="24"/>
          <w:szCs w:val="24"/>
        </w:rPr>
        <w:drawing>
          <wp:inline distT="0" distB="0" distL="0" distR="0" wp14:anchorId="62BC27B0" wp14:editId="6F69E1C3">
            <wp:extent cx="5612130" cy="3067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67685"/>
                    </a:xfrm>
                    <a:prstGeom prst="rect">
                      <a:avLst/>
                    </a:prstGeom>
                    <a:noFill/>
                    <a:ln>
                      <a:noFill/>
                    </a:ln>
                  </pic:spPr>
                </pic:pic>
              </a:graphicData>
            </a:graphic>
          </wp:inline>
        </w:drawing>
      </w:r>
    </w:p>
    <w:p w14:paraId="5F30CA34" w14:textId="282EACA3" w:rsidR="00B30255" w:rsidRDefault="00C521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función SSR la cual se obtuvo a partir del ajuste de 180 modelos, tantos modelos cómo umbrales posibles</w:t>
      </w:r>
      <w:r w:rsidR="002E59CC">
        <w:rPr>
          <w:rFonts w:ascii="Times New Roman" w:hAnsi="Times New Roman" w:cs="Times New Roman"/>
          <w:sz w:val="24"/>
          <w:szCs w:val="24"/>
        </w:rPr>
        <w:t xml:space="preserve"> dentro del periodo de análisis</w:t>
      </w:r>
      <w:r>
        <w:rPr>
          <w:rFonts w:ascii="Times New Roman" w:hAnsi="Times New Roman" w:cs="Times New Roman"/>
          <w:sz w:val="24"/>
          <w:szCs w:val="24"/>
        </w:rPr>
        <w:t>. Elaboración propia.</w:t>
      </w:r>
    </w:p>
    <w:p w14:paraId="7F6D4C2E" w14:textId="47199435" w:rsidR="00B30255" w:rsidRDefault="00834F6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figura 5 muestra los resultados de la aplicación del método para la estimación de los umbrales. Es posible notar que la función presenta 4 mínimos </w:t>
      </w:r>
      <w:r w:rsidR="002E59CC">
        <w:rPr>
          <w:rFonts w:ascii="Times New Roman" w:hAnsi="Times New Roman" w:cs="Times New Roman"/>
          <w:sz w:val="24"/>
          <w:szCs w:val="24"/>
        </w:rPr>
        <w:t>en</w:t>
      </w:r>
      <w:r w:rsidR="00443AF7">
        <w:rPr>
          <w:rFonts w:ascii="Times New Roman" w:hAnsi="Times New Roman" w:cs="Times New Roman"/>
          <w:sz w:val="24"/>
          <w:szCs w:val="24"/>
        </w:rPr>
        <w:t xml:space="preserve"> los</w:t>
      </w:r>
      <w:r>
        <w:rPr>
          <w:rFonts w:ascii="Times New Roman" w:hAnsi="Times New Roman" w:cs="Times New Roman"/>
          <w:sz w:val="24"/>
          <w:szCs w:val="24"/>
        </w:rPr>
        <w:t xml:space="preserve"> niveles de inflación intermensual de 0.14% </w:t>
      </w:r>
      <w:r w:rsidR="00443AF7">
        <w:rPr>
          <w:rFonts w:ascii="Times New Roman" w:hAnsi="Times New Roman" w:cs="Times New Roman"/>
          <w:sz w:val="24"/>
          <w:szCs w:val="24"/>
        </w:rPr>
        <w:t xml:space="preserve">0.44% 0.56% y 0.83% por lo que estos valores </w:t>
      </w:r>
      <w:r w:rsidR="00CF7F16">
        <w:rPr>
          <w:rFonts w:ascii="Times New Roman" w:hAnsi="Times New Roman" w:cs="Times New Roman"/>
          <w:sz w:val="24"/>
          <w:szCs w:val="24"/>
        </w:rPr>
        <w:t>fueron</w:t>
      </w:r>
      <w:r w:rsidR="00443AF7">
        <w:rPr>
          <w:rFonts w:ascii="Times New Roman" w:hAnsi="Times New Roman" w:cs="Times New Roman"/>
          <w:sz w:val="24"/>
          <w:szCs w:val="24"/>
        </w:rPr>
        <w:t xml:space="preserve"> considerados cómo los umbrales posibles para el ajuste final del modelo.</w:t>
      </w:r>
    </w:p>
    <w:p w14:paraId="5D320FEF" w14:textId="649A315E" w:rsidR="00C1312C" w:rsidRDefault="00C1312C" w:rsidP="00A23F2B">
      <w:pPr>
        <w:spacing w:line="360" w:lineRule="auto"/>
        <w:jc w:val="both"/>
        <w:rPr>
          <w:rFonts w:ascii="Times New Roman" w:hAnsi="Times New Roman" w:cs="Times New Roman"/>
          <w:sz w:val="24"/>
          <w:szCs w:val="24"/>
        </w:rPr>
      </w:pPr>
    </w:p>
    <w:p w14:paraId="678BFA3D" w14:textId="54F40458" w:rsidR="00443AF7" w:rsidRDefault="00C1312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w:t>
      </w:r>
      <w:r w:rsidR="0082341F">
        <w:rPr>
          <w:rFonts w:ascii="Times New Roman" w:hAnsi="Times New Roman" w:cs="Times New Roman"/>
          <w:sz w:val="24"/>
          <w:szCs w:val="24"/>
        </w:rPr>
        <w:t xml:space="preserve"> fines de</w:t>
      </w:r>
      <w:r>
        <w:rPr>
          <w:rFonts w:ascii="Times New Roman" w:hAnsi="Times New Roman" w:cs="Times New Roman"/>
          <w:sz w:val="24"/>
          <w:szCs w:val="24"/>
        </w:rPr>
        <w:t xml:space="preserve"> una comprensión más intuitiva de los umbrales</w:t>
      </w:r>
      <w:r w:rsidR="0005262D">
        <w:rPr>
          <w:rFonts w:ascii="Times New Roman" w:hAnsi="Times New Roman" w:cs="Times New Roman"/>
          <w:sz w:val="24"/>
          <w:szCs w:val="24"/>
        </w:rPr>
        <w:t xml:space="preserve"> anteriores</w:t>
      </w:r>
      <w:r w:rsidR="00CA5164">
        <w:rPr>
          <w:rFonts w:ascii="Times New Roman" w:hAnsi="Times New Roman" w:cs="Times New Roman"/>
          <w:sz w:val="24"/>
          <w:szCs w:val="24"/>
        </w:rPr>
        <w:t xml:space="preserve"> </w:t>
      </w:r>
      <w:r>
        <w:rPr>
          <w:rFonts w:ascii="Times New Roman" w:hAnsi="Times New Roman" w:cs="Times New Roman"/>
          <w:sz w:val="24"/>
          <w:szCs w:val="24"/>
        </w:rPr>
        <w:t>la figura 6</w:t>
      </w:r>
      <w:r w:rsidR="00CA5164">
        <w:rPr>
          <w:rFonts w:ascii="Times New Roman" w:hAnsi="Times New Roman" w:cs="Times New Roman"/>
          <w:sz w:val="24"/>
          <w:szCs w:val="24"/>
        </w:rPr>
        <w:t xml:space="preserve"> muestra cuales serían los umbrales de inflación en términos interanuales</w:t>
      </w:r>
      <w:r w:rsidR="00CA5164">
        <w:rPr>
          <w:rStyle w:val="Refdenotaalpie"/>
          <w:rFonts w:ascii="Times New Roman" w:hAnsi="Times New Roman" w:cs="Times New Roman"/>
          <w:sz w:val="24"/>
          <w:szCs w:val="24"/>
        </w:rPr>
        <w:footnoteReference w:id="16"/>
      </w:r>
      <w:r w:rsidR="0082341F">
        <w:rPr>
          <w:rFonts w:ascii="Times New Roman" w:hAnsi="Times New Roman" w:cs="Times New Roman"/>
          <w:sz w:val="24"/>
          <w:szCs w:val="24"/>
        </w:rPr>
        <w:t xml:space="preserve"> ya</w:t>
      </w:r>
      <w:r w:rsidR="00081BAE">
        <w:rPr>
          <w:rFonts w:ascii="Times New Roman" w:hAnsi="Times New Roman" w:cs="Times New Roman"/>
          <w:sz w:val="24"/>
          <w:szCs w:val="24"/>
        </w:rPr>
        <w:t xml:space="preserve"> que</w:t>
      </w:r>
      <w:r w:rsidR="0082341F">
        <w:rPr>
          <w:rFonts w:ascii="Times New Roman" w:hAnsi="Times New Roman" w:cs="Times New Roman"/>
          <w:sz w:val="24"/>
          <w:szCs w:val="24"/>
        </w:rPr>
        <w:t xml:space="preserve"> </w:t>
      </w:r>
      <w:r w:rsidR="0005262D">
        <w:rPr>
          <w:rFonts w:ascii="Times New Roman" w:hAnsi="Times New Roman" w:cs="Times New Roman"/>
          <w:sz w:val="24"/>
          <w:szCs w:val="24"/>
        </w:rPr>
        <w:t>esta es la</w:t>
      </w:r>
      <w:r w:rsidR="0082341F">
        <w:rPr>
          <w:rFonts w:ascii="Times New Roman" w:hAnsi="Times New Roman" w:cs="Times New Roman"/>
          <w:sz w:val="24"/>
          <w:szCs w:val="24"/>
        </w:rPr>
        <w:t xml:space="preserve"> medida de inflación de uso más extendido.</w:t>
      </w:r>
    </w:p>
    <w:p w14:paraId="3D8E1493" w14:textId="1035FCB5" w:rsidR="00B9594C" w:rsidRDefault="00C1312C" w:rsidP="00C1312C">
      <w:pPr>
        <w:pStyle w:val="Descripcin"/>
        <w:rPr>
          <w:i w:val="0"/>
          <w:iCs w:val="0"/>
        </w:rPr>
      </w:pPr>
      <w:r w:rsidRPr="00C1312C">
        <w:rPr>
          <w:rFonts w:ascii="Times New Roman" w:hAnsi="Times New Roman" w:cs="Times New Roman"/>
          <w:b/>
          <w:bCs/>
          <w:i w:val="0"/>
          <w:iCs w:val="0"/>
          <w:color w:val="auto"/>
          <w:sz w:val="24"/>
          <w:szCs w:val="24"/>
        </w:rPr>
        <w:t xml:space="preserve">Figura </w:t>
      </w:r>
      <w:r w:rsidRPr="00C1312C">
        <w:rPr>
          <w:rFonts w:ascii="Times New Roman" w:hAnsi="Times New Roman" w:cs="Times New Roman"/>
          <w:b/>
          <w:bCs/>
          <w:i w:val="0"/>
          <w:iCs w:val="0"/>
          <w:color w:val="auto"/>
          <w:sz w:val="24"/>
          <w:szCs w:val="24"/>
        </w:rPr>
        <w:fldChar w:fldCharType="begin"/>
      </w:r>
      <w:r w:rsidRPr="00C1312C">
        <w:rPr>
          <w:rFonts w:ascii="Times New Roman" w:hAnsi="Times New Roman" w:cs="Times New Roman"/>
          <w:b/>
          <w:bCs/>
          <w:i w:val="0"/>
          <w:iCs w:val="0"/>
          <w:color w:val="auto"/>
          <w:sz w:val="24"/>
          <w:szCs w:val="24"/>
        </w:rPr>
        <w:instrText xml:space="preserve"> SEQ Figura \* ARABIC </w:instrText>
      </w:r>
      <w:r w:rsidRPr="00C1312C">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6</w:t>
      </w:r>
      <w:r w:rsidRPr="00C1312C">
        <w:rPr>
          <w:rFonts w:ascii="Times New Roman" w:hAnsi="Times New Roman" w:cs="Times New Roman"/>
          <w:b/>
          <w:bCs/>
          <w:i w:val="0"/>
          <w:iCs w:val="0"/>
          <w:color w:val="auto"/>
          <w:sz w:val="24"/>
          <w:szCs w:val="24"/>
        </w:rPr>
        <w:fldChar w:fldCharType="end"/>
      </w:r>
      <w:r>
        <w:rPr>
          <w:i w:val="0"/>
          <w:iCs w:val="0"/>
        </w:rPr>
        <w:t xml:space="preserve"> </w:t>
      </w:r>
      <w:r w:rsidRPr="00C1312C">
        <w:rPr>
          <w:i w:val="0"/>
          <w:iCs w:val="0"/>
          <w:color w:val="FFFFFF" w:themeColor="background1"/>
        </w:rPr>
        <w:t>Umbrales de inflación de términos intermensuales a interanuales</w:t>
      </w:r>
    </w:p>
    <w:p w14:paraId="32CC6531" w14:textId="6652E58F" w:rsidR="00C1312C" w:rsidRPr="00C1312C" w:rsidRDefault="00C1312C" w:rsidP="00C1312C">
      <w:pPr>
        <w:rPr>
          <w:rFonts w:ascii="Times New Roman" w:hAnsi="Times New Roman" w:cs="Times New Roman"/>
          <w:sz w:val="24"/>
          <w:szCs w:val="24"/>
        </w:rPr>
      </w:pPr>
      <w:r w:rsidRPr="00C1312C">
        <w:rPr>
          <w:rFonts w:ascii="Times New Roman" w:hAnsi="Times New Roman" w:cs="Times New Roman"/>
          <w:sz w:val="24"/>
          <w:szCs w:val="24"/>
        </w:rPr>
        <w:t>Umbrales de inflación de términos intermensuales a interanuales</w:t>
      </w:r>
    </w:p>
    <w:p w14:paraId="47CD4077" w14:textId="68CAA501" w:rsidR="00B9594C" w:rsidRDefault="0035205D"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3C8A414B" wp14:editId="4128F64C">
                <wp:extent cx="5606937" cy="1330341"/>
                <wp:effectExtent l="0" t="0" r="13335" b="3175"/>
                <wp:docPr id="10" name="Gráfico 4"/>
                <wp:cNvGraphicFramePr/>
                <a:graphic xmlns:a="http://schemas.openxmlformats.org/drawingml/2006/main">
                  <a:graphicData uri="http://schemas.microsoft.com/office/word/2010/wordprocessingGroup">
                    <wpg:wgp>
                      <wpg:cNvGrpSpPr/>
                      <wpg:grpSpPr>
                        <a:xfrm>
                          <a:off x="0" y="0"/>
                          <a:ext cx="5606937" cy="1330341"/>
                          <a:chOff x="0" y="0"/>
                          <a:chExt cx="5606937" cy="1330341"/>
                        </a:xfrm>
                      </wpg:grpSpPr>
                      <wps:wsp>
                        <wps:cNvPr id="11" name="Forma libre: forma 11"/>
                        <wps:cNvSpPr/>
                        <wps:spPr>
                          <a:xfrm>
                            <a:off x="1765147"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orma libre: forma 13"/>
                        <wps:cNvSpPr/>
                        <wps:spPr>
                          <a:xfrm>
                            <a:off x="2725595"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orma libre: forma 14"/>
                        <wps:cNvSpPr/>
                        <wps:spPr>
                          <a:xfrm>
                            <a:off x="3737958"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orma libre: forma 16"/>
                        <wps:cNvSpPr/>
                        <wps:spPr>
                          <a:xfrm>
                            <a:off x="4776280"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orma libre: forma 17"/>
                        <wps:cNvSpPr/>
                        <wps:spPr>
                          <a:xfrm>
                            <a:off x="1920895"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899188" y="65889"/>
                            <a:ext cx="576580" cy="382270"/>
                          </a:xfrm>
                          <a:prstGeom prst="rect">
                            <a:avLst/>
                          </a:prstGeom>
                          <a:noFill/>
                        </wps:spPr>
                        <wps:txbx>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9" name="Forma libre: forma 19"/>
                        <wps:cNvSpPr/>
                        <wps:spPr>
                          <a:xfrm>
                            <a:off x="2881343"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2859192" y="65869"/>
                            <a:ext cx="576580" cy="382270"/>
                          </a:xfrm>
                          <a:prstGeom prst="rect">
                            <a:avLst/>
                          </a:prstGeom>
                          <a:noFill/>
                        </wps:spPr>
                        <wps:txbx>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1" name="Forma libre: forma 21"/>
                        <wps:cNvSpPr/>
                        <wps:spPr>
                          <a:xfrm>
                            <a:off x="3893707"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Cuadro de texto 22"/>
                        <wps:cNvSpPr txBox="1"/>
                        <wps:spPr>
                          <a:xfrm>
                            <a:off x="3871272" y="65869"/>
                            <a:ext cx="576580" cy="382270"/>
                          </a:xfrm>
                          <a:prstGeom prst="rect">
                            <a:avLst/>
                          </a:prstGeom>
                          <a:noFill/>
                        </wps:spPr>
                        <wps:txbx>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3" name="Forma libre: forma 23"/>
                        <wps:cNvSpPr/>
                        <wps:spPr>
                          <a:xfrm>
                            <a:off x="4932029"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Cuadro de texto 24"/>
                        <wps:cNvSpPr txBox="1"/>
                        <wps:spPr>
                          <a:xfrm>
                            <a:off x="4909304" y="65869"/>
                            <a:ext cx="576580" cy="382270"/>
                          </a:xfrm>
                          <a:prstGeom prst="rect">
                            <a:avLst/>
                          </a:prstGeom>
                          <a:noFill/>
                        </wps:spPr>
                        <wps:txbx>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5" name="Forma libre: forma 25"/>
                        <wps:cNvSpPr/>
                        <wps:spPr>
                          <a:xfrm>
                            <a:off x="1765147"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orma libre: forma 26"/>
                        <wps:cNvSpPr/>
                        <wps:spPr>
                          <a:xfrm>
                            <a:off x="2725595"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orma libre: forma 27"/>
                        <wps:cNvSpPr/>
                        <wps:spPr>
                          <a:xfrm>
                            <a:off x="3737958"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orma libre: forma 28"/>
                        <wps:cNvSpPr/>
                        <wps:spPr>
                          <a:xfrm>
                            <a:off x="4776280"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orma libre: forma 29"/>
                        <wps:cNvSpPr/>
                        <wps:spPr>
                          <a:xfrm>
                            <a:off x="1920895"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Cuadro de texto 30"/>
                        <wps:cNvSpPr txBox="1"/>
                        <wps:spPr>
                          <a:xfrm>
                            <a:off x="1899011" y="948061"/>
                            <a:ext cx="576580" cy="382270"/>
                          </a:xfrm>
                          <a:prstGeom prst="rect">
                            <a:avLst/>
                          </a:prstGeom>
                          <a:noFill/>
                        </wps:spPr>
                        <wps:txbx>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1" name="Forma libre: forma 31"/>
                        <wps:cNvSpPr/>
                        <wps:spPr>
                          <a:xfrm>
                            <a:off x="2881343"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2859192" y="948071"/>
                            <a:ext cx="576580" cy="382270"/>
                          </a:xfrm>
                          <a:prstGeom prst="rect">
                            <a:avLst/>
                          </a:prstGeom>
                          <a:noFill/>
                        </wps:spPr>
                        <wps:txbx>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3" name="Forma libre: forma 33"/>
                        <wps:cNvSpPr/>
                        <wps:spPr>
                          <a:xfrm>
                            <a:off x="3893707"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3871272" y="948064"/>
                            <a:ext cx="576580" cy="382270"/>
                          </a:xfrm>
                          <a:prstGeom prst="rect">
                            <a:avLst/>
                          </a:prstGeom>
                          <a:noFill/>
                        </wps:spPr>
                        <wps:txbx>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5" name="Forma libre: forma 35"/>
                        <wps:cNvSpPr/>
                        <wps:spPr>
                          <a:xfrm>
                            <a:off x="4932029"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4872972" y="948064"/>
                            <a:ext cx="652780" cy="382270"/>
                          </a:xfrm>
                          <a:prstGeom prst="rect">
                            <a:avLst/>
                          </a:prstGeom>
                          <a:noFill/>
                        </wps:spPr>
                        <wps:txbx>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7" name="Forma libre: forma 37"/>
                        <wps:cNvSpPr/>
                        <wps:spPr>
                          <a:xfrm>
                            <a:off x="2180476"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orma libre: forma 38"/>
                        <wps:cNvSpPr/>
                        <wps:spPr>
                          <a:xfrm>
                            <a:off x="2162305"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orma libre: forma 39"/>
                        <wps:cNvSpPr/>
                        <wps:spPr>
                          <a:xfrm>
                            <a:off x="3161690"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orma libre: forma 40"/>
                        <wps:cNvSpPr/>
                        <wps:spPr>
                          <a:xfrm>
                            <a:off x="3143519"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orma libre: forma 41"/>
                        <wps:cNvSpPr/>
                        <wps:spPr>
                          <a:xfrm>
                            <a:off x="4150691"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orma libre: forma 42"/>
                        <wps:cNvSpPr/>
                        <wps:spPr>
                          <a:xfrm>
                            <a:off x="4132521"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orma libre: forma 43"/>
                        <wps:cNvSpPr/>
                        <wps:spPr>
                          <a:xfrm>
                            <a:off x="5189013"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orma libre: forma 44"/>
                        <wps:cNvSpPr/>
                        <wps:spPr>
                          <a:xfrm>
                            <a:off x="5170843"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orma libre: forma 45"/>
                        <wps:cNvSpPr/>
                        <wps:spPr>
                          <a:xfrm>
                            <a:off x="0" y="77869"/>
                            <a:ext cx="1920895" cy="259565"/>
                          </a:xfrm>
                          <a:custGeom>
                            <a:avLst/>
                            <a:gdLst>
                              <a:gd name="connsiteX0" fmla="*/ 0 w 1920895"/>
                              <a:gd name="connsiteY0" fmla="*/ 0 h 259565"/>
                              <a:gd name="connsiteX1" fmla="*/ 1920896 w 1920895"/>
                              <a:gd name="connsiteY1" fmla="*/ 0 h 259565"/>
                              <a:gd name="connsiteX2" fmla="*/ 1920896 w 1920895"/>
                              <a:gd name="connsiteY2" fmla="*/ 259566 h 259565"/>
                              <a:gd name="connsiteX3" fmla="*/ 0 w 1920895"/>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20895" h="259565">
                                <a:moveTo>
                                  <a:pt x="0" y="0"/>
                                </a:moveTo>
                                <a:lnTo>
                                  <a:pt x="1920896" y="0"/>
                                </a:lnTo>
                                <a:lnTo>
                                  <a:pt x="1920896"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Cuadro de texto 46"/>
                        <wps:cNvSpPr txBox="1"/>
                        <wps:spPr>
                          <a:xfrm>
                            <a:off x="222589" y="65869"/>
                            <a:ext cx="1558290" cy="382270"/>
                          </a:xfrm>
                          <a:prstGeom prst="rect">
                            <a:avLst/>
                          </a:prstGeom>
                          <a:noFill/>
                        </wps:spPr>
                        <wps:txbx>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7" name="Forma libre: forma 47"/>
                        <wps:cNvSpPr/>
                        <wps:spPr>
                          <a:xfrm>
                            <a:off x="20766" y="960393"/>
                            <a:ext cx="1972811" cy="259565"/>
                          </a:xfrm>
                          <a:custGeom>
                            <a:avLst/>
                            <a:gdLst>
                              <a:gd name="connsiteX0" fmla="*/ 0 w 1972811"/>
                              <a:gd name="connsiteY0" fmla="*/ 0 h 259565"/>
                              <a:gd name="connsiteX1" fmla="*/ 1972812 w 1972811"/>
                              <a:gd name="connsiteY1" fmla="*/ 0 h 259565"/>
                              <a:gd name="connsiteX2" fmla="*/ 1972812 w 1972811"/>
                              <a:gd name="connsiteY2" fmla="*/ 259566 h 259565"/>
                              <a:gd name="connsiteX3" fmla="*/ 0 w 1972811"/>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72811" h="259565">
                                <a:moveTo>
                                  <a:pt x="0" y="0"/>
                                </a:moveTo>
                                <a:lnTo>
                                  <a:pt x="1972812" y="0"/>
                                </a:lnTo>
                                <a:lnTo>
                                  <a:pt x="1972812"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Cuadro de texto 48"/>
                        <wps:cNvSpPr txBox="1"/>
                        <wps:spPr>
                          <a:xfrm>
                            <a:off x="349747" y="948064"/>
                            <a:ext cx="1380490" cy="382270"/>
                          </a:xfrm>
                          <a:prstGeom prst="rect">
                            <a:avLst/>
                          </a:prstGeom>
                          <a:noFill/>
                        </wps:spPr>
                        <wps:txbx>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8A414B" id="Gráfico 4" o:spid="_x0000_s1026" style="width:441.5pt;height:104.75pt;mso-position-horizontal-relative:char;mso-position-vertical-relative:line" coordsize="56069,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">
                <v:shape id="Forma libre: forma 11" o:spid="_x0000_s1027" style="position:absolute;left:17651;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3" o:spid="_x0000_s1028" style="position:absolute;left:2725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4" o:spid="_x0000_s1029" style="position:absolute;left:37379;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6" o:spid="_x0000_s1030" style="position:absolute;left:47762;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7" o:spid="_x0000_s1031" style="position:absolute;left:19208;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type id="_x0000_t202" coordsize="21600,21600" o:spt="202" path="m,l,21600r21600,l21600,xe">
                  <v:stroke joinstyle="miter"/>
                  <v:path gradientshapeok="t" o:connecttype="rect"/>
                </v:shapetype>
                <v:shape id="Cuadro de texto 18" o:spid="_x0000_s1032" type="#_x0000_t202" style="position:absolute;left:189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v:textbox>
                </v:shape>
                <v:shape id="Forma libre: forma 19" o:spid="_x0000_s1033" style="position:absolute;left:28813;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 id="Cuadro de texto 20" o:spid="_x0000_s1034" type="#_x0000_t202" style="position:absolute;left:285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v:textbox>
                </v:shape>
                <v:shape id="Forma libre: forma 21" o:spid="_x0000_s1035" style="position:absolute;left:38937;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2" o:spid="_x0000_s1036" type="#_x0000_t202" style="position:absolute;left:38712;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v:textbox>
                </v:shape>
                <v:shape id="Forma libre: forma 23" o:spid="_x0000_s1037" style="position:absolute;left:49320;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4" o:spid="_x0000_s1038" type="#_x0000_t202" style="position:absolute;left:49093;top:658;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v:textbox>
                </v:shape>
                <v:shape id="Forma libre: forma 25" o:spid="_x0000_s1039" style="position:absolute;left:17651;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6" o:spid="_x0000_s1040" style="position:absolute;left:27255;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7" o:spid="_x0000_s1041" style="position:absolute;left:37379;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8" o:spid="_x0000_s1042" style="position:absolute;left:47762;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9" o:spid="_x0000_s1043" style="position:absolute;left:19208;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0" o:spid="_x0000_s1044" type="#_x0000_t202" style="position:absolute;left:18990;top:9480;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v:textbox>
                </v:shape>
                <v:shape id="Forma libre: forma 31" o:spid="_x0000_s1045" style="position:absolute;left:28813;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2" o:spid="_x0000_s1046" type="#_x0000_t202" style="position:absolute;left:28591;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v:textbox>
                </v:shape>
                <v:shape id="Forma libre: forma 33" o:spid="_x0000_s1047" style="position:absolute;left:38937;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" path="m,l519161,r,259566l,259566,,xe" filled="f" stroked="f" strokeweight=".14417mm">
                  <v:stroke joinstyle="miter"/>
                  <v:path arrowok="t" o:connecttype="custom" o:connectlocs="0,0;519161,0;519161,259566;0,259566" o:connectangles="0,0,0,0"/>
                </v:shape>
                <v:shape id="Cuadro de texto 34" o:spid="_x0000_s1048" type="#_x0000_t202" style="position:absolute;left:38712;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v:textbox>
                </v:shape>
                <v:shape id="Forma libre: forma 35" o:spid="_x0000_s1049" style="position:absolute;left:49320;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" path="m,l519161,r,259566l,259566,,xe" filled="f" stroked="f" strokeweight=".14417mm">
                  <v:stroke joinstyle="miter"/>
                  <v:path arrowok="t" o:connecttype="custom" o:connectlocs="0,0;519161,0;519161,259566;0,259566" o:connectangles="0,0,0,0"/>
                </v:shape>
                <v:shape id="Cuadro de texto 36" o:spid="_x0000_s1050" type="#_x0000_t202" style="position:absolute;left:48729;top:9480;width:6528;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v:textbox>
                </v:shape>
                <v:shape id="Forma libre: forma 37" o:spid="_x0000_s1051" style="position:absolute;left:21804;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" path="m,l,434150e" filled="f" strokeweight=".14417mm">
                  <v:stroke joinstyle="miter"/>
                  <v:path arrowok="t" o:connecttype="custom" o:connectlocs="0,0;0,434150" o:connectangles="0,0"/>
                </v:shape>
                <v:shape id="Forma libre: forma 38" o:spid="_x0000_s1052" style="position:absolute;left:21623;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39" o:spid="_x0000_s1053" style="position:absolute;left:3161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" path="m,l,434150e" filled="f" strokeweight=".14417mm">
                  <v:stroke joinstyle="miter"/>
                  <v:path arrowok="t" o:connecttype="custom" o:connectlocs="0,0;0,434150" o:connectangles="0,0"/>
                </v:shape>
                <v:shape id="Forma libre: forma 40" o:spid="_x0000_s1054" style="position:absolute;left:3143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41" o:spid="_x0000_s1055" style="position:absolute;left:4150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" path="m,l,434150e" filled="f" strokeweight=".14417mm">
                  <v:stroke joinstyle="miter"/>
                  <v:path arrowok="t" o:connecttype="custom" o:connectlocs="0,0;0,434150" o:connectangles="0,0"/>
                </v:shape>
                <v:shape id="Forma libre: forma 42" o:spid="_x0000_s1056" style="position:absolute;left:4132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" path="m18171,36339l,,18171,9085,36341,,18171,36339xe" fillcolor="black" strokeweight=".14417mm">
                  <v:stroke joinstyle="miter"/>
                  <v:path arrowok="t" o:connecttype="custom" o:connectlocs="18171,36339;0,0;18171,9085;36341,0" o:connectangles="0,0,0,0"/>
                </v:shape>
                <v:shape id="Forma libre: forma 43" o:spid="_x0000_s1057" style="position:absolute;left:51890;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" path="m,l,434150e" filled="f" strokeweight=".14417mm">
                  <v:stroke joinstyle="miter"/>
                  <v:path arrowok="t" o:connecttype="custom" o:connectlocs="0,0;0,434150" o:connectangles="0,0"/>
                </v:shape>
                <v:shape id="Forma libre: forma 44" o:spid="_x0000_s1058" style="position:absolute;left:51708;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" path="m18171,36339l,,18171,9085,36341,,18171,36339xe" fillcolor="black" strokeweight=".14417mm">
                  <v:stroke joinstyle="miter"/>
                  <v:path arrowok="t" o:connecttype="custom" o:connectlocs="18171,36339;0,0;18171,9085;36341,0" o:connectangles="0,0,0,0"/>
                </v:shape>
                <v:shape id="Forma libre: forma 45" o:spid="_x0000_s1059" style="position:absolute;top:778;width:19208;height:2596;visibility:visible;mso-wrap-style:square;v-text-anchor:middle" coordsize="1920895,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" path="m,l1920896,r,259566l,259566,,xe" filled="f" stroked="f" strokeweight=".14417mm">
                  <v:stroke joinstyle="miter"/>
                  <v:path arrowok="t" o:connecttype="custom" o:connectlocs="0,0;1920896,0;1920896,259566;0,259566" o:connectangles="0,0,0,0"/>
                </v:shape>
                <v:shape id="Cuadro de texto 46" o:spid="_x0000_s1060" type="#_x0000_t202" style="position:absolute;left:2225;top:658;width:15583;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v:textbox>
                </v:shape>
                <v:shape id="Forma libre: forma 47" o:spid="_x0000_s1061" style="position:absolute;left:207;top:9603;width:19728;height:2596;visibility:visible;mso-wrap-style:square;v-text-anchor:middle" coordsize="1972811,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" path="m,l1972812,r,259566l,259566,,xe" filled="f" stroked="f" strokeweight=".14417mm">
                  <v:stroke joinstyle="miter"/>
                  <v:path arrowok="t" o:connecttype="custom" o:connectlocs="0,0;1972812,0;1972812,259566;0,259566" o:connectangles="0,0,0,0"/>
                </v:shape>
                <v:shape id="Cuadro de texto 48" o:spid="_x0000_s1062" type="#_x0000_t202" style="position:absolute;left:3497;top:9480;width:1380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v:textbox>
                </v:shape>
                <w10:anchorlock/>
              </v:group>
            </w:pict>
          </mc:Fallback>
        </mc:AlternateContent>
      </w:r>
    </w:p>
    <w:p w14:paraId="320DE088" w14:textId="07A84D65" w:rsidR="00F65318" w:rsidRDefault="00F6531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El diagrama muestra los umbrales de inflación si la dinámica inflacionaria intermensual </w:t>
      </w:r>
      <w:r w:rsidR="00B63EFA">
        <w:rPr>
          <w:rFonts w:ascii="Times New Roman" w:hAnsi="Times New Roman" w:cs="Times New Roman"/>
          <w:sz w:val="24"/>
          <w:szCs w:val="24"/>
        </w:rPr>
        <w:t>continua</w:t>
      </w:r>
      <w:r>
        <w:rPr>
          <w:rFonts w:ascii="Times New Roman" w:hAnsi="Times New Roman" w:cs="Times New Roman"/>
          <w:sz w:val="24"/>
          <w:szCs w:val="24"/>
        </w:rPr>
        <w:t xml:space="preserve"> de un año a otro.</w:t>
      </w:r>
      <w:r w:rsidR="001823DC">
        <w:rPr>
          <w:rFonts w:ascii="Times New Roman" w:hAnsi="Times New Roman" w:cs="Times New Roman"/>
          <w:sz w:val="24"/>
          <w:szCs w:val="24"/>
        </w:rPr>
        <w:t xml:space="preserve"> Elaboración propia.</w:t>
      </w:r>
    </w:p>
    <w:p w14:paraId="0A00D0E5" w14:textId="4E840049" w:rsidR="00303E86" w:rsidRDefault="00D25564"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Dado el funcionamiento del modelo los umbrales muestran que una inflación inferior a 1.69% se considera como una inflación baja mientras que una mayor a 10.43%</w:t>
      </w:r>
      <w:r w:rsidR="00303E86">
        <w:rPr>
          <w:rFonts w:ascii="Times New Roman" w:eastAsiaTheme="minorEastAsia" w:hAnsi="Times New Roman" w:cs="Times New Roman"/>
          <w:sz w:val="24"/>
          <w:szCs w:val="24"/>
        </w:rPr>
        <w:t xml:space="preserve"> como inflación alta. Cabe mencionar </w:t>
      </w:r>
      <w:r w:rsidR="0005262D">
        <w:rPr>
          <w:rFonts w:ascii="Times New Roman" w:eastAsiaTheme="minorEastAsia" w:hAnsi="Times New Roman" w:cs="Times New Roman"/>
          <w:sz w:val="24"/>
          <w:szCs w:val="24"/>
        </w:rPr>
        <w:t>que,</w:t>
      </w:r>
      <w:r w:rsidR="00303E86">
        <w:rPr>
          <w:rFonts w:ascii="Times New Roman" w:eastAsiaTheme="minorEastAsia" w:hAnsi="Times New Roman" w:cs="Times New Roman"/>
          <w:sz w:val="24"/>
          <w:szCs w:val="24"/>
        </w:rPr>
        <w:t xml:space="preserve"> aunque se presentan los umbrales en términos interanuales el ajuste del modelo se realizó con los umbrales en términos </w:t>
      </w:r>
      <w:r w:rsidR="00502C1F">
        <w:rPr>
          <w:rFonts w:ascii="Times New Roman" w:eastAsiaTheme="minorEastAsia" w:hAnsi="Times New Roman" w:cs="Times New Roman"/>
          <w:sz w:val="24"/>
          <w:szCs w:val="24"/>
        </w:rPr>
        <w:t>intermensuales</w:t>
      </w:r>
      <w:r w:rsidR="00303E86">
        <w:rPr>
          <w:rFonts w:ascii="Times New Roman" w:eastAsiaTheme="minorEastAsia" w:hAnsi="Times New Roman" w:cs="Times New Roman"/>
          <w:sz w:val="24"/>
          <w:szCs w:val="24"/>
        </w:rPr>
        <w:t xml:space="preserve"> debido a la frecuencia de los datos</w:t>
      </w:r>
      <w:r w:rsidR="00081BAE">
        <w:rPr>
          <w:rFonts w:ascii="Times New Roman" w:eastAsiaTheme="minorEastAsia" w:hAnsi="Times New Roman" w:cs="Times New Roman"/>
          <w:sz w:val="24"/>
          <w:szCs w:val="24"/>
        </w:rPr>
        <w:t>, además de ello, para fines de simplificar el modelo</w:t>
      </w:r>
      <w:r w:rsidR="00AE5C25">
        <w:rPr>
          <w:rStyle w:val="Refdenotaalpie"/>
          <w:rFonts w:ascii="Times New Roman" w:eastAsiaTheme="minorEastAsia" w:hAnsi="Times New Roman" w:cs="Times New Roman"/>
          <w:sz w:val="24"/>
          <w:szCs w:val="24"/>
        </w:rPr>
        <w:footnoteReference w:id="17"/>
      </w:r>
      <w:r w:rsidR="00081BAE">
        <w:rPr>
          <w:rFonts w:ascii="Times New Roman" w:eastAsiaTheme="minorEastAsia" w:hAnsi="Times New Roman" w:cs="Times New Roman"/>
          <w:sz w:val="24"/>
          <w:szCs w:val="24"/>
        </w:rPr>
        <w:t xml:space="preserve"> </w:t>
      </w:r>
      <w:r w:rsidR="00AE5C25">
        <w:rPr>
          <w:rFonts w:ascii="Times New Roman" w:eastAsiaTheme="minorEastAsia" w:hAnsi="Times New Roman" w:cs="Times New Roman"/>
          <w:sz w:val="24"/>
          <w:szCs w:val="24"/>
        </w:rPr>
        <w:t>los únicos umbrales considerados fueron</w:t>
      </w:r>
      <w:r w:rsidR="00081BAE">
        <w:rPr>
          <w:rFonts w:ascii="Times New Roman" w:eastAsiaTheme="minorEastAsia" w:hAnsi="Times New Roman" w:cs="Times New Roman"/>
          <w:sz w:val="24"/>
          <w:szCs w:val="24"/>
        </w:rPr>
        <w:t xml:space="preserve"> 0.14% y 0.</w:t>
      </w:r>
      <w:r w:rsidR="00A23047">
        <w:rPr>
          <w:rFonts w:ascii="Times New Roman" w:eastAsiaTheme="minorEastAsia" w:hAnsi="Times New Roman" w:cs="Times New Roman"/>
          <w:sz w:val="24"/>
          <w:szCs w:val="24"/>
        </w:rPr>
        <w:t>83% de inflación intermensual</w:t>
      </w:r>
      <w:r w:rsidR="00AE5C25">
        <w:rPr>
          <w:rFonts w:ascii="Times New Roman" w:eastAsiaTheme="minorEastAsia" w:hAnsi="Times New Roman" w:cs="Times New Roman"/>
          <w:sz w:val="24"/>
          <w:szCs w:val="24"/>
        </w:rPr>
        <w:t xml:space="preserve"> lo cual define un modelo con tres regímenes representados de la siguiente manera</w:t>
      </w:r>
      <w:r w:rsidR="00A23047">
        <w:rPr>
          <w:rFonts w:ascii="Times New Roman" w:eastAsiaTheme="minorEastAsia" w:hAnsi="Times New Roman" w:cs="Times New Roman"/>
          <w:sz w:val="24"/>
          <w:szCs w:val="24"/>
        </w:rPr>
        <w:t>:</w:t>
      </w:r>
    </w:p>
    <w:p w14:paraId="283062EC" w14:textId="417A649D" w:rsidR="00A23047" w:rsidRDefault="00A23047"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baja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p>
    <w:p w14:paraId="0F72BF4B" w14:textId="37F0ADE2"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media </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p>
    <w:p w14:paraId="274B84A7" w14:textId="49DA63EC"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alta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&gt;0.14%</m:t>
        </m:r>
      </m:oMath>
    </w:p>
    <w:p w14:paraId="770DFF04" w14:textId="6EFD3B4E" w:rsidR="006F3E0D" w:rsidRDefault="006F3E0D" w:rsidP="00A23F2B">
      <w:pPr>
        <w:spacing w:line="360" w:lineRule="auto"/>
        <w:jc w:val="both"/>
        <w:rPr>
          <w:rFonts w:ascii="Times New Roman" w:hAnsi="Times New Roman" w:cs="Times New Roman"/>
          <w:sz w:val="24"/>
          <w:szCs w:val="24"/>
        </w:rPr>
      </w:pPr>
    </w:p>
    <w:p w14:paraId="45E31AA1" w14:textId="16447D4D" w:rsidR="006F3E0D" w:rsidRPr="006F3E0D" w:rsidRDefault="006F3E0D" w:rsidP="003B6B09">
      <w:pPr>
        <w:pStyle w:val="Ttulo2"/>
        <w:spacing w:line="240" w:lineRule="auto"/>
        <w:rPr>
          <w:rFonts w:ascii="Times New Roman" w:hAnsi="Times New Roman" w:cs="Times New Roman"/>
          <w:b/>
          <w:bCs/>
          <w:color w:val="auto"/>
          <w:sz w:val="24"/>
          <w:szCs w:val="24"/>
        </w:rPr>
      </w:pPr>
      <w:bookmarkStart w:id="25" w:name="_Toc111757506"/>
      <w:r w:rsidRPr="006F3E0D">
        <w:rPr>
          <w:rFonts w:ascii="Times New Roman" w:hAnsi="Times New Roman" w:cs="Times New Roman"/>
          <w:b/>
          <w:bCs/>
          <w:color w:val="auto"/>
          <w:sz w:val="24"/>
          <w:szCs w:val="24"/>
        </w:rPr>
        <w:lastRenderedPageBreak/>
        <w:t>3.</w:t>
      </w:r>
      <w:r w:rsidR="005F6E23">
        <w:rPr>
          <w:rFonts w:ascii="Times New Roman" w:hAnsi="Times New Roman" w:cs="Times New Roman"/>
          <w:b/>
          <w:bCs/>
          <w:color w:val="auto"/>
          <w:sz w:val="24"/>
          <w:szCs w:val="24"/>
        </w:rPr>
        <w:t>2</w:t>
      </w:r>
      <w:r w:rsidRPr="006F3E0D">
        <w:rPr>
          <w:rFonts w:ascii="Times New Roman" w:hAnsi="Times New Roman" w:cs="Times New Roman"/>
          <w:b/>
          <w:bCs/>
          <w:color w:val="auto"/>
          <w:sz w:val="24"/>
          <w:szCs w:val="24"/>
        </w:rPr>
        <w:t xml:space="preserve"> </w:t>
      </w:r>
      <w:r w:rsidR="003B6B09">
        <w:rPr>
          <w:rFonts w:ascii="Times New Roman" w:hAnsi="Times New Roman" w:cs="Times New Roman"/>
          <w:b/>
          <w:bCs/>
          <w:color w:val="auto"/>
          <w:sz w:val="24"/>
          <w:szCs w:val="24"/>
        </w:rPr>
        <w:t>Presentación y discusión de los resultados del modelo TAR de 3 regímenes inflacionarios.</w:t>
      </w:r>
      <w:bookmarkEnd w:id="25"/>
    </w:p>
    <w:p w14:paraId="7DBEFB18" w14:textId="77777777" w:rsidR="003B6B09" w:rsidRDefault="003B6B09" w:rsidP="003B6B09">
      <w:pPr>
        <w:spacing w:after="0" w:line="240" w:lineRule="auto"/>
        <w:jc w:val="both"/>
        <w:rPr>
          <w:rFonts w:ascii="Times New Roman" w:hAnsi="Times New Roman" w:cs="Times New Roman"/>
          <w:sz w:val="24"/>
          <w:szCs w:val="24"/>
        </w:rPr>
      </w:pPr>
    </w:p>
    <w:p w14:paraId="0A914C1F" w14:textId="66282F66" w:rsidR="00443AF7"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El modelo TAR ajustado para la estimación del efecto pass-through fue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6F3E0D" w14:paraId="3E3B4D76" w14:textId="77777777" w:rsidTr="006F1288">
        <w:trPr>
          <w:trHeight w:val="850"/>
        </w:trPr>
        <w:tc>
          <w:tcPr>
            <w:tcW w:w="0" w:type="pct"/>
          </w:tcPr>
          <w:p w14:paraId="0B8EF196" w14:textId="77777777" w:rsidR="006F3E0D" w:rsidRDefault="006F3E0D" w:rsidP="00A23F2B">
            <w:pPr>
              <w:spacing w:line="360" w:lineRule="auto"/>
              <w:jc w:val="both"/>
              <w:rPr>
                <w:rFonts w:ascii="Times New Roman" w:hAnsi="Times New Roman"/>
                <w:sz w:val="24"/>
                <w:szCs w:val="24"/>
              </w:rPr>
            </w:pPr>
          </w:p>
        </w:tc>
        <w:tc>
          <w:tcPr>
            <w:tcW w:w="4500" w:type="pct"/>
            <w:vAlign w:val="center"/>
          </w:tcPr>
          <w:p w14:paraId="5F85C364" w14:textId="77777777" w:rsidR="00A23047" w:rsidRPr="00A23047" w:rsidRDefault="005F6E23" w:rsidP="0039022D">
            <w:pPr>
              <w:spacing w:line="360" w:lineRule="auto"/>
              <w:jc w:val="center"/>
              <w:rPr>
                <w:rFonts w:ascii="Times New Roman" w:eastAsiaTheme="minorEastAsia" w:hAnsi="Times New Roman"/>
                <w:sz w:val="24"/>
                <w:szCs w:val="24"/>
              </w:rPr>
            </w:pPr>
            <m:oMathPara>
              <m:oMathParaPr>
                <m:jc m:val="center"/>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14:paraId="05D6CCE1" w14:textId="772F4800" w:rsidR="006F3E0D" w:rsidRPr="00A23047" w:rsidRDefault="00A23047" w:rsidP="0039022D">
            <w:pPr>
              <w:spacing w:line="360" w:lineRule="auto"/>
              <w:jc w:val="center"/>
              <w:rPr>
                <w:rFonts w:ascii="Times New Roman" w:eastAsiaTheme="minorEastAsia" w:hAnsi="Times New Roman"/>
                <w:sz w:val="24"/>
                <w:szCs w:val="24"/>
              </w:rPr>
            </w:pPr>
            <m:oMathPara>
              <m:oMathParaPr>
                <m:jc m:val="left"/>
              </m:oMathParaPr>
              <m:oMath>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500" w:type="pct"/>
            <w:vAlign w:val="center"/>
          </w:tcPr>
          <w:p w14:paraId="1C7E8EDC" w14:textId="517407B4" w:rsidR="006F3E0D" w:rsidRDefault="005F6E23" w:rsidP="005A3E51">
            <w:pPr>
              <w:spacing w:line="360" w:lineRule="auto"/>
              <w:jc w:val="right"/>
              <w:rPr>
                <w:rFonts w:ascii="Times New Roman" w:hAnsi="Times New Roman"/>
                <w:sz w:val="24"/>
                <w:szCs w:val="24"/>
              </w:rPr>
            </w:pPr>
            <w:r>
              <w:rPr>
                <w:rFonts w:ascii="Times New Roman" w:hAnsi="Times New Roman"/>
                <w:sz w:val="24"/>
                <w:szCs w:val="24"/>
              </w:rPr>
              <w:t>(3.2.1)</w:t>
            </w:r>
          </w:p>
        </w:tc>
      </w:tr>
    </w:tbl>
    <w:p w14:paraId="7CBBB9B4" w14:textId="5AC263B1" w:rsidR="006F3E0D" w:rsidRDefault="006F128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Donde:</w:t>
      </w:r>
    </w:p>
    <w:p w14:paraId="6E777123" w14:textId="13458597" w:rsidR="006F1288" w:rsidRDefault="00000000" w:rsidP="00A23F2B">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r w:rsidR="00802F74">
        <w:rPr>
          <w:rFonts w:ascii="Times New Roman" w:eastAsiaTheme="minorEastAsia" w:hAnsi="Times New Roman" w:cs="Times New Roman"/>
          <w:sz w:val="24"/>
          <w:szCs w:val="24"/>
        </w:rPr>
        <w:t>dummy</w:t>
      </w:r>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baja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r w:rsidR="00D53066">
        <w:rPr>
          <w:rFonts w:ascii="Times New Roman" w:eastAsiaTheme="minorEastAsia" w:hAnsi="Times New Roman" w:cs="Times New Roman"/>
          <w:sz w:val="24"/>
          <w:szCs w:val="24"/>
        </w:rPr>
        <w:t>)</w:t>
      </w:r>
    </w:p>
    <w:p w14:paraId="0C98E37D" w14:textId="63FCCD42" w:rsidR="006F1288" w:rsidRDefault="00000000" w:rsidP="006F1288">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r w:rsidR="00802F74">
        <w:rPr>
          <w:rFonts w:ascii="Times New Roman" w:eastAsiaTheme="minorEastAsia" w:hAnsi="Times New Roman" w:cs="Times New Roman"/>
          <w:sz w:val="24"/>
          <w:szCs w:val="24"/>
        </w:rPr>
        <w:t>dummy</w:t>
      </w:r>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media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r w:rsidR="00D53066">
        <w:rPr>
          <w:rFonts w:ascii="Times New Roman" w:eastAsiaTheme="minorEastAsia" w:hAnsi="Times New Roman" w:cs="Times New Roman"/>
          <w:sz w:val="24"/>
          <w:szCs w:val="24"/>
        </w:rPr>
        <w:t>)</w:t>
      </w:r>
    </w:p>
    <w:p w14:paraId="1A0FB97E" w14:textId="77777777" w:rsidR="00802F74"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cual queda como </w:t>
      </w:r>
      <w:r w:rsidR="00BE2C37">
        <w:rPr>
          <w:rFonts w:ascii="Times New Roman" w:hAnsi="Times New Roman" w:cs="Times New Roman"/>
          <w:sz w:val="24"/>
          <w:szCs w:val="24"/>
        </w:rPr>
        <w:t>escenario base el régimen de inflación alta</w:t>
      </w:r>
      <w:r>
        <w:rPr>
          <w:rFonts w:ascii="Times New Roman" w:hAnsi="Times New Roman" w:cs="Times New Roman"/>
          <w:sz w:val="24"/>
          <w:szCs w:val="24"/>
        </w:rPr>
        <w:t xml:space="preserve">. </w:t>
      </w:r>
    </w:p>
    <w:p w14:paraId="61B9D9D5" w14:textId="537CD2AE" w:rsidR="006737C0"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del ajuste del modelo TAR se presentan en la tabla 2. En ella se observa que las variables que resultaron ser significativas fueron el componente </w:t>
      </w:r>
      <w:r w:rsidR="00D53066">
        <w:rPr>
          <w:rFonts w:ascii="Times New Roman" w:hAnsi="Times New Roman" w:cs="Times New Roman"/>
          <w:sz w:val="24"/>
          <w:szCs w:val="24"/>
        </w:rPr>
        <w:t>autónomo e inercial de la inflación, la inflación de Estados Unidos y el efecto pass-trhough en el régimen de inflación baja.</w:t>
      </w:r>
    </w:p>
    <w:p w14:paraId="71A67FDE" w14:textId="4C720EEC" w:rsidR="006737C0" w:rsidRDefault="006737C0" w:rsidP="006737C0">
      <w:pPr>
        <w:pStyle w:val="Descripcin"/>
        <w:rPr>
          <w:i w:val="0"/>
          <w:iCs w:val="0"/>
        </w:rPr>
      </w:pPr>
      <w:r w:rsidRPr="006737C0">
        <w:rPr>
          <w:rFonts w:ascii="Times New Roman" w:hAnsi="Times New Roman" w:cs="Times New Roman"/>
          <w:b/>
          <w:bCs/>
          <w:i w:val="0"/>
          <w:iCs w:val="0"/>
          <w:color w:val="auto"/>
          <w:sz w:val="24"/>
          <w:szCs w:val="24"/>
        </w:rPr>
        <w:t xml:space="preserve">Tabla </w:t>
      </w:r>
      <w:r w:rsidRPr="006737C0">
        <w:rPr>
          <w:rFonts w:ascii="Times New Roman" w:hAnsi="Times New Roman" w:cs="Times New Roman"/>
          <w:b/>
          <w:bCs/>
          <w:i w:val="0"/>
          <w:iCs w:val="0"/>
          <w:color w:val="auto"/>
          <w:sz w:val="24"/>
          <w:szCs w:val="24"/>
        </w:rPr>
        <w:fldChar w:fldCharType="begin"/>
      </w:r>
      <w:r w:rsidRPr="006737C0">
        <w:rPr>
          <w:rFonts w:ascii="Times New Roman" w:hAnsi="Times New Roman" w:cs="Times New Roman"/>
          <w:b/>
          <w:bCs/>
          <w:i w:val="0"/>
          <w:iCs w:val="0"/>
          <w:color w:val="auto"/>
          <w:sz w:val="24"/>
          <w:szCs w:val="24"/>
        </w:rPr>
        <w:instrText xml:space="preserve"> SEQ Tabla \* ARABIC </w:instrText>
      </w:r>
      <w:r w:rsidRPr="006737C0">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2</w:t>
      </w:r>
      <w:r w:rsidRPr="006737C0">
        <w:rPr>
          <w:rFonts w:ascii="Times New Roman" w:hAnsi="Times New Roman" w:cs="Times New Roman"/>
          <w:b/>
          <w:bCs/>
          <w:i w:val="0"/>
          <w:iCs w:val="0"/>
          <w:color w:val="auto"/>
          <w:sz w:val="24"/>
          <w:szCs w:val="24"/>
        </w:rPr>
        <w:fldChar w:fldCharType="end"/>
      </w:r>
      <w:r>
        <w:t xml:space="preserve"> </w:t>
      </w:r>
      <w:r w:rsidRPr="006737C0">
        <w:rPr>
          <w:i w:val="0"/>
          <w:iCs w:val="0"/>
          <w:color w:val="FFFFFF" w:themeColor="background1"/>
        </w:rPr>
        <w:t>Coeficientes asociados a cada variable</w:t>
      </w:r>
    </w:p>
    <w:p w14:paraId="00E8207D" w14:textId="64330F69" w:rsidR="006737C0" w:rsidRPr="006737C0" w:rsidRDefault="006737C0" w:rsidP="006737C0">
      <w:pPr>
        <w:rPr>
          <w:rFonts w:ascii="Times New Roman" w:hAnsi="Times New Roman" w:cs="Times New Roman"/>
          <w:sz w:val="24"/>
          <w:szCs w:val="24"/>
        </w:rPr>
      </w:pPr>
      <w:r w:rsidRPr="006737C0">
        <w:rPr>
          <w:rFonts w:ascii="Times New Roman" w:hAnsi="Times New Roman" w:cs="Times New Roman"/>
          <w:sz w:val="24"/>
          <w:szCs w:val="24"/>
        </w:rPr>
        <w:t>Coeficientes asociados a cada variable</w:t>
      </w:r>
    </w:p>
    <w:tbl>
      <w:tblPr>
        <w:tblW w:w="5000" w:type="pct"/>
        <w:tblCellMar>
          <w:left w:w="70" w:type="dxa"/>
          <w:right w:w="70" w:type="dxa"/>
        </w:tblCellMar>
        <w:tblLook w:val="04A0" w:firstRow="1" w:lastRow="0" w:firstColumn="1" w:lastColumn="0" w:noHBand="0" w:noVBand="1"/>
      </w:tblPr>
      <w:tblGrid>
        <w:gridCol w:w="2192"/>
        <w:gridCol w:w="3250"/>
        <w:gridCol w:w="3396"/>
      </w:tblGrid>
      <w:tr w:rsidR="00B71BB4" w:rsidRPr="00B71BB4" w14:paraId="267294A1" w14:textId="77777777" w:rsidTr="0022427B">
        <w:trPr>
          <w:trHeight w:val="315"/>
        </w:trPr>
        <w:tc>
          <w:tcPr>
            <w:tcW w:w="1200" w:type="dxa"/>
            <w:tcBorders>
              <w:top w:val="single" w:sz="4" w:space="0" w:color="auto"/>
              <w:left w:val="nil"/>
              <w:bottom w:val="single" w:sz="4" w:space="0" w:color="auto"/>
              <w:right w:val="nil"/>
            </w:tcBorders>
            <w:shd w:val="clear" w:color="auto" w:fill="auto"/>
            <w:noWrap/>
            <w:vAlign w:val="bottom"/>
            <w:hideMark/>
          </w:tcPr>
          <w:p w14:paraId="6110C1B6"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Variable</w:t>
            </w:r>
          </w:p>
        </w:tc>
        <w:tc>
          <w:tcPr>
            <w:tcW w:w="1780" w:type="dxa"/>
            <w:tcBorders>
              <w:top w:val="single" w:sz="4" w:space="0" w:color="auto"/>
              <w:left w:val="nil"/>
              <w:bottom w:val="single" w:sz="4" w:space="0" w:color="auto"/>
              <w:right w:val="nil"/>
            </w:tcBorders>
            <w:shd w:val="clear" w:color="auto" w:fill="auto"/>
            <w:noWrap/>
            <w:vAlign w:val="bottom"/>
            <w:hideMark/>
          </w:tcPr>
          <w:p w14:paraId="5AE456BB"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Coeficiente</w:t>
            </w:r>
          </w:p>
        </w:tc>
        <w:tc>
          <w:tcPr>
            <w:tcW w:w="1860" w:type="dxa"/>
            <w:tcBorders>
              <w:top w:val="single" w:sz="4" w:space="0" w:color="auto"/>
              <w:left w:val="nil"/>
              <w:bottom w:val="single" w:sz="4" w:space="0" w:color="auto"/>
              <w:right w:val="nil"/>
            </w:tcBorders>
            <w:shd w:val="clear" w:color="auto" w:fill="auto"/>
            <w:noWrap/>
            <w:vAlign w:val="bottom"/>
            <w:hideMark/>
          </w:tcPr>
          <w:p w14:paraId="04E02831" w14:textId="4B9B966B" w:rsidR="00B71BB4" w:rsidRPr="00B71BB4" w:rsidRDefault="006737C0" w:rsidP="00216D9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P-value</w:t>
            </w:r>
          </w:p>
        </w:tc>
      </w:tr>
      <w:tr w:rsidR="00B71BB4" w:rsidRPr="00B71BB4" w14:paraId="48CF414E" w14:textId="77777777" w:rsidTr="0022427B">
        <w:trPr>
          <w:trHeight w:val="315"/>
        </w:trPr>
        <w:tc>
          <w:tcPr>
            <w:tcW w:w="1200" w:type="dxa"/>
            <w:tcBorders>
              <w:top w:val="nil"/>
              <w:left w:val="nil"/>
              <w:bottom w:val="nil"/>
              <w:right w:val="nil"/>
            </w:tcBorders>
            <w:shd w:val="clear" w:color="auto" w:fill="auto"/>
            <w:noWrap/>
            <w:vAlign w:val="bottom"/>
            <w:hideMark/>
          </w:tcPr>
          <w:p w14:paraId="14BC9A24" w14:textId="6CA2286C" w:rsidR="00B71BB4" w:rsidRPr="00B71BB4" w:rsidRDefault="00000000" w:rsidP="00B71BB4">
            <w:pPr>
              <w:spacing w:after="0" w:line="240" w:lineRule="auto"/>
              <w:rPr>
                <w:rFonts w:ascii="Times New Roman" w:eastAsia="Times New Roman" w:hAnsi="Times New Roman" w:cs="Times New Roman"/>
                <w:b/>
                <w:bCs/>
                <w:color w:val="000000"/>
                <w:sz w:val="24"/>
                <w:szCs w:val="24"/>
                <w:lang w:eastAsia="es-GT"/>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m:oMathPara>
          </w:p>
        </w:tc>
        <w:tc>
          <w:tcPr>
            <w:tcW w:w="1780" w:type="dxa"/>
            <w:tcBorders>
              <w:top w:val="nil"/>
              <w:left w:val="nil"/>
              <w:bottom w:val="nil"/>
              <w:right w:val="nil"/>
            </w:tcBorders>
            <w:shd w:val="clear" w:color="auto" w:fill="auto"/>
            <w:noWrap/>
            <w:vAlign w:val="bottom"/>
            <w:hideMark/>
          </w:tcPr>
          <w:p w14:paraId="22720CA7" w14:textId="2640EE4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0.25362</w:t>
            </w:r>
            <w:r w:rsidR="00216D9D">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C5C37A4" w14:textId="7D2B125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3.02*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-10</m:t>
                    </m:r>
                  </m:sup>
                </m:sSup>
              </m:oMath>
            </m:oMathPara>
          </w:p>
        </w:tc>
      </w:tr>
      <w:tr w:rsidR="00B71BB4" w:rsidRPr="00B71BB4" w14:paraId="4B947470" w14:textId="77777777" w:rsidTr="0022427B">
        <w:trPr>
          <w:trHeight w:val="315"/>
        </w:trPr>
        <w:tc>
          <w:tcPr>
            <w:tcW w:w="1200" w:type="dxa"/>
            <w:tcBorders>
              <w:top w:val="nil"/>
              <w:left w:val="nil"/>
              <w:bottom w:val="nil"/>
              <w:right w:val="nil"/>
            </w:tcBorders>
            <w:shd w:val="clear" w:color="auto" w:fill="auto"/>
            <w:noWrap/>
            <w:vAlign w:val="bottom"/>
            <w:hideMark/>
          </w:tcPr>
          <w:p w14:paraId="5209260D" w14:textId="26B8EDBE"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m:oMathPara>
          </w:p>
        </w:tc>
        <w:tc>
          <w:tcPr>
            <w:tcW w:w="1780" w:type="dxa"/>
            <w:tcBorders>
              <w:top w:val="nil"/>
              <w:left w:val="nil"/>
              <w:bottom w:val="nil"/>
              <w:right w:val="nil"/>
            </w:tcBorders>
            <w:shd w:val="clear" w:color="auto" w:fill="auto"/>
            <w:noWrap/>
            <w:vAlign w:val="bottom"/>
            <w:hideMark/>
          </w:tcPr>
          <w:p w14:paraId="44059CF6" w14:textId="4701891B"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0.32442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266353D9" w14:textId="5C9593E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2.62*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-7</m:t>
                    </m:r>
                  </m:sup>
                </m:sSup>
              </m:oMath>
            </m:oMathPara>
          </w:p>
        </w:tc>
      </w:tr>
      <w:tr w:rsidR="00B71BB4" w:rsidRPr="00B71BB4" w14:paraId="4D5C2540" w14:textId="77777777" w:rsidTr="0022427B">
        <w:trPr>
          <w:trHeight w:val="315"/>
        </w:trPr>
        <w:tc>
          <w:tcPr>
            <w:tcW w:w="1200" w:type="dxa"/>
            <w:tcBorders>
              <w:top w:val="nil"/>
              <w:left w:val="nil"/>
              <w:bottom w:val="nil"/>
              <w:right w:val="nil"/>
            </w:tcBorders>
            <w:shd w:val="clear" w:color="auto" w:fill="auto"/>
            <w:noWrap/>
            <w:vAlign w:val="bottom"/>
            <w:hideMark/>
          </w:tcPr>
          <w:p w14:paraId="1943C6E7" w14:textId="7B4A5881"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m:oMathPara>
          </w:p>
        </w:tc>
        <w:tc>
          <w:tcPr>
            <w:tcW w:w="1780" w:type="dxa"/>
            <w:tcBorders>
              <w:top w:val="nil"/>
              <w:left w:val="nil"/>
              <w:bottom w:val="nil"/>
              <w:right w:val="nil"/>
            </w:tcBorders>
            <w:shd w:val="clear" w:color="auto" w:fill="auto"/>
            <w:noWrap/>
            <w:vAlign w:val="bottom"/>
            <w:hideMark/>
          </w:tcPr>
          <w:p w14:paraId="58325A11" w14:textId="3176B3B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0.23882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1EB6295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0.000343</w:t>
            </w:r>
          </w:p>
        </w:tc>
      </w:tr>
      <w:tr w:rsidR="00B71BB4" w:rsidRPr="00B71BB4" w14:paraId="30918019" w14:textId="77777777" w:rsidTr="0022427B">
        <w:trPr>
          <w:trHeight w:val="315"/>
        </w:trPr>
        <w:tc>
          <w:tcPr>
            <w:tcW w:w="1200" w:type="dxa"/>
            <w:tcBorders>
              <w:top w:val="nil"/>
              <w:left w:val="nil"/>
              <w:bottom w:val="nil"/>
              <w:right w:val="nil"/>
            </w:tcBorders>
            <w:shd w:val="clear" w:color="auto" w:fill="auto"/>
            <w:noWrap/>
            <w:vAlign w:val="bottom"/>
            <w:hideMark/>
          </w:tcPr>
          <w:p w14:paraId="630DE8C1" w14:textId="37AB91DE"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m:oMathPara>
          </w:p>
        </w:tc>
        <w:tc>
          <w:tcPr>
            <w:tcW w:w="1780" w:type="dxa"/>
            <w:tcBorders>
              <w:top w:val="nil"/>
              <w:left w:val="nil"/>
              <w:bottom w:val="nil"/>
              <w:right w:val="nil"/>
            </w:tcBorders>
            <w:shd w:val="clear" w:color="auto" w:fill="auto"/>
            <w:noWrap/>
            <w:vAlign w:val="bottom"/>
            <w:hideMark/>
          </w:tcPr>
          <w:p w14:paraId="27A73285"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-0.02448</w:t>
            </w:r>
          </w:p>
        </w:tc>
        <w:tc>
          <w:tcPr>
            <w:tcW w:w="1860" w:type="dxa"/>
            <w:tcBorders>
              <w:top w:val="nil"/>
              <w:left w:val="nil"/>
              <w:bottom w:val="nil"/>
              <w:right w:val="nil"/>
            </w:tcBorders>
            <w:shd w:val="clear" w:color="auto" w:fill="auto"/>
            <w:noWrap/>
            <w:vAlign w:val="bottom"/>
            <w:hideMark/>
          </w:tcPr>
          <w:p w14:paraId="5449DC3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0.15732</w:t>
            </w:r>
          </w:p>
        </w:tc>
      </w:tr>
      <w:tr w:rsidR="00B71BB4" w:rsidRPr="00B71BB4" w14:paraId="15CBF09A" w14:textId="77777777" w:rsidTr="0022427B">
        <w:trPr>
          <w:trHeight w:val="315"/>
        </w:trPr>
        <w:tc>
          <w:tcPr>
            <w:tcW w:w="1200" w:type="dxa"/>
            <w:tcBorders>
              <w:top w:val="nil"/>
              <w:left w:val="nil"/>
              <w:bottom w:val="nil"/>
              <w:right w:val="nil"/>
            </w:tcBorders>
            <w:shd w:val="clear" w:color="auto" w:fill="auto"/>
            <w:noWrap/>
            <w:vAlign w:val="bottom"/>
            <w:hideMark/>
          </w:tcPr>
          <w:p w14:paraId="58EC0451" w14:textId="7F383D2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716E6AF8"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0.10405</w:t>
            </w:r>
          </w:p>
        </w:tc>
        <w:tc>
          <w:tcPr>
            <w:tcW w:w="1860" w:type="dxa"/>
            <w:tcBorders>
              <w:top w:val="nil"/>
              <w:left w:val="nil"/>
              <w:bottom w:val="nil"/>
              <w:right w:val="nil"/>
            </w:tcBorders>
            <w:shd w:val="clear" w:color="auto" w:fill="auto"/>
            <w:noWrap/>
            <w:vAlign w:val="bottom"/>
            <w:hideMark/>
          </w:tcPr>
          <w:p w14:paraId="340A9A3D"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0.211847</w:t>
            </w:r>
          </w:p>
        </w:tc>
      </w:tr>
      <w:tr w:rsidR="00B71BB4" w:rsidRPr="00B71BB4" w14:paraId="2E69F9A7" w14:textId="77777777" w:rsidTr="0022427B">
        <w:trPr>
          <w:trHeight w:val="315"/>
        </w:trPr>
        <w:tc>
          <w:tcPr>
            <w:tcW w:w="1200" w:type="dxa"/>
            <w:tcBorders>
              <w:top w:val="nil"/>
              <w:left w:val="nil"/>
              <w:bottom w:val="nil"/>
              <w:right w:val="nil"/>
            </w:tcBorders>
            <w:shd w:val="clear" w:color="auto" w:fill="auto"/>
            <w:noWrap/>
            <w:vAlign w:val="bottom"/>
            <w:hideMark/>
          </w:tcPr>
          <w:p w14:paraId="4BDA00A3" w14:textId="08FB2797" w:rsidR="00B71BB4" w:rsidRPr="00B71BB4" w:rsidRDefault="00000000" w:rsidP="00B71BB4">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05574C01" w14:textId="540A4D9F"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-0.24938</w:t>
            </w:r>
            <w:r>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10B6D3A" w14:textId="422B413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0.050216</w:t>
            </w:r>
          </w:p>
        </w:tc>
      </w:tr>
      <w:tr w:rsidR="00B71BB4" w:rsidRPr="00B71BB4" w14:paraId="07EC6107" w14:textId="77777777" w:rsidTr="0022427B">
        <w:trPr>
          <w:trHeight w:val="315"/>
        </w:trPr>
        <w:tc>
          <w:tcPr>
            <w:tcW w:w="1200" w:type="dxa"/>
            <w:tcBorders>
              <w:top w:val="nil"/>
              <w:left w:val="nil"/>
              <w:bottom w:val="single" w:sz="4" w:space="0" w:color="auto"/>
              <w:right w:val="nil"/>
            </w:tcBorders>
            <w:shd w:val="clear" w:color="auto" w:fill="auto"/>
            <w:noWrap/>
            <w:vAlign w:val="bottom"/>
            <w:hideMark/>
          </w:tcPr>
          <w:p w14:paraId="329B3C42" w14:textId="366D04F2" w:rsidR="00B71BB4" w:rsidRPr="00B71BB4" w:rsidRDefault="00000000" w:rsidP="0022427B">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single" w:sz="4" w:space="0" w:color="auto"/>
              <w:right w:val="nil"/>
            </w:tcBorders>
            <w:shd w:val="clear" w:color="auto" w:fill="auto"/>
            <w:noWrap/>
            <w:vAlign w:val="bottom"/>
            <w:hideMark/>
          </w:tcPr>
          <w:p w14:paraId="086384FD" w14:textId="4CD00490"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-0.09395</w:t>
            </w:r>
          </w:p>
        </w:tc>
        <w:tc>
          <w:tcPr>
            <w:tcW w:w="1860" w:type="dxa"/>
            <w:tcBorders>
              <w:top w:val="nil"/>
              <w:left w:val="nil"/>
              <w:bottom w:val="single" w:sz="4" w:space="0" w:color="auto"/>
              <w:right w:val="nil"/>
            </w:tcBorders>
            <w:shd w:val="clear" w:color="auto" w:fill="auto"/>
            <w:noWrap/>
            <w:vAlign w:val="bottom"/>
            <w:hideMark/>
          </w:tcPr>
          <w:p w14:paraId="6CF180F0" w14:textId="0567709D"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0.328551</w:t>
            </w:r>
          </w:p>
        </w:tc>
      </w:tr>
    </w:tbl>
    <w:p w14:paraId="390A30EA" w14:textId="4A063ED0" w:rsidR="00B71BB4" w:rsidRDefault="002A737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indican significancia al 10, 5 y 1%</w:t>
      </w:r>
      <w:r w:rsidR="00980A7B">
        <w:rPr>
          <w:rFonts w:ascii="Times New Roman" w:hAnsi="Times New Roman" w:cs="Times New Roman"/>
          <w:sz w:val="24"/>
          <w:szCs w:val="24"/>
        </w:rPr>
        <w:t>. Elaboración propia.</w:t>
      </w:r>
    </w:p>
    <w:p w14:paraId="3E3A82EA" w14:textId="50947C94" w:rsidR="00944C32" w:rsidRDefault="006737C0"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Dado el uso de variables </w:t>
      </w:r>
      <w:r w:rsidR="00980A7B">
        <w:rPr>
          <w:rFonts w:ascii="Times New Roman" w:hAnsi="Times New Roman" w:cs="Times New Roman"/>
          <w:sz w:val="24"/>
          <w:szCs w:val="24"/>
        </w:rPr>
        <w:t>dummy</w:t>
      </w:r>
      <w:r w:rsidR="00F0332D">
        <w:rPr>
          <w:rFonts w:ascii="Times New Roman" w:hAnsi="Times New Roman" w:cs="Times New Roman"/>
          <w:sz w:val="24"/>
          <w:szCs w:val="24"/>
        </w:rPr>
        <w:t xml:space="preserve"> </w:t>
      </w:r>
      <w:r w:rsidR="00980A7B">
        <w:rPr>
          <w:rFonts w:ascii="Times New Roman" w:hAnsi="Times New Roman" w:cs="Times New Roman"/>
          <w:sz w:val="24"/>
          <w:szCs w:val="24"/>
        </w:rPr>
        <w:t>el coeficiente del pass-through para cada régimen inflacionario se obtuvo a partir de las interacciones</w:t>
      </w:r>
      <w:r w:rsidR="00806B7A">
        <w:rPr>
          <w:rFonts w:ascii="Times New Roman" w:hAnsi="Times New Roman" w:cs="Times New Roman"/>
          <w:sz w:val="24"/>
          <w:szCs w:val="24"/>
        </w:rPr>
        <w:t xml:space="preserve"> con el escenario base</w:t>
      </w:r>
      <w:r w:rsidR="00980A7B">
        <w:rPr>
          <w:rFonts w:ascii="Times New Roman" w:hAnsi="Times New Roman" w:cs="Times New Roman"/>
          <w:sz w:val="24"/>
          <w:szCs w:val="24"/>
        </w:rPr>
        <w:t xml:space="preserve"> </w:t>
      </w:r>
      <w:r w:rsidR="00806B7A">
        <w:rPr>
          <w:rFonts w:ascii="Times New Roman" w:hAnsi="Times New Roman" w:cs="Times New Roman"/>
          <w:sz w:val="24"/>
          <w:szCs w:val="24"/>
        </w:rPr>
        <w:t>propiciadas por</w:t>
      </w:r>
      <w:r w:rsidR="00980A7B">
        <w:rPr>
          <w:rFonts w:ascii="Times New Roman"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980A7B">
        <w:rPr>
          <w:rFonts w:ascii="Times New Roman" w:eastAsiaTheme="minorEastAsia" w:hAnsi="Times New Roman" w:cs="Times New Roman"/>
          <w:sz w:val="24"/>
          <w:szCs w:val="24"/>
        </w:rPr>
        <w:t xml:space="preserve"> y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806B7A">
        <w:rPr>
          <w:rFonts w:ascii="Times New Roman" w:eastAsiaTheme="minorEastAsia" w:hAnsi="Times New Roman" w:cs="Times New Roman"/>
          <w:sz w:val="24"/>
          <w:szCs w:val="24"/>
        </w:rPr>
        <w:t>.</w:t>
      </w:r>
      <w:r w:rsidR="00944C32">
        <w:rPr>
          <w:rFonts w:ascii="Times New Roman" w:eastAsiaTheme="minorEastAsia" w:hAnsi="Times New Roman" w:cs="Times New Roman"/>
          <w:sz w:val="24"/>
          <w:szCs w:val="24"/>
        </w:rPr>
        <w:t xml:space="preserve"> </w:t>
      </w:r>
    </w:p>
    <w:p w14:paraId="63F8E10C" w14:textId="5F22343A" w:rsidR="00980A7B" w:rsidRPr="00944C32" w:rsidRDefault="004A2C57"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La tabla 3 muestra la estimación del efecto pass-through para cada uno de los regímenes inflacionarios. En ella </w:t>
      </w:r>
      <w:r w:rsidR="00151E9B">
        <w:rPr>
          <w:rFonts w:ascii="Times New Roman" w:hAnsi="Times New Roman" w:cs="Times New Roman"/>
          <w:sz w:val="24"/>
          <w:szCs w:val="24"/>
        </w:rPr>
        <w:t>es notorio</w:t>
      </w:r>
      <w:r>
        <w:rPr>
          <w:rFonts w:ascii="Times New Roman" w:hAnsi="Times New Roman" w:cs="Times New Roman"/>
          <w:sz w:val="24"/>
          <w:szCs w:val="24"/>
        </w:rPr>
        <w:t xml:space="preserve"> como el efecto disminuye en la medida en la que se hace </w:t>
      </w:r>
      <w:r>
        <w:rPr>
          <w:rFonts w:ascii="Times New Roman" w:hAnsi="Times New Roman" w:cs="Times New Roman"/>
          <w:sz w:val="24"/>
          <w:szCs w:val="24"/>
        </w:rPr>
        <w:lastRenderedPageBreak/>
        <w:t>una transición de un régimen inflacionario</w:t>
      </w:r>
      <w:r w:rsidR="003B6B09">
        <w:rPr>
          <w:rFonts w:ascii="Times New Roman" w:hAnsi="Times New Roman" w:cs="Times New Roman"/>
          <w:sz w:val="24"/>
          <w:szCs w:val="24"/>
        </w:rPr>
        <w:t xml:space="preserve"> alto</w:t>
      </w:r>
      <w:r>
        <w:rPr>
          <w:rFonts w:ascii="Times New Roman" w:hAnsi="Times New Roman" w:cs="Times New Roman"/>
          <w:sz w:val="24"/>
          <w:szCs w:val="24"/>
        </w:rPr>
        <w:t xml:space="preserve"> hacia</w:t>
      </w:r>
      <w:r w:rsidR="003B6B09">
        <w:rPr>
          <w:rFonts w:ascii="Times New Roman" w:hAnsi="Times New Roman" w:cs="Times New Roman"/>
          <w:sz w:val="24"/>
          <w:szCs w:val="24"/>
        </w:rPr>
        <w:t xml:space="preserve"> uno</w:t>
      </w:r>
      <w:r>
        <w:rPr>
          <w:rFonts w:ascii="Times New Roman" w:hAnsi="Times New Roman" w:cs="Times New Roman"/>
          <w:sz w:val="24"/>
          <w:szCs w:val="24"/>
        </w:rPr>
        <w:t xml:space="preserve"> medio y bajo</w:t>
      </w:r>
      <w:r w:rsidR="003B6B09">
        <w:rPr>
          <w:rFonts w:ascii="Times New Roman" w:hAnsi="Times New Roman" w:cs="Times New Roman"/>
          <w:sz w:val="24"/>
          <w:szCs w:val="24"/>
        </w:rPr>
        <w:t xml:space="preserve">, algo consistente con la teoría desarrollada por </w:t>
      </w:r>
      <w:r w:rsidR="003B6B09" w:rsidRPr="003B6B09">
        <w:rPr>
          <w:rFonts w:ascii="Times New Roman" w:hAnsi="Times New Roman" w:cs="Times New Roman"/>
          <w:sz w:val="24"/>
          <w:szCs w:val="24"/>
        </w:rPr>
        <w:t xml:space="preserve">John </w:t>
      </w:r>
      <w:proofErr w:type="gramStart"/>
      <w:r w:rsidR="003B6B09" w:rsidRPr="003B6B09">
        <w:rPr>
          <w:rFonts w:ascii="Times New Roman" w:hAnsi="Times New Roman" w:cs="Times New Roman"/>
          <w:sz w:val="24"/>
          <w:szCs w:val="24"/>
        </w:rPr>
        <w:t>B.Taylor</w:t>
      </w:r>
      <w:proofErr w:type="gramEnd"/>
      <w:r w:rsidR="003B6B09">
        <w:rPr>
          <w:rFonts w:ascii="Times New Roman" w:hAnsi="Times New Roman" w:cs="Times New Roman"/>
          <w:sz w:val="24"/>
          <w:szCs w:val="24"/>
        </w:rPr>
        <w:t>.</w:t>
      </w:r>
    </w:p>
    <w:p w14:paraId="70A5D386" w14:textId="5396F7E5" w:rsidR="00F6022E" w:rsidRDefault="00F6022E" w:rsidP="00F6022E">
      <w:pPr>
        <w:pStyle w:val="Descripcin"/>
        <w:rPr>
          <w:color w:val="FFFFFF" w:themeColor="background1"/>
        </w:rPr>
      </w:pPr>
      <w:r w:rsidRPr="00F6022E">
        <w:rPr>
          <w:rFonts w:ascii="Times New Roman" w:hAnsi="Times New Roman" w:cs="Times New Roman"/>
          <w:b/>
          <w:bCs/>
          <w:i w:val="0"/>
          <w:iCs w:val="0"/>
          <w:color w:val="auto"/>
          <w:sz w:val="24"/>
          <w:szCs w:val="24"/>
        </w:rPr>
        <w:t xml:space="preserve">Tabla </w:t>
      </w:r>
      <w:r w:rsidRPr="00F6022E">
        <w:rPr>
          <w:rFonts w:ascii="Times New Roman" w:hAnsi="Times New Roman" w:cs="Times New Roman"/>
          <w:b/>
          <w:bCs/>
          <w:i w:val="0"/>
          <w:iCs w:val="0"/>
          <w:color w:val="auto"/>
          <w:sz w:val="24"/>
          <w:szCs w:val="24"/>
        </w:rPr>
        <w:fldChar w:fldCharType="begin"/>
      </w:r>
      <w:r w:rsidRPr="00F6022E">
        <w:rPr>
          <w:rFonts w:ascii="Times New Roman" w:hAnsi="Times New Roman" w:cs="Times New Roman"/>
          <w:b/>
          <w:bCs/>
          <w:i w:val="0"/>
          <w:iCs w:val="0"/>
          <w:color w:val="auto"/>
          <w:sz w:val="24"/>
          <w:szCs w:val="24"/>
        </w:rPr>
        <w:instrText xml:space="preserve"> SEQ Tabla \* ARABIC </w:instrText>
      </w:r>
      <w:r w:rsidRPr="00F6022E">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3</w:t>
      </w:r>
      <w:r w:rsidRPr="00F6022E">
        <w:rPr>
          <w:rFonts w:ascii="Times New Roman" w:hAnsi="Times New Roman" w:cs="Times New Roman"/>
          <w:b/>
          <w:bCs/>
          <w:i w:val="0"/>
          <w:iCs w:val="0"/>
          <w:color w:val="auto"/>
          <w:sz w:val="24"/>
          <w:szCs w:val="24"/>
        </w:rPr>
        <w:fldChar w:fldCharType="end"/>
      </w:r>
      <w:r w:rsidRPr="00F6022E">
        <w:rPr>
          <w:color w:val="FFFFFF" w:themeColor="background1"/>
        </w:rPr>
        <w:t xml:space="preserve"> Estimación del efecto pass-through</w:t>
      </w:r>
    </w:p>
    <w:p w14:paraId="2030E87E" w14:textId="0F53E545" w:rsidR="00F6022E" w:rsidRPr="00F6022E" w:rsidRDefault="00F6022E" w:rsidP="00F6022E">
      <w:pPr>
        <w:rPr>
          <w:rFonts w:ascii="Times New Roman" w:hAnsi="Times New Roman" w:cs="Times New Roman"/>
          <w:sz w:val="24"/>
          <w:szCs w:val="24"/>
        </w:rPr>
      </w:pPr>
      <w:r w:rsidRPr="00F6022E">
        <w:rPr>
          <w:rFonts w:ascii="Times New Roman" w:hAnsi="Times New Roman" w:cs="Times New Roman"/>
          <w:sz w:val="24"/>
          <w:szCs w:val="24"/>
        </w:rPr>
        <w:t>Estimación del efecto pass-through</w:t>
      </w:r>
    </w:p>
    <w:tbl>
      <w:tblPr>
        <w:tblW w:w="5132" w:type="pct"/>
        <w:tblCellMar>
          <w:left w:w="70" w:type="dxa"/>
          <w:right w:w="70" w:type="dxa"/>
        </w:tblCellMar>
        <w:tblLook w:val="04A0" w:firstRow="1" w:lastRow="0" w:firstColumn="1" w:lastColumn="0" w:noHBand="0" w:noVBand="1"/>
      </w:tblPr>
      <w:tblGrid>
        <w:gridCol w:w="4678"/>
        <w:gridCol w:w="2268"/>
        <w:gridCol w:w="2126"/>
      </w:tblGrid>
      <w:tr w:rsidR="00944890" w:rsidRPr="00944890" w14:paraId="3A7FEF58" w14:textId="77777777" w:rsidTr="00F6022E">
        <w:trPr>
          <w:trHeight w:val="315"/>
        </w:trPr>
        <w:tc>
          <w:tcPr>
            <w:tcW w:w="4678" w:type="dxa"/>
            <w:tcBorders>
              <w:top w:val="single" w:sz="4" w:space="0" w:color="auto"/>
              <w:left w:val="nil"/>
              <w:bottom w:val="single" w:sz="4" w:space="0" w:color="auto"/>
              <w:right w:val="nil"/>
            </w:tcBorders>
            <w:shd w:val="clear" w:color="auto" w:fill="auto"/>
            <w:noWrap/>
            <w:vAlign w:val="bottom"/>
            <w:hideMark/>
          </w:tcPr>
          <w:p w14:paraId="72BF0FC5" w14:textId="1E7AFD9D"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Régimen</w:t>
            </w:r>
          </w:p>
        </w:tc>
        <w:tc>
          <w:tcPr>
            <w:tcW w:w="2268" w:type="dxa"/>
            <w:tcBorders>
              <w:top w:val="single" w:sz="4" w:space="0" w:color="auto"/>
              <w:left w:val="nil"/>
              <w:bottom w:val="single" w:sz="4" w:space="0" w:color="auto"/>
              <w:right w:val="nil"/>
            </w:tcBorders>
            <w:shd w:val="clear" w:color="auto" w:fill="auto"/>
            <w:noWrap/>
            <w:vAlign w:val="bottom"/>
            <w:hideMark/>
          </w:tcPr>
          <w:p w14:paraId="26CCDE19"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Interacción</w:t>
            </w:r>
          </w:p>
        </w:tc>
        <w:tc>
          <w:tcPr>
            <w:tcW w:w="2126" w:type="dxa"/>
            <w:tcBorders>
              <w:top w:val="single" w:sz="4" w:space="0" w:color="auto"/>
              <w:left w:val="nil"/>
              <w:bottom w:val="single" w:sz="4" w:space="0" w:color="auto"/>
              <w:right w:val="nil"/>
            </w:tcBorders>
            <w:shd w:val="clear" w:color="auto" w:fill="auto"/>
            <w:noWrap/>
            <w:vAlign w:val="bottom"/>
            <w:hideMark/>
          </w:tcPr>
          <w:p w14:paraId="1C711D5B"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Pass-through</w:t>
            </w:r>
          </w:p>
        </w:tc>
      </w:tr>
      <w:tr w:rsidR="00944890" w:rsidRPr="00944890" w14:paraId="59DB6F67" w14:textId="77777777" w:rsidTr="00F6022E">
        <w:trPr>
          <w:trHeight w:val="315"/>
        </w:trPr>
        <w:tc>
          <w:tcPr>
            <w:tcW w:w="4678" w:type="dxa"/>
            <w:tcBorders>
              <w:top w:val="nil"/>
              <w:left w:val="nil"/>
              <w:bottom w:val="nil"/>
              <w:right w:val="nil"/>
            </w:tcBorders>
            <w:shd w:val="clear" w:color="auto" w:fill="auto"/>
            <w:noWrap/>
            <w:vAlign w:val="bottom"/>
            <w:hideMark/>
          </w:tcPr>
          <w:p w14:paraId="590DE127" w14:textId="3B7C6C19"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alta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68" w:type="dxa"/>
            <w:tcBorders>
              <w:top w:val="nil"/>
              <w:left w:val="nil"/>
              <w:bottom w:val="nil"/>
              <w:right w:val="nil"/>
            </w:tcBorders>
            <w:shd w:val="clear" w:color="auto" w:fill="auto"/>
            <w:noWrap/>
            <w:vAlign w:val="bottom"/>
            <w:hideMark/>
          </w:tcPr>
          <w:p w14:paraId="04837B60" w14:textId="47A8019C"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oMath>
            </m:oMathPara>
          </w:p>
        </w:tc>
        <w:tc>
          <w:tcPr>
            <w:tcW w:w="2126" w:type="dxa"/>
            <w:tcBorders>
              <w:top w:val="nil"/>
              <w:left w:val="nil"/>
              <w:bottom w:val="nil"/>
              <w:right w:val="nil"/>
            </w:tcBorders>
            <w:shd w:val="clear" w:color="auto" w:fill="auto"/>
            <w:noWrap/>
            <w:vAlign w:val="bottom"/>
            <w:hideMark/>
          </w:tcPr>
          <w:p w14:paraId="4320BC0F" w14:textId="65BD2FC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0.10405</w:t>
            </w:r>
          </w:p>
        </w:tc>
      </w:tr>
      <w:tr w:rsidR="00944890" w:rsidRPr="00944890" w14:paraId="7F4458EC" w14:textId="77777777" w:rsidTr="00F6022E">
        <w:trPr>
          <w:trHeight w:val="315"/>
        </w:trPr>
        <w:tc>
          <w:tcPr>
            <w:tcW w:w="4678" w:type="dxa"/>
            <w:tcBorders>
              <w:top w:val="nil"/>
              <w:left w:val="nil"/>
              <w:bottom w:val="nil"/>
              <w:right w:val="nil"/>
            </w:tcBorders>
            <w:shd w:val="clear" w:color="auto" w:fill="auto"/>
            <w:noWrap/>
            <w:vAlign w:val="bottom"/>
            <w:hideMark/>
          </w:tcPr>
          <w:p w14:paraId="524DA818" w14:textId="2CF080E5"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media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68" w:type="dxa"/>
            <w:tcBorders>
              <w:top w:val="nil"/>
              <w:left w:val="nil"/>
              <w:bottom w:val="nil"/>
              <w:right w:val="nil"/>
            </w:tcBorders>
            <w:shd w:val="clear" w:color="auto" w:fill="auto"/>
            <w:noWrap/>
            <w:vAlign w:val="bottom"/>
            <w:hideMark/>
          </w:tcPr>
          <w:p w14:paraId="08368D38" w14:textId="6869915B"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oMath>
            </m:oMathPara>
          </w:p>
        </w:tc>
        <w:tc>
          <w:tcPr>
            <w:tcW w:w="2126" w:type="dxa"/>
            <w:tcBorders>
              <w:top w:val="nil"/>
              <w:left w:val="nil"/>
              <w:bottom w:val="nil"/>
              <w:right w:val="nil"/>
            </w:tcBorders>
            <w:shd w:val="clear" w:color="auto" w:fill="auto"/>
            <w:noWrap/>
            <w:vAlign w:val="bottom"/>
            <w:hideMark/>
          </w:tcPr>
          <w:p w14:paraId="2FD4516C" w14:textId="25DF17A0"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0.0101</w:t>
            </w:r>
          </w:p>
        </w:tc>
      </w:tr>
      <w:tr w:rsidR="00944890" w:rsidRPr="00944890" w14:paraId="027C6070" w14:textId="77777777" w:rsidTr="00F6022E">
        <w:trPr>
          <w:trHeight w:val="315"/>
        </w:trPr>
        <w:tc>
          <w:tcPr>
            <w:tcW w:w="4678" w:type="dxa"/>
            <w:tcBorders>
              <w:top w:val="nil"/>
              <w:left w:val="nil"/>
              <w:bottom w:val="single" w:sz="4" w:space="0" w:color="auto"/>
              <w:right w:val="nil"/>
            </w:tcBorders>
            <w:shd w:val="clear" w:color="auto" w:fill="auto"/>
            <w:noWrap/>
            <w:vAlign w:val="bottom"/>
            <w:hideMark/>
          </w:tcPr>
          <w:p w14:paraId="7C145AE1" w14:textId="02AE7200"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baja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68" w:type="dxa"/>
            <w:tcBorders>
              <w:top w:val="nil"/>
              <w:left w:val="nil"/>
              <w:bottom w:val="single" w:sz="4" w:space="0" w:color="auto"/>
              <w:right w:val="nil"/>
            </w:tcBorders>
            <w:shd w:val="clear" w:color="auto" w:fill="auto"/>
            <w:noWrap/>
            <w:vAlign w:val="bottom"/>
            <w:hideMark/>
          </w:tcPr>
          <w:p w14:paraId="33EF6166" w14:textId="78A78C54"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oMath>
            </m:oMathPara>
          </w:p>
        </w:tc>
        <w:tc>
          <w:tcPr>
            <w:tcW w:w="2126" w:type="dxa"/>
            <w:tcBorders>
              <w:top w:val="nil"/>
              <w:left w:val="nil"/>
              <w:bottom w:val="single" w:sz="4" w:space="0" w:color="auto"/>
              <w:right w:val="nil"/>
            </w:tcBorders>
            <w:shd w:val="clear" w:color="auto" w:fill="auto"/>
            <w:noWrap/>
            <w:vAlign w:val="bottom"/>
            <w:hideMark/>
          </w:tcPr>
          <w:p w14:paraId="0178630B" w14:textId="7A9A144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-0.14533</w:t>
            </w:r>
          </w:p>
        </w:tc>
      </w:tr>
    </w:tbl>
    <w:p w14:paraId="1E2942E6" w14:textId="515FCD70" w:rsidR="00980A7B" w:rsidRDefault="00A71CD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Elaboración propia.</w:t>
      </w:r>
    </w:p>
    <w:p w14:paraId="0EDE3E87" w14:textId="0ACE8DAC" w:rsidR="00BE2C37" w:rsidRDefault="00F0332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Guatemala, en un régimen de inflación alta el coeficiente del pass-through es de 10.405% por lo que </w:t>
      </w:r>
      <w:r w:rsidR="006702D0">
        <w:rPr>
          <w:rFonts w:ascii="Times New Roman" w:hAnsi="Times New Roman" w:cs="Times New Roman"/>
          <w:sz w:val="24"/>
          <w:szCs w:val="24"/>
        </w:rPr>
        <w:t xml:space="preserve">si en un mes el tipo de cambio se deprecia 10% los precios domésticos aumentarían en 1.045%. En un régimen de inflación media una de del tipo de cambio de igual magnitud induce a un aumento en el de precios de </w:t>
      </w:r>
      <w:r w:rsidR="00B1458E">
        <w:rPr>
          <w:rFonts w:ascii="Times New Roman" w:hAnsi="Times New Roman" w:cs="Times New Roman"/>
          <w:sz w:val="24"/>
          <w:szCs w:val="24"/>
        </w:rPr>
        <w:t>0.1%, claramente el escenario con menor impacto en el nivel general de precios. Por último, en el régimen de inflación baja la depreciación del tipo de cambio del 10% produce una caída en el nivel de precios de -1.45%.</w:t>
      </w:r>
    </w:p>
    <w:p w14:paraId="4BB0860F" w14:textId="7E2D9699" w:rsidR="00443AF7" w:rsidRPr="002246AD" w:rsidRDefault="002246AD" w:rsidP="002246AD">
      <w:pPr>
        <w:pStyle w:val="Ttulo3"/>
        <w:spacing w:line="480" w:lineRule="auto"/>
        <w:rPr>
          <w:rFonts w:ascii="Times New Roman" w:hAnsi="Times New Roman" w:cs="Times New Roman"/>
          <w:b/>
          <w:bCs/>
          <w:color w:val="auto"/>
        </w:rPr>
      </w:pPr>
      <w:bookmarkStart w:id="26" w:name="_Toc111757507"/>
      <w:r w:rsidRPr="002246AD">
        <w:rPr>
          <w:rFonts w:ascii="Times New Roman" w:hAnsi="Times New Roman" w:cs="Times New Roman"/>
          <w:b/>
          <w:bCs/>
          <w:color w:val="auto"/>
        </w:rPr>
        <w:t>3.2.1 Discusión de los resultados</w:t>
      </w:r>
      <w:bookmarkEnd w:id="26"/>
    </w:p>
    <w:p w14:paraId="67E0E004" w14:textId="7EC8F5CE" w:rsidR="00443AF7" w:rsidRDefault="002246AD" w:rsidP="00A23F2B">
      <w:pPr>
        <w:spacing w:line="360" w:lineRule="auto"/>
        <w:jc w:val="both"/>
        <w:rPr>
          <w:rFonts w:ascii="Times New Roman" w:hAnsi="Times New Roman" w:cs="Times New Roman"/>
          <w:noProof/>
          <w:sz w:val="24"/>
          <w:szCs w:val="24"/>
          <w:lang w:val="es-MX"/>
        </w:rPr>
      </w:pPr>
      <w:r>
        <w:rPr>
          <w:rFonts w:ascii="Times New Roman" w:hAnsi="Times New Roman" w:cs="Times New Roman"/>
          <w:sz w:val="24"/>
          <w:szCs w:val="24"/>
        </w:rPr>
        <w:t xml:space="preserve">Los resultados </w:t>
      </w:r>
      <w:r w:rsidR="005624A5">
        <w:rPr>
          <w:rFonts w:ascii="Times New Roman" w:hAnsi="Times New Roman" w:cs="Times New Roman"/>
          <w:sz w:val="24"/>
          <w:szCs w:val="24"/>
        </w:rPr>
        <w:t>anteriores</w:t>
      </w:r>
      <w:r>
        <w:rPr>
          <w:rFonts w:ascii="Times New Roman" w:hAnsi="Times New Roman" w:cs="Times New Roman"/>
          <w:sz w:val="24"/>
          <w:szCs w:val="24"/>
        </w:rPr>
        <w:t xml:space="preserve"> se pueden complementar siguiendo la sugerencia </w:t>
      </w:r>
      <w:r w:rsidR="004D329F">
        <w:rPr>
          <w:rFonts w:ascii="Times New Roman" w:hAnsi="Times New Roman" w:cs="Times New Roman"/>
          <w:sz w:val="24"/>
          <w:szCs w:val="24"/>
        </w:rPr>
        <w:t xml:space="preserve">de </w:t>
      </w:r>
      <w:r w:rsidR="00282E72" w:rsidRPr="004D329F">
        <w:rPr>
          <w:rFonts w:ascii="Times New Roman" w:hAnsi="Times New Roman" w:cs="Times New Roman"/>
          <w:noProof/>
          <w:sz w:val="24"/>
          <w:szCs w:val="24"/>
          <w:lang w:val="es-MX"/>
        </w:rPr>
        <w:t>Baqueiro, Díaz de León, &amp; Torres</w:t>
      </w:r>
      <w:r w:rsidR="00282E72">
        <w:rPr>
          <w:rFonts w:ascii="Times New Roman" w:hAnsi="Times New Roman" w:cs="Times New Roman"/>
          <w:noProof/>
          <w:sz w:val="24"/>
          <w:szCs w:val="24"/>
          <w:lang w:val="es-MX"/>
        </w:rPr>
        <w:t xml:space="preserve"> (2004). Ellos estimaron un modelo</w:t>
      </w:r>
      <w:r w:rsidR="00A06AE7">
        <w:rPr>
          <w:rFonts w:ascii="Times New Roman" w:hAnsi="Times New Roman" w:cs="Times New Roman"/>
          <w:noProof/>
          <w:sz w:val="24"/>
          <w:szCs w:val="24"/>
          <w:lang w:val="es-MX"/>
        </w:rPr>
        <w:t xml:space="preserve"> mediante MCO para distintos países </w:t>
      </w:r>
      <w:r w:rsidR="00883A88">
        <w:rPr>
          <w:rFonts w:ascii="Times New Roman" w:hAnsi="Times New Roman" w:cs="Times New Roman"/>
          <w:noProof/>
          <w:sz w:val="24"/>
          <w:szCs w:val="24"/>
          <w:lang w:val="es-MX"/>
        </w:rPr>
        <w:t>e investigaron</w:t>
      </w:r>
      <w:r w:rsidR="00282E72">
        <w:rPr>
          <w:rFonts w:ascii="Times New Roman" w:hAnsi="Times New Roman" w:cs="Times New Roman"/>
          <w:noProof/>
          <w:sz w:val="24"/>
          <w:szCs w:val="24"/>
          <w:lang w:val="es-MX"/>
        </w:rPr>
        <w:t xml:space="preserve"> el mismo tipo de asimetría  del efecto traspaso que el presente trabajo</w:t>
      </w:r>
      <w:r w:rsidR="00883A88">
        <w:rPr>
          <w:rFonts w:ascii="Times New Roman" w:hAnsi="Times New Roman" w:cs="Times New Roman"/>
          <w:noProof/>
          <w:sz w:val="24"/>
          <w:szCs w:val="24"/>
          <w:lang w:val="es-MX"/>
        </w:rPr>
        <w:t>,</w:t>
      </w:r>
      <w:r w:rsidR="00282E72">
        <w:rPr>
          <w:rFonts w:ascii="Times New Roman" w:hAnsi="Times New Roman" w:cs="Times New Roman"/>
          <w:noProof/>
          <w:sz w:val="24"/>
          <w:szCs w:val="24"/>
          <w:lang w:val="es-MX"/>
        </w:rPr>
        <w:t xml:space="preserve"> aunque con </w:t>
      </w:r>
      <w:r w:rsidR="00883A88">
        <w:rPr>
          <w:rFonts w:ascii="Times New Roman" w:hAnsi="Times New Roman" w:cs="Times New Roman"/>
          <w:noProof/>
          <w:sz w:val="24"/>
          <w:szCs w:val="24"/>
          <w:lang w:val="es-MX"/>
        </w:rPr>
        <w:t>metodología distinta para definir los escenario de inflación alta y baja</w:t>
      </w:r>
      <w:r w:rsidR="00282E72">
        <w:rPr>
          <w:rFonts w:ascii="Times New Roman" w:hAnsi="Times New Roman" w:cs="Times New Roman"/>
          <w:noProof/>
          <w:sz w:val="24"/>
          <w:szCs w:val="24"/>
          <w:lang w:val="es-MX"/>
        </w:rPr>
        <w:t xml:space="preserve">. </w:t>
      </w:r>
    </w:p>
    <w:p w14:paraId="55E67985" w14:textId="1DC771F2" w:rsidR="00282E72" w:rsidRDefault="00282E72"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MX"/>
        </w:rPr>
        <w:t xml:space="preserve">Los autores indican que </w:t>
      </w:r>
      <w:r w:rsidR="00883A88">
        <w:rPr>
          <w:rFonts w:ascii="Times New Roman" w:hAnsi="Times New Roman" w:cs="Times New Roman"/>
          <w:noProof/>
          <w:sz w:val="24"/>
          <w:szCs w:val="24"/>
          <w:lang w:val="es-MX"/>
        </w:rPr>
        <w:t xml:space="preserve">para corroborar la afirmación de que el pass-through disminuye en los escenarios de infalción baja hay que </w:t>
      </w:r>
      <w:r w:rsidR="005624A5">
        <w:rPr>
          <w:rFonts w:ascii="Times New Roman" w:hAnsi="Times New Roman" w:cs="Times New Roman"/>
          <w:noProof/>
          <w:sz w:val="24"/>
          <w:szCs w:val="24"/>
          <w:lang w:val="es-MX"/>
        </w:rPr>
        <w:t>indagar en</w:t>
      </w:r>
      <w:r w:rsidR="00BC5324">
        <w:rPr>
          <w:rFonts w:ascii="Times New Roman" w:hAnsi="Times New Roman" w:cs="Times New Roman"/>
          <w:noProof/>
          <w:sz w:val="24"/>
          <w:szCs w:val="24"/>
          <w:lang w:val="es-MX"/>
        </w:rPr>
        <w:t xml:space="preserve"> </w:t>
      </w:r>
      <w:r w:rsidR="005624A5">
        <w:rPr>
          <w:rFonts w:ascii="Times New Roman" w:hAnsi="Times New Roman" w:cs="Times New Roman"/>
          <w:noProof/>
          <w:sz w:val="24"/>
          <w:szCs w:val="24"/>
          <w:lang w:val="es-MX"/>
        </w:rPr>
        <w:t>las razones por las</w:t>
      </w:r>
      <w:r w:rsidR="00BC5324">
        <w:rPr>
          <w:rFonts w:ascii="Times New Roman" w:hAnsi="Times New Roman" w:cs="Times New Roman"/>
          <w:noProof/>
          <w:sz w:val="24"/>
          <w:szCs w:val="24"/>
          <w:lang w:val="es-MX"/>
        </w:rPr>
        <w:t xml:space="preserve"> cuales el coeficiente asociado al pass-through disminuye, para ello hay que calcular la covariaza entre el tipo de cambio y la infalción</w:t>
      </w:r>
      <w:r w:rsidR="005624A5">
        <w:rPr>
          <w:rFonts w:ascii="Times New Roman" w:hAnsi="Times New Roman" w:cs="Times New Roman"/>
          <w:noProof/>
          <w:sz w:val="24"/>
          <w:szCs w:val="24"/>
          <w:lang w:val="es-MX"/>
        </w:rPr>
        <w:t xml:space="preserve"> así como</w:t>
      </w:r>
      <w:r w:rsidR="00BC5324">
        <w:rPr>
          <w:rFonts w:ascii="Times New Roman" w:hAnsi="Times New Roman" w:cs="Times New Roman"/>
          <w:noProof/>
          <w:sz w:val="24"/>
          <w:szCs w:val="24"/>
          <w:lang w:val="es-MX"/>
        </w:rPr>
        <w:t xml:space="preserve"> la varianza del tipo de cambio</w:t>
      </w:r>
      <w:r w:rsidR="005624A5">
        <w:rPr>
          <w:rFonts w:ascii="Times New Roman" w:hAnsi="Times New Roman" w:cs="Times New Roman"/>
          <w:noProof/>
          <w:sz w:val="24"/>
          <w:szCs w:val="24"/>
          <w:lang w:val="es-MX"/>
        </w:rPr>
        <w:t xml:space="preserve"> para cada régimen inflacionario</w:t>
      </w:r>
      <w:r w:rsidR="008F37DF">
        <w:rPr>
          <w:rStyle w:val="Refdenotaalpie"/>
          <w:rFonts w:ascii="Times New Roman" w:hAnsi="Times New Roman" w:cs="Times New Roman"/>
          <w:noProof/>
          <w:sz w:val="24"/>
          <w:szCs w:val="24"/>
          <w:lang w:val="es-MX"/>
        </w:rPr>
        <w:footnoteReference w:id="18"/>
      </w:r>
      <w:r w:rsidR="00BC5324">
        <w:rPr>
          <w:rFonts w:ascii="Times New Roman" w:hAnsi="Times New Roman" w:cs="Times New Roman"/>
          <w:noProof/>
          <w:sz w:val="24"/>
          <w:szCs w:val="24"/>
          <w:lang w:val="es-MX"/>
        </w:rPr>
        <w:t>. Si la reducción del coeficiente</w:t>
      </w:r>
      <w:r w:rsidR="00DC250A">
        <w:rPr>
          <w:rFonts w:ascii="Times New Roman" w:hAnsi="Times New Roman" w:cs="Times New Roman"/>
          <w:noProof/>
          <w:sz w:val="24"/>
          <w:szCs w:val="24"/>
          <w:lang w:val="es-MX"/>
        </w:rPr>
        <w:t xml:space="preserve"> asociado al pass-trhough</w:t>
      </w:r>
      <w:r w:rsidR="00BC5324">
        <w:rPr>
          <w:rFonts w:ascii="Times New Roman" w:hAnsi="Times New Roman" w:cs="Times New Roman"/>
          <w:noProof/>
          <w:sz w:val="24"/>
          <w:szCs w:val="24"/>
          <w:lang w:val="es-MX"/>
        </w:rPr>
        <w:t xml:space="preserve"> viene dado por una disminución en la covarianza se puede concluir que hay un debilitamiento en la relación entre </w:t>
      </w:r>
      <w:r w:rsidR="00BC5324">
        <w:rPr>
          <w:rFonts w:ascii="Times New Roman" w:hAnsi="Times New Roman" w:cs="Times New Roman"/>
          <w:noProof/>
          <w:sz w:val="24"/>
          <w:szCs w:val="24"/>
          <w:lang w:val="es-MX"/>
        </w:rPr>
        <w:lastRenderedPageBreak/>
        <w:t>tipo de cambio y precios en la medida en la cual la inflación sea baja</w:t>
      </w:r>
      <w:r w:rsidR="008F37DF">
        <w:rPr>
          <w:rFonts w:ascii="Times New Roman" w:hAnsi="Times New Roman" w:cs="Times New Roman"/>
          <w:noProof/>
          <w:sz w:val="24"/>
          <w:szCs w:val="24"/>
          <w:lang w:val="es-MX"/>
        </w:rPr>
        <w:t>. Por otro lado, si la reducción del coeficiente está dada por el aumento de la varianza del tipo de cambio no hay una razón clara para suponer</w:t>
      </w:r>
      <w:r w:rsidR="005624A5">
        <w:rPr>
          <w:rFonts w:ascii="Times New Roman" w:hAnsi="Times New Roman" w:cs="Times New Roman"/>
          <w:noProof/>
          <w:sz w:val="24"/>
          <w:szCs w:val="24"/>
          <w:lang w:val="es-MX"/>
        </w:rPr>
        <w:t xml:space="preserve"> que</w:t>
      </w:r>
      <w:r w:rsidR="008F37DF">
        <w:rPr>
          <w:rFonts w:ascii="Times New Roman" w:hAnsi="Times New Roman" w:cs="Times New Roman"/>
          <w:noProof/>
          <w:sz w:val="24"/>
          <w:szCs w:val="24"/>
          <w:lang w:val="es-MX"/>
        </w:rPr>
        <w:t xml:space="preserve"> el estado inflacionario de la economía tenga incidencia sobre el efecto pass-through.</w:t>
      </w:r>
    </w:p>
    <w:p w14:paraId="004B967B" w14:textId="1A8FA35F" w:rsidR="00834F6A" w:rsidRDefault="003A115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tabla 4 muestra las covarianzas entre tipo de cambio y precios y la varianza del tipo de cambio para cada régimen inflacionario.</w:t>
      </w:r>
      <w:r w:rsidR="00A85A17">
        <w:rPr>
          <w:rFonts w:ascii="Times New Roman" w:hAnsi="Times New Roman" w:cs="Times New Roman"/>
          <w:sz w:val="24"/>
          <w:szCs w:val="24"/>
        </w:rPr>
        <w:t xml:space="preserve"> Los cálculos muestran </w:t>
      </w:r>
      <w:r w:rsidR="00CE67AD">
        <w:rPr>
          <w:rFonts w:ascii="Times New Roman" w:hAnsi="Times New Roman" w:cs="Times New Roman"/>
          <w:sz w:val="24"/>
          <w:szCs w:val="24"/>
        </w:rPr>
        <w:t>sin lugar a duda</w:t>
      </w:r>
      <w:r w:rsidR="00A85A17">
        <w:rPr>
          <w:rFonts w:ascii="Times New Roman" w:hAnsi="Times New Roman" w:cs="Times New Roman"/>
          <w:sz w:val="24"/>
          <w:szCs w:val="24"/>
        </w:rPr>
        <w:t xml:space="preserve"> </w:t>
      </w:r>
      <w:r w:rsidR="006D321B">
        <w:rPr>
          <w:rFonts w:ascii="Times New Roman" w:hAnsi="Times New Roman" w:cs="Times New Roman"/>
          <w:sz w:val="24"/>
          <w:szCs w:val="24"/>
        </w:rPr>
        <w:t xml:space="preserve">que el motivo por el cual el coeficiente asociado al pass-through disminuye </w:t>
      </w:r>
      <w:r w:rsidR="00CE67AD">
        <w:rPr>
          <w:rFonts w:ascii="Times New Roman" w:hAnsi="Times New Roman" w:cs="Times New Roman"/>
          <w:sz w:val="24"/>
          <w:szCs w:val="24"/>
        </w:rPr>
        <w:t>es la caída en la covarianza entre tipo de cambio y precios aún y a pesar de la caída en la varianza del tipo de cambio acompañada en cada régimen inflacionario, lo cual fortalece el argumento de que el estado inflacionario de la economía es uno de los determinantes de dicho efecto.</w:t>
      </w:r>
    </w:p>
    <w:p w14:paraId="137B3F44" w14:textId="380B9E3D" w:rsidR="00CE67AD" w:rsidRDefault="00CE67AD" w:rsidP="00CE67AD">
      <w:pPr>
        <w:pStyle w:val="Descripcin"/>
        <w:rPr>
          <w:i w:val="0"/>
          <w:iCs w:val="0"/>
          <w:noProof/>
        </w:rPr>
      </w:pPr>
      <w:r w:rsidRPr="00B51EE2">
        <w:rPr>
          <w:rFonts w:ascii="Times New Roman" w:hAnsi="Times New Roman" w:cs="Times New Roman"/>
          <w:b/>
          <w:bCs/>
          <w:i w:val="0"/>
          <w:iCs w:val="0"/>
          <w:color w:val="auto"/>
          <w:sz w:val="24"/>
          <w:szCs w:val="24"/>
        </w:rPr>
        <w:t xml:space="preserve">Tabla </w:t>
      </w:r>
      <w:r w:rsidRPr="00B51EE2">
        <w:rPr>
          <w:rFonts w:ascii="Times New Roman" w:hAnsi="Times New Roman" w:cs="Times New Roman"/>
          <w:b/>
          <w:bCs/>
          <w:i w:val="0"/>
          <w:iCs w:val="0"/>
          <w:color w:val="auto"/>
          <w:sz w:val="24"/>
          <w:szCs w:val="24"/>
        </w:rPr>
        <w:fldChar w:fldCharType="begin"/>
      </w:r>
      <w:r w:rsidRPr="00B51EE2">
        <w:rPr>
          <w:rFonts w:ascii="Times New Roman" w:hAnsi="Times New Roman" w:cs="Times New Roman"/>
          <w:b/>
          <w:bCs/>
          <w:i w:val="0"/>
          <w:iCs w:val="0"/>
          <w:color w:val="auto"/>
          <w:sz w:val="24"/>
          <w:szCs w:val="24"/>
        </w:rPr>
        <w:instrText xml:space="preserve"> SEQ Tabla \* ARABIC </w:instrText>
      </w:r>
      <w:r w:rsidRPr="00B51EE2">
        <w:rPr>
          <w:rFonts w:ascii="Times New Roman" w:hAnsi="Times New Roman" w:cs="Times New Roman"/>
          <w:b/>
          <w:bCs/>
          <w:i w:val="0"/>
          <w:iCs w:val="0"/>
          <w:color w:val="auto"/>
          <w:sz w:val="24"/>
          <w:szCs w:val="24"/>
        </w:rPr>
        <w:fldChar w:fldCharType="separate"/>
      </w:r>
      <w:r w:rsidR="00471DCE">
        <w:rPr>
          <w:rFonts w:ascii="Times New Roman" w:hAnsi="Times New Roman" w:cs="Times New Roman"/>
          <w:b/>
          <w:bCs/>
          <w:i w:val="0"/>
          <w:iCs w:val="0"/>
          <w:noProof/>
          <w:color w:val="auto"/>
          <w:sz w:val="24"/>
          <w:szCs w:val="24"/>
        </w:rPr>
        <w:t>4</w:t>
      </w:r>
      <w:r w:rsidRPr="00B51EE2">
        <w:rPr>
          <w:rFonts w:ascii="Times New Roman" w:hAnsi="Times New Roman" w:cs="Times New Roman"/>
          <w:b/>
          <w:bCs/>
          <w:i w:val="0"/>
          <w:iCs w:val="0"/>
          <w:color w:val="auto"/>
          <w:sz w:val="24"/>
          <w:szCs w:val="24"/>
        </w:rPr>
        <w:fldChar w:fldCharType="end"/>
      </w:r>
      <w:r w:rsidRPr="00B51EE2">
        <w:rPr>
          <w:rFonts w:ascii="Times New Roman" w:hAnsi="Times New Roman" w:cs="Times New Roman"/>
          <w:i w:val="0"/>
          <w:iCs w:val="0"/>
          <w:color w:val="auto"/>
          <w:sz w:val="24"/>
          <w:szCs w:val="24"/>
        </w:rPr>
        <w:t xml:space="preserve"> </w:t>
      </w:r>
      <w:r w:rsidRPr="00B51EE2">
        <w:rPr>
          <w:i w:val="0"/>
          <w:iCs w:val="0"/>
          <w:color w:val="FFFFFF" w:themeColor="background1"/>
        </w:rPr>
        <w:t xml:space="preserve">Covarianza entre el tipo de cambio y precios y varianza </w:t>
      </w:r>
      <w:r w:rsidRPr="00B51EE2">
        <w:rPr>
          <w:i w:val="0"/>
          <w:iCs w:val="0"/>
          <w:noProof/>
          <w:color w:val="FFFFFF" w:themeColor="background1"/>
        </w:rPr>
        <w:t>del tipo de cambio</w:t>
      </w:r>
    </w:p>
    <w:p w14:paraId="1CEEF9A2" w14:textId="650BADCB" w:rsidR="00B51EE2" w:rsidRPr="00B51EE2" w:rsidRDefault="00B51EE2" w:rsidP="00B51EE2">
      <w:pPr>
        <w:pStyle w:val="Descripcin"/>
        <w:rPr>
          <w:rFonts w:ascii="Times New Roman" w:hAnsi="Times New Roman" w:cs="Times New Roman"/>
          <w:color w:val="auto"/>
          <w:sz w:val="36"/>
          <w:szCs w:val="36"/>
        </w:rPr>
      </w:pPr>
      <w:r w:rsidRPr="00B51EE2">
        <w:rPr>
          <w:rFonts w:ascii="Times New Roman" w:hAnsi="Times New Roman" w:cs="Times New Roman"/>
          <w:i w:val="0"/>
          <w:iCs w:val="0"/>
          <w:color w:val="auto"/>
          <w:sz w:val="24"/>
          <w:szCs w:val="24"/>
        </w:rPr>
        <w:t xml:space="preserve">Covarianza entre el tipo de cambio y precios y varianza </w:t>
      </w:r>
      <w:r w:rsidRPr="00B51EE2">
        <w:rPr>
          <w:rFonts w:ascii="Times New Roman" w:hAnsi="Times New Roman" w:cs="Times New Roman"/>
          <w:i w:val="0"/>
          <w:iCs w:val="0"/>
          <w:noProof/>
          <w:color w:val="auto"/>
          <w:sz w:val="24"/>
          <w:szCs w:val="24"/>
        </w:rPr>
        <w:t>del tipo de cambio</w:t>
      </w:r>
    </w:p>
    <w:tbl>
      <w:tblPr>
        <w:tblW w:w="4954" w:type="pct"/>
        <w:tblCellMar>
          <w:left w:w="70" w:type="dxa"/>
          <w:right w:w="70" w:type="dxa"/>
        </w:tblCellMar>
        <w:tblLook w:val="04A0" w:firstRow="1" w:lastRow="0" w:firstColumn="1" w:lastColumn="0" w:noHBand="0" w:noVBand="1"/>
      </w:tblPr>
      <w:tblGrid>
        <w:gridCol w:w="4678"/>
        <w:gridCol w:w="2259"/>
        <w:gridCol w:w="1820"/>
      </w:tblGrid>
      <w:tr w:rsidR="002E3CFC" w:rsidRPr="002E3CFC" w14:paraId="254BC959" w14:textId="77777777" w:rsidTr="00B51EE2">
        <w:trPr>
          <w:trHeight w:val="630"/>
        </w:trPr>
        <w:tc>
          <w:tcPr>
            <w:tcW w:w="4678" w:type="dxa"/>
            <w:tcBorders>
              <w:top w:val="single" w:sz="4" w:space="0" w:color="auto"/>
              <w:left w:val="nil"/>
              <w:bottom w:val="single" w:sz="4" w:space="0" w:color="auto"/>
              <w:right w:val="nil"/>
            </w:tcBorders>
            <w:shd w:val="clear" w:color="auto" w:fill="auto"/>
            <w:noWrap/>
            <w:vAlign w:val="center"/>
            <w:hideMark/>
          </w:tcPr>
          <w:p w14:paraId="3A480D82" w14:textId="117B6798"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R</w:t>
            </w:r>
            <w:r w:rsidR="00CE67AD">
              <w:rPr>
                <w:rFonts w:ascii="Times New Roman" w:eastAsia="Times New Roman" w:hAnsi="Times New Roman" w:cs="Times New Roman"/>
                <w:b/>
                <w:bCs/>
                <w:color w:val="000000"/>
                <w:sz w:val="24"/>
                <w:szCs w:val="24"/>
                <w:lang w:eastAsia="es-GT"/>
              </w:rPr>
              <w:t>é</w:t>
            </w:r>
            <w:r w:rsidRPr="002E3CFC">
              <w:rPr>
                <w:rFonts w:ascii="Times New Roman" w:eastAsia="Times New Roman" w:hAnsi="Times New Roman" w:cs="Times New Roman"/>
                <w:b/>
                <w:bCs/>
                <w:color w:val="000000"/>
                <w:sz w:val="24"/>
                <w:szCs w:val="24"/>
                <w:lang w:eastAsia="es-GT"/>
              </w:rPr>
              <w:t>g</w:t>
            </w:r>
            <w:r w:rsidR="00CE67AD">
              <w:rPr>
                <w:rFonts w:ascii="Times New Roman" w:eastAsia="Times New Roman" w:hAnsi="Times New Roman" w:cs="Times New Roman"/>
                <w:b/>
                <w:bCs/>
                <w:color w:val="000000"/>
                <w:sz w:val="24"/>
                <w:szCs w:val="24"/>
                <w:lang w:eastAsia="es-GT"/>
              </w:rPr>
              <w:t>i</w:t>
            </w:r>
            <w:r w:rsidRPr="002E3CFC">
              <w:rPr>
                <w:rFonts w:ascii="Times New Roman" w:eastAsia="Times New Roman" w:hAnsi="Times New Roman" w:cs="Times New Roman"/>
                <w:b/>
                <w:bCs/>
                <w:color w:val="000000"/>
                <w:sz w:val="24"/>
                <w:szCs w:val="24"/>
                <w:lang w:eastAsia="es-GT"/>
              </w:rPr>
              <w:t>men</w:t>
            </w:r>
          </w:p>
        </w:tc>
        <w:tc>
          <w:tcPr>
            <w:tcW w:w="2259" w:type="dxa"/>
            <w:tcBorders>
              <w:top w:val="single" w:sz="4" w:space="0" w:color="auto"/>
              <w:left w:val="nil"/>
              <w:bottom w:val="single" w:sz="4" w:space="0" w:color="auto"/>
              <w:right w:val="nil"/>
            </w:tcBorders>
            <w:shd w:val="clear" w:color="auto" w:fill="auto"/>
            <w:vAlign w:val="center"/>
            <w:hideMark/>
          </w:tcPr>
          <w:p w14:paraId="793B14E2" w14:textId="361B2034"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Covarianza</w:t>
            </w:r>
            <w:r w:rsidR="00B51EE2">
              <w:rPr>
                <w:rFonts w:ascii="Times New Roman" w:eastAsia="Times New Roman" w:hAnsi="Times New Roman" w:cs="Times New Roman"/>
                <w:b/>
                <w:bCs/>
                <w:color w:val="000000"/>
                <w:sz w:val="24"/>
                <w:szCs w:val="24"/>
                <w:lang w:eastAsia="es-GT"/>
              </w:rPr>
              <w:t xml:space="preserve"> entre</w:t>
            </w:r>
            <w:r w:rsidRPr="002E3CFC">
              <w:rPr>
                <w:rFonts w:ascii="Times New Roman" w:eastAsia="Times New Roman" w:hAnsi="Times New Roman" w:cs="Times New Roman"/>
                <w:b/>
                <w:bCs/>
                <w:color w:val="000000"/>
                <w:sz w:val="24"/>
                <w:szCs w:val="24"/>
                <w:lang w:eastAsia="es-GT"/>
              </w:rPr>
              <w:t xml:space="preserve"> </w:t>
            </w:r>
            <w:r>
              <w:rPr>
                <w:rFonts w:ascii="Times New Roman" w:eastAsia="Times New Roman" w:hAnsi="Times New Roman" w:cs="Times New Roman"/>
                <w:b/>
                <w:bCs/>
                <w:color w:val="000000"/>
                <w:sz w:val="24"/>
                <w:szCs w:val="24"/>
                <w:lang w:eastAsia="es-GT"/>
              </w:rPr>
              <w:t>tipo de cambio y precios</w:t>
            </w:r>
          </w:p>
        </w:tc>
        <w:tc>
          <w:tcPr>
            <w:tcW w:w="1820" w:type="dxa"/>
            <w:tcBorders>
              <w:top w:val="single" w:sz="4" w:space="0" w:color="auto"/>
              <w:left w:val="nil"/>
              <w:bottom w:val="single" w:sz="4" w:space="0" w:color="auto"/>
              <w:right w:val="nil"/>
            </w:tcBorders>
            <w:shd w:val="clear" w:color="auto" w:fill="auto"/>
            <w:noWrap/>
            <w:vAlign w:val="center"/>
            <w:hideMark/>
          </w:tcPr>
          <w:p w14:paraId="6A9D0814" w14:textId="77777777"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Varianza del tipo de cambio</w:t>
            </w:r>
          </w:p>
        </w:tc>
      </w:tr>
      <w:tr w:rsidR="002E3CFC" w:rsidRPr="002E3CFC" w14:paraId="1FDB5D55" w14:textId="77777777" w:rsidTr="00B51EE2">
        <w:trPr>
          <w:trHeight w:val="315"/>
        </w:trPr>
        <w:tc>
          <w:tcPr>
            <w:tcW w:w="4678" w:type="dxa"/>
            <w:tcBorders>
              <w:top w:val="nil"/>
              <w:left w:val="nil"/>
              <w:bottom w:val="nil"/>
              <w:right w:val="nil"/>
            </w:tcBorders>
            <w:shd w:val="clear" w:color="auto" w:fill="auto"/>
            <w:noWrap/>
            <w:vAlign w:val="bottom"/>
            <w:hideMark/>
          </w:tcPr>
          <w:p w14:paraId="67782C41" w14:textId="7946BE5D"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alta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59" w:type="dxa"/>
            <w:tcBorders>
              <w:top w:val="nil"/>
              <w:left w:val="nil"/>
              <w:bottom w:val="nil"/>
              <w:right w:val="nil"/>
            </w:tcBorders>
            <w:shd w:val="clear" w:color="auto" w:fill="auto"/>
            <w:noWrap/>
            <w:vAlign w:val="bottom"/>
            <w:hideMark/>
          </w:tcPr>
          <w:p w14:paraId="08469A0D"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0.0218614</w:t>
            </w:r>
          </w:p>
        </w:tc>
        <w:tc>
          <w:tcPr>
            <w:tcW w:w="1820" w:type="dxa"/>
            <w:tcBorders>
              <w:top w:val="nil"/>
              <w:left w:val="nil"/>
              <w:bottom w:val="nil"/>
              <w:right w:val="nil"/>
            </w:tcBorders>
            <w:shd w:val="clear" w:color="auto" w:fill="auto"/>
            <w:noWrap/>
            <w:vAlign w:val="bottom"/>
            <w:hideMark/>
          </w:tcPr>
          <w:p w14:paraId="17908F6F"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0.6030626</w:t>
            </w:r>
          </w:p>
        </w:tc>
      </w:tr>
      <w:tr w:rsidR="002E3CFC" w:rsidRPr="002E3CFC" w14:paraId="2CEBBC2B" w14:textId="77777777" w:rsidTr="00B51EE2">
        <w:trPr>
          <w:trHeight w:val="315"/>
        </w:trPr>
        <w:tc>
          <w:tcPr>
            <w:tcW w:w="4678" w:type="dxa"/>
            <w:tcBorders>
              <w:top w:val="nil"/>
              <w:left w:val="nil"/>
              <w:bottom w:val="nil"/>
              <w:right w:val="nil"/>
            </w:tcBorders>
            <w:shd w:val="clear" w:color="auto" w:fill="auto"/>
            <w:noWrap/>
            <w:vAlign w:val="bottom"/>
            <w:hideMark/>
          </w:tcPr>
          <w:p w14:paraId="3D984EB6" w14:textId="2E6C831A"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media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59" w:type="dxa"/>
            <w:tcBorders>
              <w:top w:val="nil"/>
              <w:left w:val="nil"/>
              <w:bottom w:val="nil"/>
              <w:right w:val="nil"/>
            </w:tcBorders>
            <w:shd w:val="clear" w:color="auto" w:fill="auto"/>
            <w:noWrap/>
            <w:vAlign w:val="bottom"/>
            <w:hideMark/>
          </w:tcPr>
          <w:p w14:paraId="171064E0"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-0.0028357</w:t>
            </w:r>
          </w:p>
        </w:tc>
        <w:tc>
          <w:tcPr>
            <w:tcW w:w="1820" w:type="dxa"/>
            <w:tcBorders>
              <w:top w:val="nil"/>
              <w:left w:val="nil"/>
              <w:bottom w:val="nil"/>
              <w:right w:val="nil"/>
            </w:tcBorders>
            <w:shd w:val="clear" w:color="auto" w:fill="auto"/>
            <w:noWrap/>
            <w:vAlign w:val="bottom"/>
            <w:hideMark/>
          </w:tcPr>
          <w:p w14:paraId="6AFAA729"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0.4230115</w:t>
            </w:r>
          </w:p>
        </w:tc>
      </w:tr>
      <w:tr w:rsidR="002E3CFC" w:rsidRPr="002E3CFC" w14:paraId="355FCA29" w14:textId="77777777" w:rsidTr="00B51EE2">
        <w:trPr>
          <w:trHeight w:val="315"/>
        </w:trPr>
        <w:tc>
          <w:tcPr>
            <w:tcW w:w="4678" w:type="dxa"/>
            <w:tcBorders>
              <w:top w:val="nil"/>
              <w:left w:val="nil"/>
              <w:bottom w:val="single" w:sz="4" w:space="0" w:color="auto"/>
              <w:right w:val="nil"/>
            </w:tcBorders>
            <w:shd w:val="clear" w:color="auto" w:fill="auto"/>
            <w:noWrap/>
            <w:vAlign w:val="bottom"/>
            <w:hideMark/>
          </w:tcPr>
          <w:p w14:paraId="6A9E833A" w14:textId="453BD061"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baja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59" w:type="dxa"/>
            <w:tcBorders>
              <w:top w:val="nil"/>
              <w:left w:val="nil"/>
              <w:bottom w:val="single" w:sz="4" w:space="0" w:color="auto"/>
              <w:right w:val="nil"/>
            </w:tcBorders>
            <w:shd w:val="clear" w:color="auto" w:fill="auto"/>
            <w:noWrap/>
            <w:vAlign w:val="bottom"/>
            <w:hideMark/>
          </w:tcPr>
          <w:p w14:paraId="5E1D3E75"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-0.0315643</w:t>
            </w:r>
          </w:p>
        </w:tc>
        <w:tc>
          <w:tcPr>
            <w:tcW w:w="1820" w:type="dxa"/>
            <w:tcBorders>
              <w:top w:val="nil"/>
              <w:left w:val="nil"/>
              <w:bottom w:val="single" w:sz="4" w:space="0" w:color="auto"/>
              <w:right w:val="nil"/>
            </w:tcBorders>
            <w:shd w:val="clear" w:color="auto" w:fill="auto"/>
            <w:noWrap/>
            <w:vAlign w:val="bottom"/>
            <w:hideMark/>
          </w:tcPr>
          <w:p w14:paraId="22F1E80C"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0.374178</w:t>
            </w:r>
          </w:p>
        </w:tc>
      </w:tr>
    </w:tbl>
    <w:p w14:paraId="277339A7" w14:textId="05FDFF10" w:rsidR="002E3CFC" w:rsidRDefault="00B51EE2"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Covarianza entre tipo de cambio y precios y varianza del tipo de cambio para cada régimen inflacionario. Elaboración propia.</w:t>
      </w:r>
    </w:p>
    <w:p w14:paraId="7C2EC461" w14:textId="38502419" w:rsidR="00B51EE2" w:rsidRDefault="009934AE"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Todo lo anterior evidencia tres resultados importantes a mencionar, primero: Si existe un debilitamiento de la relación entre tipo de cambio y precios en la medida en la cual la inflación disminuye algo que es notoriamente evidente en el régimen de inflación media el cual presenta la menor covarianza entre las variables, segundo: Luego de hacer la transición al régimen de inflación baja el efecto traspaso se vuelve negativo</w:t>
      </w:r>
      <w:r w:rsidR="00EB7A13">
        <w:rPr>
          <w:rFonts w:ascii="Times New Roman" w:hAnsi="Times New Roman" w:cs="Times New Roman"/>
          <w:sz w:val="24"/>
          <w:szCs w:val="24"/>
        </w:rPr>
        <w:t xml:space="preserve"> al que podría explicarse a partir del hecho de que en estos escenarios las expectativas de los agentes ya no esperan que la inflación aumente más de lo previsto por lo que las depreciaciones cambiarias tienen un efecto mucho menor, y tercero: La volatilidad del tipo de cambio ha disminuido junto con la inflación algo que ha devenido en un periodo de estabilidad cambiaria.</w:t>
      </w:r>
    </w:p>
    <w:p w14:paraId="68D99B24" w14:textId="59746900" w:rsidR="003A1156" w:rsidRDefault="003A1156" w:rsidP="00A23F2B">
      <w:pPr>
        <w:spacing w:line="360" w:lineRule="auto"/>
        <w:jc w:val="both"/>
        <w:rPr>
          <w:rFonts w:ascii="Times New Roman" w:hAnsi="Times New Roman" w:cs="Times New Roman"/>
          <w:sz w:val="24"/>
          <w:szCs w:val="24"/>
        </w:rPr>
      </w:pPr>
    </w:p>
    <w:p w14:paraId="61ED08A7" w14:textId="5D71DED6" w:rsidR="003F569E" w:rsidRDefault="003F569E" w:rsidP="00A23F2B">
      <w:pPr>
        <w:spacing w:line="360" w:lineRule="auto"/>
        <w:jc w:val="both"/>
        <w:rPr>
          <w:rFonts w:ascii="Times New Roman" w:hAnsi="Times New Roman" w:cs="Times New Roman"/>
          <w:sz w:val="24"/>
          <w:szCs w:val="24"/>
        </w:rPr>
      </w:pPr>
    </w:p>
    <w:p w14:paraId="747E8E5B" w14:textId="1B5D6C3C" w:rsidR="003F569E" w:rsidRPr="0003332F" w:rsidRDefault="003F569E" w:rsidP="00624C8D">
      <w:pPr>
        <w:pStyle w:val="Ttulo1"/>
        <w:spacing w:line="360" w:lineRule="auto"/>
        <w:jc w:val="center"/>
        <w:rPr>
          <w:rFonts w:ascii="Times New Roman" w:hAnsi="Times New Roman" w:cs="Times New Roman"/>
          <w:b/>
          <w:bCs/>
          <w:color w:val="auto"/>
          <w:sz w:val="24"/>
          <w:szCs w:val="24"/>
        </w:rPr>
      </w:pPr>
      <w:bookmarkStart w:id="27" w:name="_Toc111757508"/>
      <w:r w:rsidRPr="0003332F">
        <w:rPr>
          <w:rFonts w:ascii="Times New Roman" w:hAnsi="Times New Roman" w:cs="Times New Roman"/>
          <w:b/>
          <w:bCs/>
          <w:color w:val="auto"/>
          <w:sz w:val="24"/>
          <w:szCs w:val="24"/>
        </w:rPr>
        <w:lastRenderedPageBreak/>
        <w:t>Conclusiones</w:t>
      </w:r>
      <w:bookmarkEnd w:id="27"/>
    </w:p>
    <w:p w14:paraId="0DB539FC" w14:textId="77777777" w:rsidR="00401FF5" w:rsidRDefault="00624C8D"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Se corroboró que el estado inflacionario de la economía tiene una incidencia sobre el pass-through haciendo que este disminuya en la medida que se hace la transición a escenarios</w:t>
      </w:r>
      <w:r w:rsidR="00401FF5">
        <w:rPr>
          <w:rFonts w:ascii="Times New Roman" w:hAnsi="Times New Roman" w:cs="Times New Roman"/>
          <w:sz w:val="24"/>
          <w:szCs w:val="24"/>
        </w:rPr>
        <w:t xml:space="preserve"> de inflación</w:t>
      </w:r>
      <w:r>
        <w:rPr>
          <w:rFonts w:ascii="Times New Roman" w:hAnsi="Times New Roman" w:cs="Times New Roman"/>
          <w:sz w:val="24"/>
          <w:szCs w:val="24"/>
        </w:rPr>
        <w:t xml:space="preserve"> baja</w:t>
      </w:r>
      <w:r w:rsidR="00401FF5">
        <w:rPr>
          <w:rFonts w:ascii="Times New Roman" w:hAnsi="Times New Roman" w:cs="Times New Roman"/>
          <w:sz w:val="24"/>
          <w:szCs w:val="24"/>
        </w:rPr>
        <w:t>.</w:t>
      </w:r>
    </w:p>
    <w:p w14:paraId="58E34F19" w14:textId="4988C445" w:rsidR="00B30255" w:rsidRDefault="00401FF5"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Se encontró evidencia que apoya la hipótesis de que la disminución del efecto pass-through se debe a un debilitamiento de la relación entre tipo de cambio e inflación en escenarios de inflación baja.</w:t>
      </w:r>
    </w:p>
    <w:p w14:paraId="1EDE6EE0" w14:textId="34BF349E" w:rsidR="00401FF5" w:rsidRDefault="00401FF5"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labor del Banco Central de mantener la estabilidad en el nivel general de precios se ve </w:t>
      </w:r>
      <w:r w:rsidR="00CE161E">
        <w:rPr>
          <w:rFonts w:ascii="Times New Roman" w:hAnsi="Times New Roman" w:cs="Times New Roman"/>
          <w:sz w:val="24"/>
          <w:szCs w:val="24"/>
        </w:rPr>
        <w:t>reforzada por el propio entorno inflacionario que genera, esto debido al hecho de que logra atenuar los efectos de los choques inflacionarios sobre el nivel general de precios.</w:t>
      </w:r>
    </w:p>
    <w:p w14:paraId="26526565" w14:textId="335F8528" w:rsidR="00CE161E" w:rsidRDefault="00CE161E" w:rsidP="00CE161E">
      <w:pPr>
        <w:spacing w:line="360" w:lineRule="auto"/>
        <w:jc w:val="both"/>
        <w:rPr>
          <w:rFonts w:ascii="Times New Roman" w:hAnsi="Times New Roman" w:cs="Times New Roman"/>
          <w:sz w:val="24"/>
          <w:szCs w:val="24"/>
        </w:rPr>
      </w:pPr>
    </w:p>
    <w:p w14:paraId="72841C68" w14:textId="5142A98E" w:rsidR="00CE161E" w:rsidRDefault="00CE161E" w:rsidP="00CE161E">
      <w:pPr>
        <w:spacing w:line="360" w:lineRule="auto"/>
        <w:jc w:val="both"/>
        <w:rPr>
          <w:rFonts w:ascii="Times New Roman" w:hAnsi="Times New Roman" w:cs="Times New Roman"/>
          <w:sz w:val="24"/>
          <w:szCs w:val="24"/>
        </w:rPr>
      </w:pPr>
    </w:p>
    <w:p w14:paraId="056F9C75" w14:textId="25D1EF40" w:rsidR="00CE161E" w:rsidRDefault="00CE161E" w:rsidP="00CE161E">
      <w:pPr>
        <w:spacing w:line="360" w:lineRule="auto"/>
        <w:jc w:val="both"/>
        <w:rPr>
          <w:rFonts w:ascii="Times New Roman" w:hAnsi="Times New Roman" w:cs="Times New Roman"/>
          <w:sz w:val="24"/>
          <w:szCs w:val="24"/>
        </w:rPr>
      </w:pPr>
    </w:p>
    <w:p w14:paraId="01D42D51" w14:textId="43DB1F58" w:rsidR="00CE161E" w:rsidRDefault="00CE161E" w:rsidP="00CE161E">
      <w:pPr>
        <w:spacing w:line="360" w:lineRule="auto"/>
        <w:jc w:val="both"/>
        <w:rPr>
          <w:rFonts w:ascii="Times New Roman" w:hAnsi="Times New Roman" w:cs="Times New Roman"/>
          <w:sz w:val="24"/>
          <w:szCs w:val="24"/>
        </w:rPr>
      </w:pPr>
    </w:p>
    <w:p w14:paraId="484E3F2C" w14:textId="7CDA6168" w:rsidR="00CE161E" w:rsidRDefault="00CE161E" w:rsidP="00CE161E">
      <w:pPr>
        <w:spacing w:line="360" w:lineRule="auto"/>
        <w:jc w:val="both"/>
        <w:rPr>
          <w:rFonts w:ascii="Times New Roman" w:hAnsi="Times New Roman" w:cs="Times New Roman"/>
          <w:sz w:val="24"/>
          <w:szCs w:val="24"/>
        </w:rPr>
      </w:pPr>
    </w:p>
    <w:p w14:paraId="60D7DE99" w14:textId="54836B52" w:rsidR="00CE161E" w:rsidRDefault="00CE161E" w:rsidP="00CE161E">
      <w:pPr>
        <w:spacing w:line="360" w:lineRule="auto"/>
        <w:jc w:val="both"/>
        <w:rPr>
          <w:rFonts w:ascii="Times New Roman" w:hAnsi="Times New Roman" w:cs="Times New Roman"/>
          <w:sz w:val="24"/>
          <w:szCs w:val="24"/>
        </w:rPr>
      </w:pPr>
    </w:p>
    <w:p w14:paraId="50B91D87" w14:textId="68AE9DBB" w:rsidR="00CE161E" w:rsidRDefault="00CE161E" w:rsidP="00CE161E">
      <w:pPr>
        <w:spacing w:line="360" w:lineRule="auto"/>
        <w:jc w:val="both"/>
        <w:rPr>
          <w:rFonts w:ascii="Times New Roman" w:hAnsi="Times New Roman" w:cs="Times New Roman"/>
          <w:sz w:val="24"/>
          <w:szCs w:val="24"/>
        </w:rPr>
      </w:pPr>
    </w:p>
    <w:p w14:paraId="0DE5F909" w14:textId="2D37443E" w:rsidR="00CE161E" w:rsidRDefault="00CE161E" w:rsidP="00CE161E">
      <w:pPr>
        <w:spacing w:line="360" w:lineRule="auto"/>
        <w:jc w:val="both"/>
        <w:rPr>
          <w:rFonts w:ascii="Times New Roman" w:hAnsi="Times New Roman" w:cs="Times New Roman"/>
          <w:sz w:val="24"/>
          <w:szCs w:val="24"/>
        </w:rPr>
      </w:pPr>
    </w:p>
    <w:p w14:paraId="3C41BA51" w14:textId="40958D51" w:rsidR="00CE161E" w:rsidRDefault="00CE161E" w:rsidP="00CE161E">
      <w:pPr>
        <w:spacing w:line="360" w:lineRule="auto"/>
        <w:jc w:val="both"/>
        <w:rPr>
          <w:rFonts w:ascii="Times New Roman" w:hAnsi="Times New Roman" w:cs="Times New Roman"/>
          <w:sz w:val="24"/>
          <w:szCs w:val="24"/>
        </w:rPr>
      </w:pPr>
    </w:p>
    <w:p w14:paraId="445B38BD" w14:textId="7A9C7C1B" w:rsidR="00CE161E" w:rsidRDefault="00CE161E" w:rsidP="00CE161E">
      <w:pPr>
        <w:spacing w:line="360" w:lineRule="auto"/>
        <w:jc w:val="both"/>
        <w:rPr>
          <w:rFonts w:ascii="Times New Roman" w:hAnsi="Times New Roman" w:cs="Times New Roman"/>
          <w:sz w:val="24"/>
          <w:szCs w:val="24"/>
        </w:rPr>
      </w:pPr>
    </w:p>
    <w:p w14:paraId="605202A8" w14:textId="453CC1C5" w:rsidR="00CE161E" w:rsidRDefault="00CE161E" w:rsidP="00CE161E">
      <w:pPr>
        <w:spacing w:line="360" w:lineRule="auto"/>
        <w:jc w:val="both"/>
        <w:rPr>
          <w:rFonts w:ascii="Times New Roman" w:hAnsi="Times New Roman" w:cs="Times New Roman"/>
          <w:sz w:val="24"/>
          <w:szCs w:val="24"/>
        </w:rPr>
      </w:pPr>
    </w:p>
    <w:p w14:paraId="46E27B22" w14:textId="325A33DE" w:rsidR="00CE161E" w:rsidRDefault="00CE161E" w:rsidP="00CE161E">
      <w:pPr>
        <w:spacing w:line="360" w:lineRule="auto"/>
        <w:jc w:val="both"/>
        <w:rPr>
          <w:rFonts w:ascii="Times New Roman" w:hAnsi="Times New Roman" w:cs="Times New Roman"/>
          <w:sz w:val="24"/>
          <w:szCs w:val="24"/>
        </w:rPr>
      </w:pPr>
    </w:p>
    <w:p w14:paraId="4984AB2F" w14:textId="01A7F442" w:rsidR="00534382" w:rsidRDefault="00534382" w:rsidP="00CE161E">
      <w:pPr>
        <w:spacing w:line="360" w:lineRule="auto"/>
        <w:jc w:val="both"/>
        <w:rPr>
          <w:rFonts w:ascii="Times New Roman" w:hAnsi="Times New Roman" w:cs="Times New Roman"/>
          <w:sz w:val="24"/>
          <w:szCs w:val="24"/>
        </w:rPr>
      </w:pPr>
    </w:p>
    <w:p w14:paraId="235234B6" w14:textId="1E42CAFE" w:rsidR="00534382" w:rsidRDefault="00534382" w:rsidP="00CE161E">
      <w:pPr>
        <w:spacing w:line="360" w:lineRule="auto"/>
        <w:jc w:val="both"/>
        <w:rPr>
          <w:rFonts w:ascii="Times New Roman" w:hAnsi="Times New Roman" w:cs="Times New Roman"/>
          <w:sz w:val="24"/>
          <w:szCs w:val="24"/>
        </w:rPr>
      </w:pPr>
    </w:p>
    <w:p w14:paraId="037221DB" w14:textId="6F437BEF" w:rsidR="00534382" w:rsidRPr="00534382" w:rsidRDefault="00534382" w:rsidP="00534382">
      <w:pPr>
        <w:pStyle w:val="Ttulo1"/>
        <w:spacing w:line="480" w:lineRule="auto"/>
        <w:jc w:val="center"/>
        <w:rPr>
          <w:rFonts w:ascii="Times New Roman" w:hAnsi="Times New Roman" w:cs="Times New Roman"/>
          <w:b/>
          <w:bCs/>
          <w:color w:val="auto"/>
          <w:sz w:val="24"/>
          <w:szCs w:val="24"/>
        </w:rPr>
      </w:pPr>
      <w:bookmarkStart w:id="28" w:name="_Toc111757509"/>
      <w:r w:rsidRPr="00534382">
        <w:rPr>
          <w:rFonts w:ascii="Times New Roman" w:hAnsi="Times New Roman" w:cs="Times New Roman"/>
          <w:b/>
          <w:bCs/>
          <w:color w:val="auto"/>
          <w:sz w:val="24"/>
          <w:szCs w:val="24"/>
        </w:rPr>
        <w:lastRenderedPageBreak/>
        <w:t>Referencias</w:t>
      </w:r>
      <w:bookmarkEnd w:id="28"/>
    </w:p>
    <w:sdt>
      <w:sdtPr>
        <w:rPr>
          <w:lang w:val="es-ES"/>
        </w:rPr>
        <w:id w:val="-1308154034"/>
        <w:docPartObj>
          <w:docPartGallery w:val="Bibliographies"/>
          <w:docPartUnique/>
        </w:docPartObj>
      </w:sdtPr>
      <w:sdtEndPr>
        <w:rPr>
          <w:lang w:val="es-GT"/>
        </w:rPr>
      </w:sdtEndPr>
      <w:sdtContent>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564102FB" w14:textId="76365AB5"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sz w:val="24"/>
                  <w:szCs w:val="24"/>
                </w:rPr>
                <w:fldChar w:fldCharType="begin"/>
              </w:r>
              <w:r w:rsidRPr="002152E2">
                <w:rPr>
                  <w:rFonts w:ascii="Times New Roman" w:hAnsi="Times New Roman" w:cs="Times New Roman"/>
                  <w:sz w:val="24"/>
                  <w:szCs w:val="24"/>
                </w:rPr>
                <w:instrText>BIBLIOGRAPHY</w:instrText>
              </w:r>
              <w:r w:rsidRPr="00534382">
                <w:rPr>
                  <w:rFonts w:ascii="Times New Roman" w:hAnsi="Times New Roman" w:cs="Times New Roman"/>
                  <w:sz w:val="24"/>
                  <w:szCs w:val="24"/>
                </w:rPr>
                <w:fldChar w:fldCharType="separate"/>
              </w:r>
              <w:r w:rsidRPr="00534382">
                <w:rPr>
                  <w:rFonts w:ascii="Times New Roman" w:hAnsi="Times New Roman" w:cs="Times New Roman"/>
                  <w:noProof/>
                  <w:sz w:val="24"/>
                  <w:szCs w:val="24"/>
                  <w:lang w:val="es-ES"/>
                </w:rPr>
                <w:t xml:space="preserve">Banco de Guatemala. (2005). Informe de Política Monetaria a Junio 2005. </w:t>
              </w:r>
            </w:p>
            <w:p w14:paraId="171C3F69"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Baqueiro, A., Díaz de León, A., &amp; Torres, A. (2004). ¿Temor a la flotación o a la inflación? La importancia del "traspaso" del tipo de cambio a los precios. </w:t>
              </w:r>
            </w:p>
            <w:p w14:paraId="31B96C06"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Brufman, J., Trajtenberg, L., &amp; Donaldson, M. (2016). Modelos autorregresivos con umbral: Estimación del Pass-Through del tipo de cambio a precios domésticos. </w:t>
              </w:r>
            </w:p>
            <w:p w14:paraId="3171E398"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s-ES"/>
                </w:rPr>
                <w:t xml:space="preserve">Carranza, J. I. (2018). Volatilidad cambiaria y el efecto pass-through sobre los precios en México. </w:t>
              </w:r>
              <w:r w:rsidRPr="00534382">
                <w:rPr>
                  <w:rFonts w:ascii="Times New Roman" w:hAnsi="Times New Roman" w:cs="Times New Roman"/>
                  <w:noProof/>
                  <w:sz w:val="24"/>
                  <w:szCs w:val="24"/>
                  <w:lang w:val="en-US"/>
                </w:rPr>
                <w:t>9.</w:t>
              </w:r>
            </w:p>
            <w:p w14:paraId="793507A5"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 xml:space="preserve">Chan. (1993). Consistency and Limiting Distribution of the Least Squares Estimator of a Threshold Autoregressive Model. </w:t>
              </w:r>
            </w:p>
            <w:p w14:paraId="02734573"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Enders, W. (2015). Applied Econometric Time Series. Wiley.</w:t>
              </w:r>
            </w:p>
            <w:p w14:paraId="1B3BEDAC"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 xml:space="preserve">Goldberg. (1995). Product differectation and oligopoly in international markets: the case of de US Automobile industry. </w:t>
              </w:r>
            </w:p>
            <w:p w14:paraId="6519AF5C"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 xml:space="preserve">Goldfajn, &amp; Werlang. (2000). The Pass-Through from depreciation to inflation: A panel Study. </w:t>
              </w:r>
            </w:p>
            <w:p w14:paraId="25693F08"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Guerra Borges, A. (2004). Guatemala: 60 años de história económica (1994 - 2004). </w:t>
              </w:r>
            </w:p>
            <w:p w14:paraId="51A3CAE1"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Junata Monetaria. (2011). Resolución 171-2011. </w:t>
              </w:r>
            </w:p>
            <w:p w14:paraId="13AB03B1"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Knetter, G. (1996). </w:t>
              </w:r>
              <w:r w:rsidRPr="00534382">
                <w:rPr>
                  <w:rFonts w:ascii="Times New Roman" w:hAnsi="Times New Roman" w:cs="Times New Roman"/>
                  <w:noProof/>
                  <w:sz w:val="24"/>
                  <w:szCs w:val="24"/>
                  <w:lang w:val="en-US"/>
                </w:rPr>
                <w:t xml:space="preserve">Goods prices and exchange rates: What have we learned? </w:t>
              </w:r>
              <w:r w:rsidRPr="00534382">
                <w:rPr>
                  <w:rFonts w:ascii="Times New Roman" w:hAnsi="Times New Roman" w:cs="Times New Roman"/>
                  <w:noProof/>
                  <w:sz w:val="24"/>
                  <w:szCs w:val="24"/>
                  <w:lang w:val="es-ES"/>
                </w:rPr>
                <w:t>National Bureau of Economic Research, 9.</w:t>
              </w:r>
            </w:p>
            <w:p w14:paraId="22B94AA2"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Ley de Libre Negociación de Divisas. (2000). Decreto 94-2000. </w:t>
              </w:r>
            </w:p>
            <w:p w14:paraId="3970FE92"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Ley Orgenica del Banco de Guatemala. (2002). Decreto Número 16-2002.</w:t>
              </w:r>
            </w:p>
            <w:p w14:paraId="3EE2F916"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Marroquín Fernandez, P., &amp; Herrera Velásquez, O. (2010). Guatemala: Margen de Intermediación Bancaria. </w:t>
              </w:r>
            </w:p>
            <w:p w14:paraId="247A96DD"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Miller, S. (2003). Estimación del Pass-Through del Tipo de Cambio a Precios: 1995-2002. </w:t>
              </w:r>
            </w:p>
            <w:p w14:paraId="0DFA55E9"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 xml:space="preserve">Mishkin, F. (2007). Monetary Policy Strategy. </w:t>
              </w:r>
            </w:p>
            <w:p w14:paraId="57BE72E8"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lastRenderedPageBreak/>
                <w:t xml:space="preserve">Moya, A. C. (2005). Estimación del Pass-Through en Costa Rica. </w:t>
              </w:r>
            </w:p>
            <w:p w14:paraId="404B0F04"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Ortiz Cardona, Castañeda Fuentes, Castillo Maldonado, Galindo Gonzáles, &amp; Gutiérrez Morales. (2019). Evaluación del Esquema de Metas Explicitas de Inflación (EMEI) en Guatemala. </w:t>
              </w:r>
            </w:p>
            <w:p w14:paraId="1A8BD30A"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Taylor, J. B. (2000). Low Inflation, Pass-Through, and the Pricing Power of Firms.</w:t>
              </w:r>
            </w:p>
            <w:p w14:paraId="3785E32D" w14:textId="2B07CEF5" w:rsidR="00534382" w:rsidRDefault="00534382" w:rsidP="00534382">
              <w:pPr>
                <w:spacing w:line="360" w:lineRule="auto"/>
                <w:jc w:val="both"/>
              </w:pPr>
              <w:r w:rsidRPr="00534382">
                <w:rPr>
                  <w:rFonts w:ascii="Times New Roman" w:hAnsi="Times New Roman" w:cs="Times New Roman"/>
                  <w:b/>
                  <w:bCs/>
                  <w:sz w:val="24"/>
                  <w:szCs w:val="24"/>
                </w:rPr>
                <w:fldChar w:fldCharType="end"/>
              </w:r>
            </w:p>
          </w:sdtContent>
        </w:sdt>
      </w:sdtContent>
    </w:sdt>
    <w:p w14:paraId="2214B04C" w14:textId="491D20D2" w:rsidR="00534382" w:rsidRDefault="00534382" w:rsidP="00CE161E">
      <w:pPr>
        <w:spacing w:line="360" w:lineRule="auto"/>
        <w:jc w:val="both"/>
        <w:rPr>
          <w:rFonts w:ascii="Times New Roman" w:hAnsi="Times New Roman" w:cs="Times New Roman"/>
          <w:sz w:val="24"/>
          <w:szCs w:val="24"/>
        </w:rPr>
      </w:pPr>
    </w:p>
    <w:p w14:paraId="7D80F5A5" w14:textId="575CC795" w:rsidR="00534382" w:rsidRDefault="00534382" w:rsidP="00CE161E">
      <w:pPr>
        <w:spacing w:line="360" w:lineRule="auto"/>
        <w:jc w:val="both"/>
        <w:rPr>
          <w:rFonts w:ascii="Times New Roman" w:hAnsi="Times New Roman" w:cs="Times New Roman"/>
          <w:sz w:val="24"/>
          <w:szCs w:val="24"/>
        </w:rPr>
      </w:pPr>
    </w:p>
    <w:p w14:paraId="1D6176B9" w14:textId="3F1457A5" w:rsidR="00534382" w:rsidRDefault="00534382" w:rsidP="00CE161E">
      <w:pPr>
        <w:spacing w:line="360" w:lineRule="auto"/>
        <w:jc w:val="both"/>
        <w:rPr>
          <w:rFonts w:ascii="Times New Roman" w:hAnsi="Times New Roman" w:cs="Times New Roman"/>
          <w:sz w:val="24"/>
          <w:szCs w:val="24"/>
        </w:rPr>
      </w:pPr>
    </w:p>
    <w:p w14:paraId="0A7336E0" w14:textId="010CF25D" w:rsidR="00534382" w:rsidRDefault="00534382" w:rsidP="00CE161E">
      <w:pPr>
        <w:spacing w:line="360" w:lineRule="auto"/>
        <w:jc w:val="both"/>
        <w:rPr>
          <w:rFonts w:ascii="Times New Roman" w:hAnsi="Times New Roman" w:cs="Times New Roman"/>
          <w:sz w:val="24"/>
          <w:szCs w:val="24"/>
        </w:rPr>
      </w:pPr>
    </w:p>
    <w:p w14:paraId="68BA9C18" w14:textId="5A033B68" w:rsidR="00534382" w:rsidRDefault="00534382" w:rsidP="00CE161E">
      <w:pPr>
        <w:spacing w:line="360" w:lineRule="auto"/>
        <w:jc w:val="both"/>
        <w:rPr>
          <w:rFonts w:ascii="Times New Roman" w:hAnsi="Times New Roman" w:cs="Times New Roman"/>
          <w:sz w:val="24"/>
          <w:szCs w:val="24"/>
        </w:rPr>
      </w:pPr>
    </w:p>
    <w:p w14:paraId="490ADF4B" w14:textId="41252A45" w:rsidR="00534382" w:rsidRDefault="00534382" w:rsidP="00CE161E">
      <w:pPr>
        <w:spacing w:line="360" w:lineRule="auto"/>
        <w:jc w:val="both"/>
        <w:rPr>
          <w:rFonts w:ascii="Times New Roman" w:hAnsi="Times New Roman" w:cs="Times New Roman"/>
          <w:sz w:val="24"/>
          <w:szCs w:val="24"/>
        </w:rPr>
      </w:pPr>
    </w:p>
    <w:p w14:paraId="49D373BB" w14:textId="500B9E88" w:rsidR="00534382" w:rsidRDefault="00534382" w:rsidP="00CE161E">
      <w:pPr>
        <w:spacing w:line="360" w:lineRule="auto"/>
        <w:jc w:val="both"/>
        <w:rPr>
          <w:rFonts w:ascii="Times New Roman" w:hAnsi="Times New Roman" w:cs="Times New Roman"/>
          <w:sz w:val="24"/>
          <w:szCs w:val="24"/>
        </w:rPr>
      </w:pPr>
    </w:p>
    <w:p w14:paraId="68CD99D3" w14:textId="32932C5D" w:rsidR="00534382" w:rsidRDefault="00534382" w:rsidP="00CE161E">
      <w:pPr>
        <w:spacing w:line="360" w:lineRule="auto"/>
        <w:jc w:val="both"/>
        <w:rPr>
          <w:rFonts w:ascii="Times New Roman" w:hAnsi="Times New Roman" w:cs="Times New Roman"/>
          <w:sz w:val="24"/>
          <w:szCs w:val="24"/>
        </w:rPr>
      </w:pPr>
    </w:p>
    <w:p w14:paraId="5319B72A" w14:textId="1C9495C2" w:rsidR="00534382" w:rsidRDefault="00534382" w:rsidP="00CE161E">
      <w:pPr>
        <w:spacing w:line="360" w:lineRule="auto"/>
        <w:jc w:val="both"/>
        <w:rPr>
          <w:rFonts w:ascii="Times New Roman" w:hAnsi="Times New Roman" w:cs="Times New Roman"/>
          <w:sz w:val="24"/>
          <w:szCs w:val="24"/>
        </w:rPr>
      </w:pPr>
    </w:p>
    <w:p w14:paraId="0B42029B" w14:textId="7E6AA096" w:rsidR="00534382" w:rsidRDefault="00534382" w:rsidP="00CE161E">
      <w:pPr>
        <w:spacing w:line="360" w:lineRule="auto"/>
        <w:jc w:val="both"/>
        <w:rPr>
          <w:rFonts w:ascii="Times New Roman" w:hAnsi="Times New Roman" w:cs="Times New Roman"/>
          <w:sz w:val="24"/>
          <w:szCs w:val="24"/>
        </w:rPr>
      </w:pPr>
    </w:p>
    <w:p w14:paraId="5B9FA81B" w14:textId="1700F957" w:rsidR="00534382" w:rsidRDefault="00534382" w:rsidP="00CE161E">
      <w:pPr>
        <w:spacing w:line="360" w:lineRule="auto"/>
        <w:jc w:val="both"/>
        <w:rPr>
          <w:rFonts w:ascii="Times New Roman" w:hAnsi="Times New Roman" w:cs="Times New Roman"/>
          <w:sz w:val="24"/>
          <w:szCs w:val="24"/>
        </w:rPr>
      </w:pPr>
    </w:p>
    <w:p w14:paraId="1B6A36CE" w14:textId="54C53927" w:rsidR="00534382" w:rsidRDefault="00534382" w:rsidP="00CE161E">
      <w:pPr>
        <w:spacing w:line="360" w:lineRule="auto"/>
        <w:jc w:val="both"/>
        <w:rPr>
          <w:rFonts w:ascii="Times New Roman" w:hAnsi="Times New Roman" w:cs="Times New Roman"/>
          <w:sz w:val="24"/>
          <w:szCs w:val="24"/>
        </w:rPr>
      </w:pPr>
    </w:p>
    <w:p w14:paraId="2D2E6F7A" w14:textId="69775AC8" w:rsidR="00534382" w:rsidRDefault="00534382" w:rsidP="00CE161E">
      <w:pPr>
        <w:spacing w:line="360" w:lineRule="auto"/>
        <w:jc w:val="both"/>
        <w:rPr>
          <w:rFonts w:ascii="Times New Roman" w:hAnsi="Times New Roman" w:cs="Times New Roman"/>
          <w:sz w:val="24"/>
          <w:szCs w:val="24"/>
        </w:rPr>
      </w:pPr>
    </w:p>
    <w:p w14:paraId="393F88E5" w14:textId="557392E1" w:rsidR="00534382" w:rsidRDefault="00534382" w:rsidP="00CE161E">
      <w:pPr>
        <w:spacing w:line="360" w:lineRule="auto"/>
        <w:jc w:val="both"/>
        <w:rPr>
          <w:rFonts w:ascii="Times New Roman" w:hAnsi="Times New Roman" w:cs="Times New Roman"/>
          <w:sz w:val="24"/>
          <w:szCs w:val="24"/>
        </w:rPr>
      </w:pPr>
    </w:p>
    <w:p w14:paraId="4DD6ABD6" w14:textId="3AD6A2C1" w:rsidR="00534382" w:rsidRDefault="00534382" w:rsidP="00CE161E">
      <w:pPr>
        <w:spacing w:line="360" w:lineRule="auto"/>
        <w:jc w:val="both"/>
        <w:rPr>
          <w:rFonts w:ascii="Times New Roman" w:hAnsi="Times New Roman" w:cs="Times New Roman"/>
          <w:sz w:val="24"/>
          <w:szCs w:val="24"/>
        </w:rPr>
      </w:pPr>
    </w:p>
    <w:p w14:paraId="572E9922" w14:textId="77777777" w:rsidR="00CF27FE" w:rsidRPr="00CE161E" w:rsidRDefault="00CF27FE" w:rsidP="00CE161E">
      <w:pPr>
        <w:spacing w:line="360" w:lineRule="auto"/>
        <w:jc w:val="both"/>
        <w:rPr>
          <w:rFonts w:ascii="Times New Roman" w:hAnsi="Times New Roman" w:cs="Times New Roman"/>
          <w:sz w:val="24"/>
          <w:szCs w:val="24"/>
        </w:rPr>
      </w:pPr>
    </w:p>
    <w:p w14:paraId="6B19B771" w14:textId="56E17380" w:rsidR="000C1C8A" w:rsidRPr="000C1C8A" w:rsidRDefault="000C1C8A" w:rsidP="00854806">
      <w:pPr>
        <w:pStyle w:val="Ttulo1"/>
        <w:spacing w:line="360" w:lineRule="auto"/>
        <w:jc w:val="center"/>
        <w:rPr>
          <w:rFonts w:ascii="Times New Roman" w:hAnsi="Times New Roman" w:cs="Times New Roman"/>
          <w:b/>
          <w:bCs/>
          <w:color w:val="auto"/>
          <w:sz w:val="24"/>
          <w:szCs w:val="24"/>
        </w:rPr>
      </w:pPr>
      <w:bookmarkStart w:id="29" w:name="_Toc111757510"/>
      <w:r w:rsidRPr="000C1C8A">
        <w:rPr>
          <w:rFonts w:ascii="Times New Roman" w:hAnsi="Times New Roman" w:cs="Times New Roman"/>
          <w:b/>
          <w:bCs/>
          <w:color w:val="auto"/>
          <w:sz w:val="24"/>
          <w:szCs w:val="24"/>
        </w:rPr>
        <w:lastRenderedPageBreak/>
        <w:t>Anexos</w:t>
      </w:r>
      <w:bookmarkEnd w:id="29"/>
    </w:p>
    <w:p w14:paraId="0B2C3AC1" w14:textId="5FFEA2DD" w:rsidR="00CF27FE" w:rsidRPr="00CF27FE" w:rsidRDefault="00CF27FE" w:rsidP="00A23F2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Anexo 1. </w:t>
      </w:r>
      <w:r>
        <w:rPr>
          <w:rFonts w:ascii="Times New Roman" w:hAnsi="Times New Roman" w:cs="Times New Roman"/>
          <w:sz w:val="24"/>
          <w:szCs w:val="24"/>
        </w:rPr>
        <w:t>Código en R para la estimación del modelo</w:t>
      </w:r>
    </w:p>
    <w:p w14:paraId="4DE9BEAA" w14:textId="62E520E7" w:rsid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lector puede dirigirse a las siguientes páginas para encontrar a mayor detalle el proceso de ajuste del modelo </w:t>
      </w:r>
      <w:proofErr w:type="gramStart"/>
      <w:r>
        <w:rPr>
          <w:rFonts w:ascii="Times New Roman" w:hAnsi="Times New Roman" w:cs="Times New Roman"/>
          <w:sz w:val="24"/>
          <w:szCs w:val="24"/>
        </w:rPr>
        <w:t>TAR</w:t>
      </w:r>
      <w:proofErr w:type="gramEnd"/>
      <w:r>
        <w:rPr>
          <w:rFonts w:ascii="Times New Roman" w:hAnsi="Times New Roman" w:cs="Times New Roman"/>
          <w:sz w:val="24"/>
          <w:szCs w:val="24"/>
        </w:rPr>
        <w:t xml:space="preserve"> así como la base de datos y el código de R para el proceso de estimación.</w:t>
      </w:r>
    </w:p>
    <w:p w14:paraId="191E11B5" w14:textId="0D293D86" w:rsidR="00854806" w:rsidRP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Ajuste modelo TAR:</w:t>
      </w:r>
      <w:r w:rsidRPr="00854806">
        <w:rPr>
          <w:rFonts w:ascii="Times New Roman" w:hAnsi="Times New Roman" w:cs="Times New Roman"/>
          <w:sz w:val="24"/>
          <w:szCs w:val="24"/>
        </w:rPr>
        <w:t xml:space="preserve"> </w:t>
      </w:r>
      <w:hyperlink r:id="rId18" w:history="1">
        <w:r w:rsidRPr="00854806">
          <w:rPr>
            <w:rStyle w:val="Hipervnculo"/>
            <w:rFonts w:ascii="Times New Roman" w:hAnsi="Times New Roman" w:cs="Times New Roman"/>
            <w:sz w:val="24"/>
            <w:szCs w:val="24"/>
          </w:rPr>
          <w:t>https://jorgeorenos.github.io/ajuste-TAR/</w:t>
        </w:r>
      </w:hyperlink>
    </w:p>
    <w:p w14:paraId="022A005F" w14:textId="3C7A0C04" w:rsid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Otro elemento de interés puede hacer el proceso de estimación de la brecha del producto la cual se deja a continuación:</w:t>
      </w:r>
    </w:p>
    <w:p w14:paraId="312BDA02" w14:textId="168A2788" w:rsidR="00854806" w:rsidRP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Estimación brecha del producto: </w:t>
      </w:r>
      <w:hyperlink r:id="rId19" w:history="1">
        <w:r w:rsidRPr="00854806">
          <w:rPr>
            <w:rStyle w:val="Hipervnculo"/>
            <w:rFonts w:ascii="Times New Roman" w:hAnsi="Times New Roman" w:cs="Times New Roman"/>
            <w:sz w:val="24"/>
            <w:szCs w:val="24"/>
          </w:rPr>
          <w:t>https://jorgeorenos.github.io/serie-IMAE/</w:t>
        </w:r>
      </w:hyperlink>
    </w:p>
    <w:p w14:paraId="2F676E55" w14:textId="77777777" w:rsidR="00CF27FE" w:rsidRDefault="00CF27FE" w:rsidP="00A23F2B">
      <w:pPr>
        <w:spacing w:line="360" w:lineRule="auto"/>
        <w:jc w:val="both"/>
        <w:rPr>
          <w:rFonts w:ascii="Times New Roman" w:hAnsi="Times New Roman" w:cs="Times New Roman"/>
          <w:b/>
          <w:bCs/>
          <w:sz w:val="24"/>
          <w:szCs w:val="24"/>
        </w:rPr>
      </w:pPr>
    </w:p>
    <w:p w14:paraId="1949F6C5" w14:textId="4B799699" w:rsidR="00854806" w:rsidRDefault="00CF27FE" w:rsidP="00A23F2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Anexo 2.</w:t>
      </w:r>
      <w:r>
        <w:rPr>
          <w:rFonts w:ascii="Times New Roman" w:hAnsi="Times New Roman" w:cs="Times New Roman"/>
          <w:sz w:val="24"/>
          <w:szCs w:val="24"/>
        </w:rPr>
        <w:t xml:space="preserve"> Depreciaciones cambiarias </w:t>
      </w:r>
      <w:r w:rsidR="00003B15">
        <w:rPr>
          <w:rFonts w:ascii="Times New Roman" w:hAnsi="Times New Roman" w:cs="Times New Roman"/>
          <w:sz w:val="24"/>
          <w:szCs w:val="24"/>
        </w:rPr>
        <w:t>contra</w:t>
      </w:r>
      <w:r>
        <w:rPr>
          <w:rFonts w:ascii="Times New Roman" w:hAnsi="Times New Roman" w:cs="Times New Roman"/>
          <w:sz w:val="24"/>
          <w:szCs w:val="24"/>
        </w:rPr>
        <w:t xml:space="preserve"> inflación</w:t>
      </w:r>
    </w:p>
    <w:p w14:paraId="2CE10AB5" w14:textId="3E126936" w:rsidR="00CF27FE" w:rsidRPr="00CF27FE" w:rsidRDefault="00CF27FE"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5B0931" wp14:editId="4FA5CEE8">
            <wp:extent cx="5612130" cy="2274570"/>
            <wp:effectExtent l="0" t="0" r="762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612130" cy="2274570"/>
                    </a:xfrm>
                    <a:prstGeom prst="rect">
                      <a:avLst/>
                    </a:prstGeom>
                  </pic:spPr>
                </pic:pic>
              </a:graphicData>
            </a:graphic>
          </wp:inline>
        </w:drawing>
      </w:r>
    </w:p>
    <w:p w14:paraId="070C9498" w14:textId="08AD399A" w:rsidR="00C72F3F" w:rsidRDefault="00C72F3F" w:rsidP="00A23F2B">
      <w:pPr>
        <w:spacing w:line="360" w:lineRule="auto"/>
        <w:jc w:val="both"/>
        <w:rPr>
          <w:rFonts w:ascii="Times New Roman" w:hAnsi="Times New Roman" w:cs="Times New Roman"/>
          <w:sz w:val="24"/>
          <w:szCs w:val="24"/>
        </w:rPr>
      </w:pPr>
    </w:p>
    <w:p w14:paraId="78878D20" w14:textId="033E1012" w:rsidR="00C72F3F" w:rsidRDefault="00C72F3F" w:rsidP="00A23F2B">
      <w:pPr>
        <w:spacing w:line="360" w:lineRule="auto"/>
        <w:jc w:val="both"/>
        <w:rPr>
          <w:rFonts w:ascii="Times New Roman" w:hAnsi="Times New Roman" w:cs="Times New Roman"/>
          <w:sz w:val="24"/>
          <w:szCs w:val="24"/>
        </w:rPr>
      </w:pPr>
    </w:p>
    <w:p w14:paraId="3E036CAD" w14:textId="77777777" w:rsidR="00C72F3F" w:rsidRDefault="00C72F3F" w:rsidP="00A23F2B">
      <w:pPr>
        <w:spacing w:line="360" w:lineRule="auto"/>
        <w:jc w:val="both"/>
        <w:rPr>
          <w:rFonts w:ascii="Times New Roman" w:hAnsi="Times New Roman" w:cs="Times New Roman"/>
          <w:sz w:val="24"/>
          <w:szCs w:val="24"/>
        </w:rPr>
      </w:pPr>
    </w:p>
    <w:sectPr w:rsidR="00C72F3F" w:rsidSect="0060244B">
      <w:headerReference w:type="default" r:id="rId22"/>
      <w:footerReference w:type="default" r:id="rId23"/>
      <w:pgSz w:w="12240" w:h="15840"/>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A6384" w14:textId="77777777" w:rsidR="00D96900" w:rsidRDefault="00D96900" w:rsidP="00BF0CF5">
      <w:pPr>
        <w:spacing w:after="0" w:line="240" w:lineRule="auto"/>
      </w:pPr>
      <w:r>
        <w:separator/>
      </w:r>
    </w:p>
  </w:endnote>
  <w:endnote w:type="continuationSeparator" w:id="0">
    <w:p w14:paraId="7A589EDB" w14:textId="77777777" w:rsidR="00D96900" w:rsidRDefault="00D96900"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863751"/>
      <w:docPartObj>
        <w:docPartGallery w:val="Page Numbers (Bottom of Page)"/>
        <w:docPartUnique/>
      </w:docPartObj>
    </w:sdtPr>
    <w:sdtContent>
      <w:p w14:paraId="75013E97" w14:textId="3E687F57" w:rsidR="0060244B" w:rsidRDefault="0060244B">
        <w:pPr>
          <w:pStyle w:val="Piedepgina"/>
          <w:jc w:val="center"/>
        </w:pPr>
        <w:r>
          <w:fldChar w:fldCharType="begin"/>
        </w:r>
        <w:r>
          <w:instrText>PAGE   \* MERGEFORMAT</w:instrText>
        </w:r>
        <w:r>
          <w:fldChar w:fldCharType="separate"/>
        </w:r>
        <w:r>
          <w:rPr>
            <w:lang w:val="es-ES"/>
          </w:rPr>
          <w:t>2</w:t>
        </w:r>
        <w:r>
          <w:fldChar w:fldCharType="end"/>
        </w:r>
      </w:p>
    </w:sdtContent>
  </w:sdt>
  <w:p w14:paraId="2F5055FA" w14:textId="77777777" w:rsidR="00792F70" w:rsidRDefault="00792F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218309"/>
      <w:docPartObj>
        <w:docPartGallery w:val="Page Numbers (Bottom of Page)"/>
        <w:docPartUnique/>
      </w:docPartObj>
    </w:sdtPr>
    <w:sdtContent>
      <w:p w14:paraId="1293D8D8" w14:textId="186CA791" w:rsidR="0060244B" w:rsidRDefault="0060244B">
        <w:pPr>
          <w:pStyle w:val="Piedepgina"/>
          <w:jc w:val="center"/>
        </w:pPr>
        <w:r>
          <w:fldChar w:fldCharType="begin"/>
        </w:r>
        <w:r>
          <w:instrText>PAGE   \* MERGEFORMAT</w:instrText>
        </w:r>
        <w:r>
          <w:fldChar w:fldCharType="separate"/>
        </w:r>
        <w:r>
          <w:rPr>
            <w:lang w:val="es-ES"/>
          </w:rPr>
          <w:t>2</w:t>
        </w:r>
        <w:r>
          <w:fldChar w:fldCharType="end"/>
        </w:r>
      </w:p>
    </w:sdtContent>
  </w:sdt>
  <w:p w14:paraId="435B140F" w14:textId="77777777" w:rsidR="00792F70" w:rsidRDefault="00792F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5A40F" w14:textId="77777777" w:rsidR="00D96900" w:rsidRDefault="00D96900" w:rsidP="00BF0CF5">
      <w:pPr>
        <w:spacing w:after="0" w:line="240" w:lineRule="auto"/>
      </w:pPr>
      <w:r>
        <w:separator/>
      </w:r>
    </w:p>
  </w:footnote>
  <w:footnote w:type="continuationSeparator" w:id="0">
    <w:p w14:paraId="74891184" w14:textId="77777777" w:rsidR="00D96900" w:rsidRDefault="00D96900"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Knetter</w:t>
      </w:r>
      <w:r w:rsidR="001546FB" w:rsidRPr="001546FB">
        <w:rPr>
          <w:rFonts w:ascii="Times New Roman" w:hAnsi="Times New Roman" w:cs="Times New Roman"/>
        </w:rPr>
        <w:t xml:space="preserve"> en </w:t>
      </w:r>
      <w:r w:rsidR="001546FB" w:rsidRPr="009306A2">
        <w:rPr>
          <w:rFonts w:ascii="Times New Roman" w:hAnsi="Times New Roman" w:cs="Times New Roman"/>
          <w:i/>
          <w:iCs/>
        </w:rPr>
        <w:t>“Goods Prices and Exchange Rates: What Have We Learned?”</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Johgn Taylor.</w:t>
      </w:r>
    </w:p>
  </w:footnote>
  <w:footnote w:id="4">
    <w:p w14:paraId="310AA9B2" w14:textId="459245B5" w:rsidR="005D2A05" w:rsidRDefault="005D2A05" w:rsidP="00500991">
      <w:pPr>
        <w:pStyle w:val="Textonotapie"/>
        <w:jc w:val="both"/>
        <w:rPr>
          <w:rFonts w:ascii="Times New Roman" w:hAnsi="Times New Roman" w:cs="Times New Roman"/>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p w14:paraId="17890F9E" w14:textId="77777777" w:rsidR="00D25564" w:rsidRPr="005D2A05" w:rsidRDefault="00D25564" w:rsidP="00500991">
      <w:pPr>
        <w:pStyle w:val="Textonotapie"/>
        <w:jc w:val="both"/>
        <w:rPr>
          <w:lang w:val="es-MX"/>
        </w:rPr>
      </w:pPr>
    </w:p>
  </w:footnote>
  <w:footnote w:id="5">
    <w:p w14:paraId="3D2F5DEF" w14:textId="0028D23B" w:rsid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p w14:paraId="3915CCE5" w14:textId="77777777" w:rsidR="00D25564" w:rsidRPr="005916E7" w:rsidRDefault="00D25564" w:rsidP="005916E7">
      <w:pPr>
        <w:pStyle w:val="Textonotapie"/>
        <w:jc w:val="both"/>
        <w:rPr>
          <w:rFonts w:ascii="Times New Roman" w:hAnsi="Times New Roman" w:cs="Times New Roman"/>
          <w:lang w:val="es-MX"/>
        </w:rPr>
      </w:pP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Mishkin en </w:t>
      </w:r>
      <w:r w:rsidR="008F26B1" w:rsidRPr="008F26B1">
        <w:rPr>
          <w:rFonts w:ascii="Times New Roman" w:hAnsi="Times New Roman" w:cs="Times New Roman"/>
          <w:i/>
          <w:iCs/>
        </w:rPr>
        <w:t>Monetary Policy Strategy</w:t>
      </w:r>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Mishkin en </w:t>
      </w:r>
      <w:r w:rsidRPr="001F042B">
        <w:rPr>
          <w:rFonts w:ascii="Times New Roman" w:hAnsi="Times New Roman" w:cs="Times New Roman"/>
          <w:i/>
          <w:iCs/>
        </w:rPr>
        <w:t xml:space="preserve">Monetary Policy Strategy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D25564" w:rsidRDefault="00072A44" w:rsidP="00072A44">
      <w:pPr>
        <w:pStyle w:val="Sinespaciado"/>
        <w:rPr>
          <w:rFonts w:ascii="Times New Roman" w:hAnsi="Times New Roman" w:cs="Times New Roman"/>
          <w:sz w:val="20"/>
          <w:szCs w:val="20"/>
          <w:lang w:val="es-MX"/>
        </w:rPr>
      </w:pPr>
      <w:r w:rsidRPr="00D25564">
        <w:rPr>
          <w:rStyle w:val="Refdenotaalpie"/>
          <w:rFonts w:ascii="Times New Roman" w:hAnsi="Times New Roman" w:cs="Times New Roman"/>
          <w:sz w:val="20"/>
          <w:szCs w:val="20"/>
        </w:rPr>
        <w:footnoteRef/>
      </w:r>
      <w:r w:rsidRPr="00D25564">
        <w:rPr>
          <w:rFonts w:ascii="Times New Roman" w:hAnsi="Times New Roman" w:cs="Times New Roman"/>
          <w:sz w:val="20"/>
          <w:szCs w:val="20"/>
        </w:rPr>
        <w:t xml:space="preserve"> </w:t>
      </w:r>
      <w:r w:rsidRPr="00D25564">
        <w:rPr>
          <w:rFonts w:ascii="Times New Roman" w:hAnsi="Times New Roman" w:cs="Times New Roman"/>
          <w:sz w:val="20"/>
          <w:szCs w:val="20"/>
          <w:lang w:val="es-MX"/>
        </w:rPr>
        <w:t>Lo que no es más que la estimación de la elasticidad precio-precio tipo de cambio.</w:t>
      </w:r>
    </w:p>
  </w:footnote>
  <w:footnote w:id="11">
    <w:p w14:paraId="547F98B7" w14:textId="08D7DCD1" w:rsidR="005D0683" w:rsidRDefault="005D0683">
      <w:pPr>
        <w:pStyle w:val="Textonotapie"/>
        <w:rPr>
          <w:rFonts w:ascii="Times New Roman" w:hAnsi="Times New Roman" w:cs="Times New Roman"/>
        </w:rPr>
      </w:pPr>
      <w:r>
        <w:rPr>
          <w:rStyle w:val="Refdenotaalpie"/>
        </w:rPr>
        <w:footnoteRef/>
      </w:r>
      <w:r>
        <w:t xml:space="preserve"> </w:t>
      </w:r>
      <w:r w:rsidRPr="00A83E0C">
        <w:rPr>
          <w:rFonts w:ascii="Times New Roman" w:hAnsi="Times New Roman" w:cs="Times New Roman"/>
        </w:rPr>
        <w:t>El uso de</w:t>
      </w:r>
      <w:r w:rsidR="00A83E0C" w:rsidRPr="00A83E0C">
        <w:rPr>
          <w:rFonts w:ascii="Times New Roman" w:hAnsi="Times New Roman" w:cs="Times New Roman"/>
        </w:rPr>
        <w:t>l nombre</w:t>
      </w:r>
      <w:r w:rsidRPr="00A83E0C">
        <w:rPr>
          <w:rFonts w:ascii="Times New Roman" w:hAnsi="Times New Roman" w:cs="Times New Roman"/>
        </w:rPr>
        <w:t xml:space="preserve"> </w:t>
      </w:r>
      <w:r w:rsidRPr="00A83E0C">
        <w:rPr>
          <w:rFonts w:ascii="Times New Roman" w:hAnsi="Times New Roman" w:cs="Times New Roman"/>
          <w:i/>
          <w:iCs/>
        </w:rPr>
        <w:t>variable de estado</w:t>
      </w:r>
      <w:r w:rsidRPr="00A83E0C">
        <w:rPr>
          <w:rFonts w:ascii="Times New Roman" w:hAnsi="Times New Roman" w:cs="Times New Roman"/>
        </w:rPr>
        <w:t xml:space="preserve"> es más ampliamente utilizado en los modelos de transición </w:t>
      </w:r>
      <w:r w:rsidR="00A83E0C" w:rsidRPr="00A83E0C">
        <w:rPr>
          <w:rFonts w:ascii="Times New Roman" w:hAnsi="Times New Roman" w:cs="Times New Roman"/>
        </w:rPr>
        <w:t>suave</w:t>
      </w:r>
      <w:r w:rsidR="00A83E0C">
        <w:rPr>
          <w:rFonts w:ascii="Times New Roman" w:hAnsi="Times New Roman" w:cs="Times New Roman"/>
        </w:rPr>
        <w:t>, pese a que su función dentro de modelos que definen el estado del sistema por medio de umbrales sea similar.</w:t>
      </w:r>
    </w:p>
    <w:p w14:paraId="5C3EEEED" w14:textId="77777777" w:rsidR="00D25564" w:rsidRPr="005D0683" w:rsidRDefault="00D25564">
      <w:pPr>
        <w:pStyle w:val="Textonotapie"/>
      </w:pPr>
    </w:p>
  </w:footnote>
  <w:footnote w:id="12">
    <w:p w14:paraId="7DE6EFBA" w14:textId="6FD42856" w:rsidR="00167391" w:rsidRPr="00167391" w:rsidRDefault="00167391">
      <w:pPr>
        <w:pStyle w:val="Textonotapie"/>
      </w:pPr>
      <w:r>
        <w:rPr>
          <w:rStyle w:val="Refdenotaalpie"/>
        </w:rPr>
        <w:footnoteRef/>
      </w:r>
      <w:r>
        <w:t xml:space="preserve"> </w:t>
      </w:r>
      <w:r w:rsidRPr="00363AAD">
        <w:rPr>
          <w:rFonts w:ascii="Times New Roman" w:hAnsi="Times New Roman" w:cs="Times New Roman"/>
        </w:rPr>
        <w:t xml:space="preserve">Es importante hacer notar </w:t>
      </w:r>
      <w:r w:rsidR="00363AAD" w:rsidRPr="00363AAD">
        <w:rPr>
          <w:rFonts w:ascii="Times New Roman" w:hAnsi="Times New Roman" w:cs="Times New Roman"/>
        </w:rPr>
        <w:t>que,</w:t>
      </w:r>
      <w:r w:rsidRPr="00363AAD">
        <w:rPr>
          <w:rFonts w:ascii="Times New Roman" w:hAnsi="Times New Roman" w:cs="Times New Roman"/>
        </w:rPr>
        <w:t xml:space="preserve"> aunque el rezago </w:t>
      </w:r>
      <w:r w:rsidR="00BE0590">
        <w:rPr>
          <w:rFonts w:ascii="Times New Roman" w:hAnsi="Times New Roman" w:cs="Times New Roman"/>
        </w:rPr>
        <w:t>es</w:t>
      </w:r>
      <w:r w:rsidRPr="00363AAD">
        <w:rPr>
          <w:rFonts w:ascii="Times New Roman" w:hAnsi="Times New Roman" w:cs="Times New Roman"/>
        </w:rPr>
        <w:t xml:space="preserve"> el que determine el estado del sistema</w:t>
      </w:r>
      <w:r w:rsidR="00BE0590">
        <w:rPr>
          <w:rFonts w:ascii="Times New Roman" w:hAnsi="Times New Roman" w:cs="Times New Roman"/>
        </w:rPr>
        <w:t xml:space="preserve"> este no es un modelo SETAR</w:t>
      </w:r>
      <w:r w:rsidRPr="00363AAD">
        <w:rPr>
          <w:rFonts w:ascii="Times New Roman" w:hAnsi="Times New Roman" w:cs="Times New Roman"/>
        </w:rPr>
        <w:t xml:space="preserve"> dado que el coeficiente asociado</w:t>
      </w:r>
      <w:r w:rsidR="00BE0590">
        <w:rPr>
          <w:rFonts w:ascii="Times New Roman" w:hAnsi="Times New Roman" w:cs="Times New Roman"/>
        </w:rPr>
        <w:t xml:space="preserve"> al rezago</w:t>
      </w:r>
      <w:r w:rsidRPr="00363AAD">
        <w:rPr>
          <w:rFonts w:ascii="Times New Roman" w:hAnsi="Times New Roman" w:cs="Times New Roman"/>
        </w:rPr>
        <w:t xml:space="preserve"> </w:t>
      </w:r>
      <w:r w:rsidR="00363AAD" w:rsidRPr="00363AAD">
        <w:rPr>
          <w:rFonts w:ascii="Times New Roman" w:hAnsi="Times New Roman" w:cs="Times New Roman"/>
        </w:rPr>
        <w:t>no cambia de un régimen a otro.</w:t>
      </w:r>
    </w:p>
  </w:footnote>
  <w:footnote w:id="13">
    <w:p w14:paraId="07DFCF6C" w14:textId="7560F25B" w:rsidR="002E5FD0" w:rsidRDefault="002E5FD0">
      <w:pPr>
        <w:pStyle w:val="Textonotapie"/>
        <w:rPr>
          <w:rFonts w:ascii="Times New Roman" w:hAnsi="Times New Roman" w:cs="Times New Roman"/>
          <w:lang w:val="es-MX"/>
        </w:rPr>
      </w:pPr>
      <w:r>
        <w:rPr>
          <w:rStyle w:val="Refdenotaalpie"/>
        </w:rPr>
        <w:footnoteRef/>
      </w:r>
      <w:r>
        <w:t xml:space="preserve"> </w:t>
      </w:r>
      <w:r w:rsidRPr="002E5FD0">
        <w:rPr>
          <w:rFonts w:ascii="Times New Roman" w:hAnsi="Times New Roman" w:cs="Times New Roman"/>
          <w:lang w:val="es-MX"/>
        </w:rPr>
        <w:t xml:space="preserve">Se elimina el 15% de las observaciones </w:t>
      </w:r>
      <w:r w:rsidR="007B74F8" w:rsidRPr="002E5FD0">
        <w:rPr>
          <w:rFonts w:ascii="Times New Roman" w:hAnsi="Times New Roman" w:cs="Times New Roman"/>
          <w:lang w:val="es-MX"/>
        </w:rPr>
        <w:t>más</w:t>
      </w:r>
      <w:r w:rsidRPr="002E5FD0">
        <w:rPr>
          <w:rFonts w:ascii="Times New Roman" w:hAnsi="Times New Roman" w:cs="Times New Roman"/>
          <w:lang w:val="es-MX"/>
        </w:rPr>
        <w:t xml:space="preserve"> pequeñas y el 15% de las observacion</w:t>
      </w:r>
      <w:r w:rsidRPr="0008227C">
        <w:rPr>
          <w:rFonts w:ascii="Times New Roman" w:hAnsi="Times New Roman" w:cs="Times New Roman"/>
          <w:lang w:val="es-MX"/>
        </w:rPr>
        <w:t>es más grandes.</w:t>
      </w:r>
      <w:r w:rsidR="003F7D11">
        <w:rPr>
          <w:rFonts w:ascii="Times New Roman" w:hAnsi="Times New Roman" w:cs="Times New Roman"/>
          <w:lang w:val="es-MX"/>
        </w:rPr>
        <w:t xml:space="preserve"> Lo anterior se hace con el fin de poder hacer inferencias sobre los resultados obtenidos.</w:t>
      </w:r>
    </w:p>
    <w:p w14:paraId="233E7B5B" w14:textId="77777777" w:rsidR="00D25564" w:rsidRPr="0008227C" w:rsidRDefault="00D25564">
      <w:pPr>
        <w:pStyle w:val="Textonotapie"/>
        <w:rPr>
          <w:rFonts w:ascii="Times New Roman" w:hAnsi="Times New Roman" w:cs="Times New Roman"/>
          <w:lang w:val="es-MX"/>
        </w:rPr>
      </w:pPr>
    </w:p>
  </w:footnote>
  <w:footnote w:id="14">
    <w:p w14:paraId="1B098C9F" w14:textId="09ED7C7F" w:rsidR="0008227C" w:rsidRPr="0008227C" w:rsidRDefault="0008227C">
      <w:pPr>
        <w:pStyle w:val="Textonotapie"/>
        <w:rPr>
          <w:lang w:val="es-MX"/>
        </w:rPr>
      </w:pPr>
      <w:r w:rsidRPr="0008227C">
        <w:rPr>
          <w:rStyle w:val="Refdenotaalpie"/>
          <w:rFonts w:ascii="Times New Roman" w:hAnsi="Times New Roman" w:cs="Times New Roman"/>
        </w:rPr>
        <w:footnoteRef/>
      </w:r>
      <w:r w:rsidRPr="0008227C">
        <w:rPr>
          <w:rFonts w:ascii="Times New Roman" w:hAnsi="Times New Roman" w:cs="Times New Roman"/>
        </w:rPr>
        <w:t xml:space="preserve"> </w:t>
      </w:r>
      <w:r w:rsidRPr="0008227C">
        <w:rPr>
          <w:rFonts w:ascii="Times New Roman" w:hAnsi="Times New Roman" w:cs="Times New Roman"/>
          <w:lang w:val="es-MX"/>
        </w:rPr>
        <w:t>El uso de variables dummy es similar a la estimación de una regresión categórica.</w:t>
      </w:r>
    </w:p>
  </w:footnote>
  <w:footnote w:id="15">
    <w:p w14:paraId="0971FC89" w14:textId="77777777" w:rsidR="008B66B6" w:rsidRPr="0007020D" w:rsidRDefault="008B66B6" w:rsidP="008B66B6">
      <w:pPr>
        <w:pStyle w:val="Textonotapie"/>
        <w:jc w:val="both"/>
        <w:rPr>
          <w:lang w:val="es-MX"/>
        </w:rPr>
      </w:pPr>
      <w:r>
        <w:rPr>
          <w:rStyle w:val="Refdenotaalpie"/>
        </w:rPr>
        <w:footnoteRef/>
      </w:r>
      <w:r>
        <w:t xml:space="preserve"> </w:t>
      </w:r>
      <w:r w:rsidRPr="0007020D">
        <w:rPr>
          <w:rFonts w:ascii="Times New Roman" w:hAnsi="Times New Roman" w:cs="Times New Roman"/>
          <w:lang w:val="es-MX"/>
        </w:rPr>
        <w:t>La decisión de utilizar el tipo de cambio promedio ponderado de las operaciones de compra y venta en lugar del tipo de cambio de referencia se tomó en consideración de lo expuesto en el artículo 4 de la ley de libre negociación de divisas que establece los usos particulares de este último.</w:t>
      </w:r>
    </w:p>
  </w:footnote>
  <w:footnote w:id="16">
    <w:p w14:paraId="16DE00F2" w14:textId="6BA28483" w:rsidR="00CA5164" w:rsidRDefault="00CA5164">
      <w:pPr>
        <w:pStyle w:val="Textonotapie"/>
        <w:rPr>
          <w:rFonts w:eastAsiaTheme="minorEastAsia"/>
          <w:lang w:val="es-MX"/>
        </w:rPr>
      </w:pPr>
      <w:r>
        <w:rPr>
          <w:rStyle w:val="Refdenotaalpie"/>
        </w:rPr>
        <w:footnoteRef/>
      </w:r>
      <w:r>
        <w:t xml:space="preserve"> </w:t>
      </w:r>
      <w:r>
        <w:rPr>
          <w:lang w:val="es-MX"/>
        </w:rPr>
        <w:t xml:space="preserve">Su calculó se realizó suponiendo que la inflación en términos interanuales persistía a lo largo de un año. </w:t>
      </w:r>
      <m:oMath>
        <m:sSup>
          <m:sSupPr>
            <m:ctrlPr>
              <w:rPr>
                <w:rFonts w:ascii="Cambria Math" w:hAnsi="Cambria Math"/>
                <w:i/>
                <w:lang w:val="es-MX"/>
              </w:rPr>
            </m:ctrlPr>
          </m:sSupPr>
          <m:e>
            <m:d>
              <m:dPr>
                <m:ctrlPr>
                  <w:rPr>
                    <w:rFonts w:ascii="Cambria Math" w:hAnsi="Cambria Math"/>
                    <w:i/>
                    <w:lang w:val="es-MX"/>
                  </w:rPr>
                </m:ctrlPr>
              </m:dPr>
              <m:e>
                <m:r>
                  <w:rPr>
                    <w:rFonts w:ascii="Cambria Math" w:hAnsi="Cambria Math"/>
                    <w:lang w:val="es-MX"/>
                  </w:rPr>
                  <m:t>1+</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intermensual</m:t>
                    </m:r>
                  </m:sub>
                </m:sSub>
              </m:e>
            </m:d>
          </m:e>
          <m:sup>
            <m:r>
              <w:rPr>
                <w:rFonts w:ascii="Cambria Math" w:hAnsi="Cambria Math"/>
                <w:lang w:val="es-MX"/>
              </w:rPr>
              <m:t>12</m:t>
            </m:r>
          </m:sup>
        </m:sSup>
        <m:r>
          <w:rPr>
            <w:rFonts w:ascii="Cambria Math" w:hAnsi="Cambria Math"/>
            <w:lang w:val="es-MX"/>
          </w:rPr>
          <m:t>-1</m:t>
        </m:r>
        <m:r>
          <w:rPr>
            <w:rFonts w:ascii="Cambria Math" w:eastAsiaTheme="minorEastAsia" w:hAnsi="Cambria Math"/>
            <w:lang w:val="es-MX"/>
          </w:rPr>
          <m:t>=</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interanual</m:t>
            </m:r>
          </m:sub>
        </m:sSub>
      </m:oMath>
    </w:p>
    <w:p w14:paraId="54C285C2" w14:textId="77777777" w:rsidR="00D25564" w:rsidRPr="00CA5164" w:rsidRDefault="00D25564">
      <w:pPr>
        <w:pStyle w:val="Textonotapie"/>
        <w:rPr>
          <w:lang w:val="es-MX"/>
        </w:rPr>
      </w:pPr>
    </w:p>
  </w:footnote>
  <w:footnote w:id="17">
    <w:p w14:paraId="390BDED1" w14:textId="2396EFC1" w:rsidR="00AE5C25" w:rsidRPr="003E6C7A" w:rsidRDefault="00AE5C25">
      <w:pPr>
        <w:pStyle w:val="Textonotapie"/>
        <w:rPr>
          <w:rFonts w:ascii="Times New Roman" w:hAnsi="Times New Roman" w:cs="Times New Roman"/>
          <w:lang w:val="es-MX"/>
        </w:rPr>
      </w:pPr>
      <w:r w:rsidRPr="003E6C7A">
        <w:rPr>
          <w:rStyle w:val="Refdenotaalpie"/>
          <w:rFonts w:ascii="Times New Roman" w:hAnsi="Times New Roman" w:cs="Times New Roman"/>
        </w:rPr>
        <w:footnoteRef/>
      </w:r>
      <w:r w:rsidRPr="003E6C7A">
        <w:rPr>
          <w:rFonts w:ascii="Times New Roman" w:hAnsi="Times New Roman" w:cs="Times New Roman"/>
        </w:rPr>
        <w:t xml:space="preserve"> </w:t>
      </w:r>
      <w:r w:rsidRPr="003E6C7A">
        <w:rPr>
          <w:rFonts w:ascii="Times New Roman" w:hAnsi="Times New Roman" w:cs="Times New Roman"/>
          <w:lang w:val="es-MX"/>
        </w:rPr>
        <w:t xml:space="preserve">Los umbrales de inflación intermensual de 0.44% y 0.56% son los que presentaron una menor significancia estadística por lo que se procedió a incluirlos </w:t>
      </w:r>
      <w:r w:rsidR="003E6C7A" w:rsidRPr="003E6C7A">
        <w:rPr>
          <w:rFonts w:ascii="Times New Roman" w:hAnsi="Times New Roman" w:cs="Times New Roman"/>
          <w:lang w:val="es-MX"/>
        </w:rPr>
        <w:t>dentro del régimen de inflación media.</w:t>
      </w:r>
    </w:p>
  </w:footnote>
  <w:footnote w:id="18">
    <w:p w14:paraId="1550EC4C" w14:textId="1B788839" w:rsidR="008F37DF" w:rsidRDefault="008F37DF">
      <w:pPr>
        <w:pStyle w:val="Textonotapie"/>
        <w:rPr>
          <w:rFonts w:ascii="Times New Roman" w:hAnsi="Times New Roman" w:cs="Times New Roman"/>
        </w:rPr>
      </w:pPr>
      <w:r w:rsidRPr="00AA2006">
        <w:rPr>
          <w:rStyle w:val="Refdenotaalpie"/>
          <w:rFonts w:ascii="Times New Roman" w:hAnsi="Times New Roman" w:cs="Times New Roman"/>
        </w:rPr>
        <w:footnoteRef/>
      </w:r>
      <w:r w:rsidRPr="00AA2006">
        <w:rPr>
          <w:rFonts w:ascii="Times New Roman" w:hAnsi="Times New Roman" w:cs="Times New Roman"/>
        </w:rPr>
        <w:t xml:space="preserve"> </w:t>
      </w:r>
      <w:r w:rsidR="00B514E1">
        <w:rPr>
          <w:rFonts w:ascii="Times New Roman" w:hAnsi="Times New Roman" w:cs="Times New Roman"/>
        </w:rPr>
        <w:t xml:space="preserve">Los coeficientes de MCO si la variable </w:t>
      </w:r>
      <w:r w:rsidR="00B514E1">
        <w:rPr>
          <w:rFonts w:ascii="Times New Roman" w:hAnsi="Times New Roman" w:cs="Times New Roman"/>
          <w:i/>
          <w:iCs/>
        </w:rPr>
        <w:t>y</w:t>
      </w:r>
      <w:r w:rsidR="00B514E1">
        <w:rPr>
          <w:rFonts w:ascii="Times New Roman" w:hAnsi="Times New Roman" w:cs="Times New Roman"/>
        </w:rPr>
        <w:t xml:space="preserve"> es la variable respuesta se estiman a partir de la covarianza entre una variable </w:t>
      </w:r>
      <w:r w:rsidR="00B514E1">
        <w:rPr>
          <w:rFonts w:ascii="Times New Roman" w:hAnsi="Times New Roman" w:cs="Times New Roman"/>
          <w:i/>
          <w:iCs/>
        </w:rPr>
        <w:t>x</w:t>
      </w:r>
      <w:r w:rsidR="00B514E1">
        <w:rPr>
          <w:rFonts w:ascii="Times New Roman" w:hAnsi="Times New Roman" w:cs="Times New Roman"/>
        </w:rPr>
        <w:t xml:space="preserve"> con </w:t>
      </w:r>
      <w:r w:rsidR="00B514E1">
        <w:rPr>
          <w:rFonts w:ascii="Times New Roman" w:hAnsi="Times New Roman" w:cs="Times New Roman"/>
          <w:i/>
          <w:iCs/>
        </w:rPr>
        <w:t>y</w:t>
      </w:r>
      <w:r w:rsidR="00B514E1">
        <w:rPr>
          <w:rFonts w:ascii="Times New Roman" w:hAnsi="Times New Roman" w:cs="Times New Roman"/>
        </w:rPr>
        <w:t xml:space="preserve">, y la varianza de </w:t>
      </w:r>
      <w:r w:rsidR="00B514E1">
        <w:rPr>
          <w:rFonts w:ascii="Times New Roman" w:hAnsi="Times New Roman" w:cs="Times New Roman"/>
          <w:i/>
          <w:iCs/>
        </w:rPr>
        <w:t>x</w:t>
      </w:r>
      <w:r w:rsidR="00AA2006" w:rsidRPr="00AA2006">
        <w:rPr>
          <w:rFonts w:ascii="Times New Roman" w:hAnsi="Times New Roman" w:cs="Times New Roman"/>
        </w:rPr>
        <w:t>.</w:t>
      </w:r>
      <w:r w:rsidR="00E03543">
        <w:rPr>
          <w:rFonts w:ascii="Times New Roman" w:hAnsi="Times New Roman" w:cs="Times New Roman"/>
        </w:rPr>
        <w:t xml:space="preserve"> </w:t>
      </w:r>
    </w:p>
    <w:p w14:paraId="0E514BB7" w14:textId="5FD25EE1" w:rsidR="00E03543" w:rsidRDefault="00E03543">
      <w:pPr>
        <w:pStyle w:val="Textonotapie"/>
        <w:rPr>
          <w:rFonts w:ascii="Times New Roman" w:hAnsi="Times New Roman" w:cs="Times New Roman"/>
        </w:rPr>
      </w:pPr>
    </w:p>
    <w:p w14:paraId="248ECECF" w14:textId="52DBE8BF" w:rsidR="00E03543" w:rsidRPr="00AA2006" w:rsidRDefault="00000000">
      <w:pPr>
        <w:pStyle w:val="Textonotapie"/>
        <w:rPr>
          <w:rFonts w:ascii="Times New Roman" w:hAnsi="Times New Roman" w:cs="Times New Roman"/>
          <w:lang w:val="es-MX"/>
        </w:rPr>
      </w:pPr>
      <m:oMathPara>
        <m:oMath>
          <m:sSub>
            <m:sSubPr>
              <m:ctrlPr>
                <w:rPr>
                  <w:rFonts w:ascii="Cambria Math" w:hAnsi="Cambria Math" w:cs="Times New Roman"/>
                  <w:i/>
                  <w:lang w:val="es-MX"/>
                </w:rPr>
              </m:ctrlPr>
            </m:sSubPr>
            <m:e>
              <m:r>
                <w:rPr>
                  <w:rFonts w:ascii="Cambria Math" w:hAnsi="Cambria Math" w:cs="Times New Roman"/>
                  <w:lang w:val="es-MX"/>
                </w:rPr>
                <m:t>β</m:t>
              </m:r>
            </m:e>
            <m:sub>
              <m:r>
                <w:rPr>
                  <w:rFonts w:ascii="Cambria Math" w:hAnsi="Cambria Math" w:cs="Times New Roman"/>
                  <w:lang w:val="es-MX"/>
                </w:rPr>
                <m:t>y</m:t>
              </m:r>
            </m:sub>
          </m:sSub>
          <m:r>
            <w:rPr>
              <w:rFonts w:ascii="Cambria Math" w:hAnsi="Cambria Math" w:cs="Times New Roman"/>
              <w:lang w:val="es-MX"/>
            </w:rPr>
            <m:t>=</m:t>
          </m:r>
          <m:f>
            <m:fPr>
              <m:ctrlPr>
                <w:rPr>
                  <w:rFonts w:ascii="Cambria Math" w:hAnsi="Cambria Math" w:cs="Times New Roman"/>
                  <w:i/>
                  <w:lang w:val="es-MX"/>
                </w:rPr>
              </m:ctrlPr>
            </m:fPr>
            <m:num>
              <m:r>
                <w:rPr>
                  <w:rFonts w:ascii="Cambria Math" w:hAnsi="Cambria Math" w:cs="Times New Roman"/>
                  <w:lang w:val="es-MX"/>
                </w:rPr>
                <m:t>Cov(y,x)</m:t>
              </m:r>
            </m:num>
            <m:den>
              <m:r>
                <w:rPr>
                  <w:rFonts w:ascii="Cambria Math" w:hAnsi="Cambria Math" w:cs="Times New Roman"/>
                  <w:lang w:val="es-MX"/>
                </w:rPr>
                <m:t>Var(x)</m:t>
              </m:r>
            </m:den>
          </m:f>
        </m:oMath>
      </m:oMathPara>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2118" w14:textId="77777777" w:rsidR="00792F70" w:rsidRDefault="00792F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F342" w14:textId="77777777" w:rsidR="00792F70" w:rsidRDefault="00792F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E6455"/>
    <w:multiLevelType w:val="hybridMultilevel"/>
    <w:tmpl w:val="22D4A3DE"/>
    <w:lvl w:ilvl="0" w:tplc="F60CEA6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355F47FF"/>
    <w:multiLevelType w:val="multilevel"/>
    <w:tmpl w:val="B2D2A5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3436975">
    <w:abstractNumId w:val="1"/>
  </w:num>
  <w:num w:numId="2" w16cid:durableId="2130051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B15"/>
    <w:rsid w:val="00003FCB"/>
    <w:rsid w:val="000059FA"/>
    <w:rsid w:val="0003332F"/>
    <w:rsid w:val="00034D67"/>
    <w:rsid w:val="0004116A"/>
    <w:rsid w:val="00051002"/>
    <w:rsid w:val="0005262D"/>
    <w:rsid w:val="000610E6"/>
    <w:rsid w:val="000656EA"/>
    <w:rsid w:val="00066C5C"/>
    <w:rsid w:val="0007020D"/>
    <w:rsid w:val="000710EE"/>
    <w:rsid w:val="00072953"/>
    <w:rsid w:val="00072A44"/>
    <w:rsid w:val="00076A5A"/>
    <w:rsid w:val="00076A5E"/>
    <w:rsid w:val="00081BAE"/>
    <w:rsid w:val="00081F86"/>
    <w:rsid w:val="0008227C"/>
    <w:rsid w:val="000908BF"/>
    <w:rsid w:val="00091C27"/>
    <w:rsid w:val="0009410E"/>
    <w:rsid w:val="000950C6"/>
    <w:rsid w:val="000A3B48"/>
    <w:rsid w:val="000B0C5D"/>
    <w:rsid w:val="000B3F2A"/>
    <w:rsid w:val="000B4CE6"/>
    <w:rsid w:val="000B62EC"/>
    <w:rsid w:val="000B7FCC"/>
    <w:rsid w:val="000C1C8A"/>
    <w:rsid w:val="000C3222"/>
    <w:rsid w:val="000C43EF"/>
    <w:rsid w:val="000C7BF7"/>
    <w:rsid w:val="000C7F5A"/>
    <w:rsid w:val="000D039F"/>
    <w:rsid w:val="000D0E5F"/>
    <w:rsid w:val="000E7AF7"/>
    <w:rsid w:val="000F0031"/>
    <w:rsid w:val="000F4B34"/>
    <w:rsid w:val="000F523F"/>
    <w:rsid w:val="001003BE"/>
    <w:rsid w:val="00101F14"/>
    <w:rsid w:val="0011030E"/>
    <w:rsid w:val="00114106"/>
    <w:rsid w:val="001144C1"/>
    <w:rsid w:val="0011634E"/>
    <w:rsid w:val="00127777"/>
    <w:rsid w:val="00143946"/>
    <w:rsid w:val="00151E9B"/>
    <w:rsid w:val="00153D46"/>
    <w:rsid w:val="001546FB"/>
    <w:rsid w:val="001558C7"/>
    <w:rsid w:val="00157501"/>
    <w:rsid w:val="00157829"/>
    <w:rsid w:val="00167391"/>
    <w:rsid w:val="00172EB0"/>
    <w:rsid w:val="001823DC"/>
    <w:rsid w:val="001853CA"/>
    <w:rsid w:val="00186890"/>
    <w:rsid w:val="00187BEF"/>
    <w:rsid w:val="001970B1"/>
    <w:rsid w:val="001A5E9A"/>
    <w:rsid w:val="001A7652"/>
    <w:rsid w:val="001B3ECE"/>
    <w:rsid w:val="001C6BC9"/>
    <w:rsid w:val="001D1582"/>
    <w:rsid w:val="001D1765"/>
    <w:rsid w:val="001D5363"/>
    <w:rsid w:val="001D6137"/>
    <w:rsid w:val="001E02F5"/>
    <w:rsid w:val="001E1704"/>
    <w:rsid w:val="001E2559"/>
    <w:rsid w:val="001E44B9"/>
    <w:rsid w:val="001F042B"/>
    <w:rsid w:val="00200FC7"/>
    <w:rsid w:val="002036A9"/>
    <w:rsid w:val="00214B08"/>
    <w:rsid w:val="002152E2"/>
    <w:rsid w:val="00216D9D"/>
    <w:rsid w:val="0022427B"/>
    <w:rsid w:val="002246AD"/>
    <w:rsid w:val="00225D7B"/>
    <w:rsid w:val="00227A97"/>
    <w:rsid w:val="00235151"/>
    <w:rsid w:val="00235EC5"/>
    <w:rsid w:val="002377FE"/>
    <w:rsid w:val="00241708"/>
    <w:rsid w:val="00242DDD"/>
    <w:rsid w:val="00256029"/>
    <w:rsid w:val="002657CB"/>
    <w:rsid w:val="00266549"/>
    <w:rsid w:val="002712AC"/>
    <w:rsid w:val="002756DD"/>
    <w:rsid w:val="0028050B"/>
    <w:rsid w:val="00282E72"/>
    <w:rsid w:val="00290866"/>
    <w:rsid w:val="002A2402"/>
    <w:rsid w:val="002A48BA"/>
    <w:rsid w:val="002A48CD"/>
    <w:rsid w:val="002A4913"/>
    <w:rsid w:val="002A737D"/>
    <w:rsid w:val="002B1CAB"/>
    <w:rsid w:val="002B5C93"/>
    <w:rsid w:val="002B68D4"/>
    <w:rsid w:val="002C1342"/>
    <w:rsid w:val="002C324E"/>
    <w:rsid w:val="002D531E"/>
    <w:rsid w:val="002D642B"/>
    <w:rsid w:val="002E1523"/>
    <w:rsid w:val="002E3CFC"/>
    <w:rsid w:val="002E4E39"/>
    <w:rsid w:val="002E59CC"/>
    <w:rsid w:val="002E5FD0"/>
    <w:rsid w:val="002E748C"/>
    <w:rsid w:val="002F1E80"/>
    <w:rsid w:val="002F4916"/>
    <w:rsid w:val="00300F24"/>
    <w:rsid w:val="0030316A"/>
    <w:rsid w:val="00303214"/>
    <w:rsid w:val="00303E86"/>
    <w:rsid w:val="00310121"/>
    <w:rsid w:val="00310869"/>
    <w:rsid w:val="00311143"/>
    <w:rsid w:val="00322742"/>
    <w:rsid w:val="003257C9"/>
    <w:rsid w:val="003275EE"/>
    <w:rsid w:val="003366EC"/>
    <w:rsid w:val="00340A20"/>
    <w:rsid w:val="00343657"/>
    <w:rsid w:val="0034697C"/>
    <w:rsid w:val="00352005"/>
    <w:rsid w:val="0035205D"/>
    <w:rsid w:val="00363AAD"/>
    <w:rsid w:val="00370394"/>
    <w:rsid w:val="00370CA7"/>
    <w:rsid w:val="003769A8"/>
    <w:rsid w:val="0039022D"/>
    <w:rsid w:val="003A1156"/>
    <w:rsid w:val="003A3C2A"/>
    <w:rsid w:val="003A6859"/>
    <w:rsid w:val="003A716F"/>
    <w:rsid w:val="003B181A"/>
    <w:rsid w:val="003B43DE"/>
    <w:rsid w:val="003B58AD"/>
    <w:rsid w:val="003B6B09"/>
    <w:rsid w:val="003C2161"/>
    <w:rsid w:val="003C454A"/>
    <w:rsid w:val="003D3B8C"/>
    <w:rsid w:val="003D68EB"/>
    <w:rsid w:val="003E0295"/>
    <w:rsid w:val="003E1B51"/>
    <w:rsid w:val="003E6C7A"/>
    <w:rsid w:val="003F569E"/>
    <w:rsid w:val="003F7D11"/>
    <w:rsid w:val="00401FF5"/>
    <w:rsid w:val="0040709E"/>
    <w:rsid w:val="00410B61"/>
    <w:rsid w:val="0041255C"/>
    <w:rsid w:val="00415965"/>
    <w:rsid w:val="00417204"/>
    <w:rsid w:val="00420C22"/>
    <w:rsid w:val="00427D36"/>
    <w:rsid w:val="004360EC"/>
    <w:rsid w:val="00436DEC"/>
    <w:rsid w:val="00443AF7"/>
    <w:rsid w:val="00445DCC"/>
    <w:rsid w:val="00446EE8"/>
    <w:rsid w:val="00447634"/>
    <w:rsid w:val="004573FE"/>
    <w:rsid w:val="0046113B"/>
    <w:rsid w:val="00465D52"/>
    <w:rsid w:val="00467B54"/>
    <w:rsid w:val="00471DCE"/>
    <w:rsid w:val="00481890"/>
    <w:rsid w:val="004857BB"/>
    <w:rsid w:val="00487FA9"/>
    <w:rsid w:val="004924ED"/>
    <w:rsid w:val="004A0D37"/>
    <w:rsid w:val="004A2C57"/>
    <w:rsid w:val="004A3C1E"/>
    <w:rsid w:val="004B1626"/>
    <w:rsid w:val="004B5E91"/>
    <w:rsid w:val="004B7E0D"/>
    <w:rsid w:val="004D1CDB"/>
    <w:rsid w:val="004D329F"/>
    <w:rsid w:val="004D67C7"/>
    <w:rsid w:val="004D696C"/>
    <w:rsid w:val="004E436D"/>
    <w:rsid w:val="004E4DED"/>
    <w:rsid w:val="004F5DAA"/>
    <w:rsid w:val="00500991"/>
    <w:rsid w:val="00502C1F"/>
    <w:rsid w:val="00504EA3"/>
    <w:rsid w:val="005126DB"/>
    <w:rsid w:val="005149EB"/>
    <w:rsid w:val="00516C4E"/>
    <w:rsid w:val="005202E7"/>
    <w:rsid w:val="00534382"/>
    <w:rsid w:val="0055059C"/>
    <w:rsid w:val="005624A5"/>
    <w:rsid w:val="005660C9"/>
    <w:rsid w:val="00572FC7"/>
    <w:rsid w:val="005809B1"/>
    <w:rsid w:val="005836E6"/>
    <w:rsid w:val="00584415"/>
    <w:rsid w:val="00584A65"/>
    <w:rsid w:val="005852F7"/>
    <w:rsid w:val="005916E7"/>
    <w:rsid w:val="00593C1A"/>
    <w:rsid w:val="005A1202"/>
    <w:rsid w:val="005A3E51"/>
    <w:rsid w:val="005B22D8"/>
    <w:rsid w:val="005C0714"/>
    <w:rsid w:val="005C0DDB"/>
    <w:rsid w:val="005C2D67"/>
    <w:rsid w:val="005C5D3D"/>
    <w:rsid w:val="005D0683"/>
    <w:rsid w:val="005D2A05"/>
    <w:rsid w:val="005F6E23"/>
    <w:rsid w:val="005F6F74"/>
    <w:rsid w:val="00600BB9"/>
    <w:rsid w:val="00601425"/>
    <w:rsid w:val="0060244B"/>
    <w:rsid w:val="00603739"/>
    <w:rsid w:val="0061385E"/>
    <w:rsid w:val="0061520A"/>
    <w:rsid w:val="00616FCA"/>
    <w:rsid w:val="006173DB"/>
    <w:rsid w:val="00624C8D"/>
    <w:rsid w:val="00626B71"/>
    <w:rsid w:val="006348C5"/>
    <w:rsid w:val="00642E64"/>
    <w:rsid w:val="006504FD"/>
    <w:rsid w:val="0065373B"/>
    <w:rsid w:val="00653C14"/>
    <w:rsid w:val="00656C78"/>
    <w:rsid w:val="006572EF"/>
    <w:rsid w:val="006608AA"/>
    <w:rsid w:val="006702D0"/>
    <w:rsid w:val="006737C0"/>
    <w:rsid w:val="00682ABD"/>
    <w:rsid w:val="00686ECC"/>
    <w:rsid w:val="0069183E"/>
    <w:rsid w:val="006A3897"/>
    <w:rsid w:val="006B4E21"/>
    <w:rsid w:val="006B7E86"/>
    <w:rsid w:val="006C4408"/>
    <w:rsid w:val="006D321B"/>
    <w:rsid w:val="006D6F4B"/>
    <w:rsid w:val="006D7198"/>
    <w:rsid w:val="006E4612"/>
    <w:rsid w:val="006F1288"/>
    <w:rsid w:val="006F3E0D"/>
    <w:rsid w:val="006F736A"/>
    <w:rsid w:val="006F75CF"/>
    <w:rsid w:val="00704A6A"/>
    <w:rsid w:val="00710C25"/>
    <w:rsid w:val="007158AA"/>
    <w:rsid w:val="0072166C"/>
    <w:rsid w:val="007240C6"/>
    <w:rsid w:val="0072740C"/>
    <w:rsid w:val="00732EAC"/>
    <w:rsid w:val="00747198"/>
    <w:rsid w:val="007623B4"/>
    <w:rsid w:val="00765EC0"/>
    <w:rsid w:val="00766DC4"/>
    <w:rsid w:val="00770530"/>
    <w:rsid w:val="0077217F"/>
    <w:rsid w:val="00781EF8"/>
    <w:rsid w:val="00792F70"/>
    <w:rsid w:val="00795813"/>
    <w:rsid w:val="0079596C"/>
    <w:rsid w:val="007A09FA"/>
    <w:rsid w:val="007A0F73"/>
    <w:rsid w:val="007A2341"/>
    <w:rsid w:val="007A62A2"/>
    <w:rsid w:val="007B74F8"/>
    <w:rsid w:val="007C383E"/>
    <w:rsid w:val="007C3D6F"/>
    <w:rsid w:val="007D18B4"/>
    <w:rsid w:val="007E0BC1"/>
    <w:rsid w:val="007E1BF4"/>
    <w:rsid w:val="007E4FA0"/>
    <w:rsid w:val="007E61EE"/>
    <w:rsid w:val="007F070B"/>
    <w:rsid w:val="0080021E"/>
    <w:rsid w:val="008017E8"/>
    <w:rsid w:val="00802F74"/>
    <w:rsid w:val="0080366C"/>
    <w:rsid w:val="00806B7A"/>
    <w:rsid w:val="0080738E"/>
    <w:rsid w:val="00814661"/>
    <w:rsid w:val="008228C7"/>
    <w:rsid w:val="0082341F"/>
    <w:rsid w:val="00825109"/>
    <w:rsid w:val="0082698C"/>
    <w:rsid w:val="00834F6A"/>
    <w:rsid w:val="008369E6"/>
    <w:rsid w:val="00844192"/>
    <w:rsid w:val="00852F7F"/>
    <w:rsid w:val="00854806"/>
    <w:rsid w:val="00863D1E"/>
    <w:rsid w:val="00871AD1"/>
    <w:rsid w:val="00882CEC"/>
    <w:rsid w:val="00883A88"/>
    <w:rsid w:val="008A4407"/>
    <w:rsid w:val="008A4FAD"/>
    <w:rsid w:val="008A5E2D"/>
    <w:rsid w:val="008B2E32"/>
    <w:rsid w:val="008B66B6"/>
    <w:rsid w:val="008C2F46"/>
    <w:rsid w:val="008C62A4"/>
    <w:rsid w:val="008D01B9"/>
    <w:rsid w:val="008D1843"/>
    <w:rsid w:val="008D687C"/>
    <w:rsid w:val="008E651C"/>
    <w:rsid w:val="008F0AEB"/>
    <w:rsid w:val="008F26B1"/>
    <w:rsid w:val="008F37DF"/>
    <w:rsid w:val="008F4809"/>
    <w:rsid w:val="008F4C94"/>
    <w:rsid w:val="00902AB8"/>
    <w:rsid w:val="00903A2A"/>
    <w:rsid w:val="00905A9D"/>
    <w:rsid w:val="00920E1C"/>
    <w:rsid w:val="009306A2"/>
    <w:rsid w:val="00932EC3"/>
    <w:rsid w:val="00933B87"/>
    <w:rsid w:val="009345D3"/>
    <w:rsid w:val="00942635"/>
    <w:rsid w:val="00944890"/>
    <w:rsid w:val="00944B7F"/>
    <w:rsid w:val="00944C32"/>
    <w:rsid w:val="009455B6"/>
    <w:rsid w:val="009602B3"/>
    <w:rsid w:val="00964105"/>
    <w:rsid w:val="00965DB4"/>
    <w:rsid w:val="009675CA"/>
    <w:rsid w:val="00971981"/>
    <w:rsid w:val="00977C24"/>
    <w:rsid w:val="00980970"/>
    <w:rsid w:val="00980A7B"/>
    <w:rsid w:val="009934AE"/>
    <w:rsid w:val="00994154"/>
    <w:rsid w:val="00994743"/>
    <w:rsid w:val="009A2EB2"/>
    <w:rsid w:val="009A7B5E"/>
    <w:rsid w:val="009B0BBF"/>
    <w:rsid w:val="009B6D16"/>
    <w:rsid w:val="009B6DA2"/>
    <w:rsid w:val="009C39DA"/>
    <w:rsid w:val="009C50B9"/>
    <w:rsid w:val="009D15B4"/>
    <w:rsid w:val="009D51C1"/>
    <w:rsid w:val="009D6F6F"/>
    <w:rsid w:val="009D732B"/>
    <w:rsid w:val="009F7684"/>
    <w:rsid w:val="00A024F1"/>
    <w:rsid w:val="00A03F0D"/>
    <w:rsid w:val="00A06AE7"/>
    <w:rsid w:val="00A105E8"/>
    <w:rsid w:val="00A10AA7"/>
    <w:rsid w:val="00A10E02"/>
    <w:rsid w:val="00A16ACA"/>
    <w:rsid w:val="00A23047"/>
    <w:rsid w:val="00A23F2B"/>
    <w:rsid w:val="00A26779"/>
    <w:rsid w:val="00A27922"/>
    <w:rsid w:val="00A302CF"/>
    <w:rsid w:val="00A32A41"/>
    <w:rsid w:val="00A4465E"/>
    <w:rsid w:val="00A44F7F"/>
    <w:rsid w:val="00A47751"/>
    <w:rsid w:val="00A71CD1"/>
    <w:rsid w:val="00A77E60"/>
    <w:rsid w:val="00A80180"/>
    <w:rsid w:val="00A83E0C"/>
    <w:rsid w:val="00A84CB4"/>
    <w:rsid w:val="00A85A17"/>
    <w:rsid w:val="00A937FA"/>
    <w:rsid w:val="00AA2006"/>
    <w:rsid w:val="00AA3DB5"/>
    <w:rsid w:val="00AA5186"/>
    <w:rsid w:val="00AB0762"/>
    <w:rsid w:val="00AB2D7B"/>
    <w:rsid w:val="00AC3239"/>
    <w:rsid w:val="00AC5B19"/>
    <w:rsid w:val="00AC656B"/>
    <w:rsid w:val="00AD483B"/>
    <w:rsid w:val="00AE5C25"/>
    <w:rsid w:val="00AF14FB"/>
    <w:rsid w:val="00AF1DFD"/>
    <w:rsid w:val="00AF3A5E"/>
    <w:rsid w:val="00AF64BA"/>
    <w:rsid w:val="00AF7DBE"/>
    <w:rsid w:val="00B020AD"/>
    <w:rsid w:val="00B023D7"/>
    <w:rsid w:val="00B1458E"/>
    <w:rsid w:val="00B17E0F"/>
    <w:rsid w:val="00B23072"/>
    <w:rsid w:val="00B25662"/>
    <w:rsid w:val="00B264E0"/>
    <w:rsid w:val="00B27094"/>
    <w:rsid w:val="00B27A39"/>
    <w:rsid w:val="00B30255"/>
    <w:rsid w:val="00B30FB7"/>
    <w:rsid w:val="00B35E07"/>
    <w:rsid w:val="00B43044"/>
    <w:rsid w:val="00B514E1"/>
    <w:rsid w:val="00B51EE2"/>
    <w:rsid w:val="00B52913"/>
    <w:rsid w:val="00B53E78"/>
    <w:rsid w:val="00B60611"/>
    <w:rsid w:val="00B62A57"/>
    <w:rsid w:val="00B63EFA"/>
    <w:rsid w:val="00B71ADE"/>
    <w:rsid w:val="00B71BB4"/>
    <w:rsid w:val="00B769DF"/>
    <w:rsid w:val="00B773D5"/>
    <w:rsid w:val="00B86DFC"/>
    <w:rsid w:val="00B935F3"/>
    <w:rsid w:val="00B9594C"/>
    <w:rsid w:val="00BA6369"/>
    <w:rsid w:val="00BA7C75"/>
    <w:rsid w:val="00BB25AD"/>
    <w:rsid w:val="00BB7747"/>
    <w:rsid w:val="00BC0656"/>
    <w:rsid w:val="00BC5324"/>
    <w:rsid w:val="00BD0894"/>
    <w:rsid w:val="00BE0590"/>
    <w:rsid w:val="00BE0715"/>
    <w:rsid w:val="00BE22D3"/>
    <w:rsid w:val="00BE2C37"/>
    <w:rsid w:val="00BF0CF5"/>
    <w:rsid w:val="00BF6807"/>
    <w:rsid w:val="00BF69E2"/>
    <w:rsid w:val="00BF73DC"/>
    <w:rsid w:val="00C1312C"/>
    <w:rsid w:val="00C13370"/>
    <w:rsid w:val="00C13F4D"/>
    <w:rsid w:val="00C14F7A"/>
    <w:rsid w:val="00C203B5"/>
    <w:rsid w:val="00C21E4C"/>
    <w:rsid w:val="00C24084"/>
    <w:rsid w:val="00C24B9E"/>
    <w:rsid w:val="00C439D4"/>
    <w:rsid w:val="00C4572A"/>
    <w:rsid w:val="00C46D9B"/>
    <w:rsid w:val="00C5115E"/>
    <w:rsid w:val="00C5212B"/>
    <w:rsid w:val="00C52D00"/>
    <w:rsid w:val="00C55814"/>
    <w:rsid w:val="00C609FA"/>
    <w:rsid w:val="00C72F3F"/>
    <w:rsid w:val="00C80094"/>
    <w:rsid w:val="00C804CD"/>
    <w:rsid w:val="00C80A37"/>
    <w:rsid w:val="00CA5164"/>
    <w:rsid w:val="00CA5186"/>
    <w:rsid w:val="00CC11E8"/>
    <w:rsid w:val="00CC42FE"/>
    <w:rsid w:val="00CC690F"/>
    <w:rsid w:val="00CE0A5A"/>
    <w:rsid w:val="00CE161E"/>
    <w:rsid w:val="00CE67AD"/>
    <w:rsid w:val="00CF27FE"/>
    <w:rsid w:val="00CF6845"/>
    <w:rsid w:val="00CF7F16"/>
    <w:rsid w:val="00D03101"/>
    <w:rsid w:val="00D066D9"/>
    <w:rsid w:val="00D15963"/>
    <w:rsid w:val="00D221CF"/>
    <w:rsid w:val="00D25564"/>
    <w:rsid w:val="00D31B23"/>
    <w:rsid w:val="00D4649C"/>
    <w:rsid w:val="00D500BB"/>
    <w:rsid w:val="00D50226"/>
    <w:rsid w:val="00D53066"/>
    <w:rsid w:val="00D547F5"/>
    <w:rsid w:val="00D5507D"/>
    <w:rsid w:val="00D5760A"/>
    <w:rsid w:val="00D61943"/>
    <w:rsid w:val="00D61CE4"/>
    <w:rsid w:val="00D65238"/>
    <w:rsid w:val="00D71020"/>
    <w:rsid w:val="00D713D9"/>
    <w:rsid w:val="00D847DB"/>
    <w:rsid w:val="00D85485"/>
    <w:rsid w:val="00D868CE"/>
    <w:rsid w:val="00D87510"/>
    <w:rsid w:val="00D951BC"/>
    <w:rsid w:val="00D95305"/>
    <w:rsid w:val="00D96900"/>
    <w:rsid w:val="00DA1312"/>
    <w:rsid w:val="00DA7301"/>
    <w:rsid w:val="00DB0D56"/>
    <w:rsid w:val="00DB3DFD"/>
    <w:rsid w:val="00DC0276"/>
    <w:rsid w:val="00DC250A"/>
    <w:rsid w:val="00DD1531"/>
    <w:rsid w:val="00DE121D"/>
    <w:rsid w:val="00DE35F0"/>
    <w:rsid w:val="00DE4A1D"/>
    <w:rsid w:val="00DE4C6A"/>
    <w:rsid w:val="00E01D52"/>
    <w:rsid w:val="00E03543"/>
    <w:rsid w:val="00E06145"/>
    <w:rsid w:val="00E129FD"/>
    <w:rsid w:val="00E17B26"/>
    <w:rsid w:val="00E312FD"/>
    <w:rsid w:val="00E334A9"/>
    <w:rsid w:val="00E33C2A"/>
    <w:rsid w:val="00E413DE"/>
    <w:rsid w:val="00E60E35"/>
    <w:rsid w:val="00E64B55"/>
    <w:rsid w:val="00E65590"/>
    <w:rsid w:val="00E7260A"/>
    <w:rsid w:val="00E72E61"/>
    <w:rsid w:val="00E7484C"/>
    <w:rsid w:val="00E75427"/>
    <w:rsid w:val="00E80C84"/>
    <w:rsid w:val="00E80E8D"/>
    <w:rsid w:val="00E82738"/>
    <w:rsid w:val="00E909DF"/>
    <w:rsid w:val="00E91018"/>
    <w:rsid w:val="00E97D52"/>
    <w:rsid w:val="00EA282A"/>
    <w:rsid w:val="00EB0462"/>
    <w:rsid w:val="00EB2007"/>
    <w:rsid w:val="00EB7A13"/>
    <w:rsid w:val="00EB7A4B"/>
    <w:rsid w:val="00EC1D11"/>
    <w:rsid w:val="00EC2366"/>
    <w:rsid w:val="00EC3559"/>
    <w:rsid w:val="00EC401A"/>
    <w:rsid w:val="00EC6C63"/>
    <w:rsid w:val="00EC726D"/>
    <w:rsid w:val="00ED0D24"/>
    <w:rsid w:val="00ED1CC2"/>
    <w:rsid w:val="00EE4CDC"/>
    <w:rsid w:val="00EF3EB9"/>
    <w:rsid w:val="00EF586A"/>
    <w:rsid w:val="00F0332D"/>
    <w:rsid w:val="00F0629A"/>
    <w:rsid w:val="00F12261"/>
    <w:rsid w:val="00F31BA9"/>
    <w:rsid w:val="00F3491C"/>
    <w:rsid w:val="00F45581"/>
    <w:rsid w:val="00F4641E"/>
    <w:rsid w:val="00F51692"/>
    <w:rsid w:val="00F53198"/>
    <w:rsid w:val="00F6022E"/>
    <w:rsid w:val="00F64615"/>
    <w:rsid w:val="00F65318"/>
    <w:rsid w:val="00F65AB1"/>
    <w:rsid w:val="00F67B05"/>
    <w:rsid w:val="00F70118"/>
    <w:rsid w:val="00F74E6A"/>
    <w:rsid w:val="00F768AA"/>
    <w:rsid w:val="00F80C8E"/>
    <w:rsid w:val="00F81206"/>
    <w:rsid w:val="00F81FDE"/>
    <w:rsid w:val="00F8505B"/>
    <w:rsid w:val="00F904CC"/>
    <w:rsid w:val="00F95192"/>
    <w:rsid w:val="00F9646B"/>
    <w:rsid w:val="00FA2EC3"/>
    <w:rsid w:val="00FA3EB1"/>
    <w:rsid w:val="00FB440B"/>
    <w:rsid w:val="00FD3D08"/>
    <w:rsid w:val="00FD5A02"/>
    <w:rsid w:val="00FE029B"/>
    <w:rsid w:val="00FE0C7A"/>
    <w:rsid w:val="00FE24DC"/>
    <w:rsid w:val="00FE4BE2"/>
    <w:rsid w:val="00FE5621"/>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 w:type="character" w:styleId="Hipervnculo">
    <w:name w:val="Hyperlink"/>
    <w:basedOn w:val="Fuentedeprrafopredeter"/>
    <w:uiPriority w:val="99"/>
    <w:unhideWhenUsed/>
    <w:rsid w:val="00854806"/>
    <w:rPr>
      <w:color w:val="0563C1" w:themeColor="hyperlink"/>
      <w:u w:val="single"/>
    </w:rPr>
  </w:style>
  <w:style w:type="character" w:styleId="Mencinsinresolver">
    <w:name w:val="Unresolved Mention"/>
    <w:basedOn w:val="Fuentedeprrafopredeter"/>
    <w:uiPriority w:val="99"/>
    <w:semiHidden/>
    <w:unhideWhenUsed/>
    <w:rsid w:val="00854806"/>
    <w:rPr>
      <w:color w:val="605E5C"/>
      <w:shd w:val="clear" w:color="auto" w:fill="E1DFDD"/>
    </w:rPr>
  </w:style>
  <w:style w:type="paragraph" w:styleId="TtuloTDC">
    <w:name w:val="TOC Heading"/>
    <w:basedOn w:val="Ttulo1"/>
    <w:next w:val="Normal"/>
    <w:uiPriority w:val="39"/>
    <w:unhideWhenUsed/>
    <w:qFormat/>
    <w:rsid w:val="00792F70"/>
    <w:pPr>
      <w:outlineLvl w:val="9"/>
    </w:pPr>
    <w:rPr>
      <w:lang w:eastAsia="es-GT"/>
    </w:rPr>
  </w:style>
  <w:style w:type="paragraph" w:styleId="TDC1">
    <w:name w:val="toc 1"/>
    <w:basedOn w:val="Normal"/>
    <w:next w:val="Normal"/>
    <w:autoRedefine/>
    <w:uiPriority w:val="39"/>
    <w:unhideWhenUsed/>
    <w:rsid w:val="00792F70"/>
    <w:pPr>
      <w:spacing w:after="100"/>
    </w:pPr>
  </w:style>
  <w:style w:type="paragraph" w:styleId="TDC2">
    <w:name w:val="toc 2"/>
    <w:basedOn w:val="Normal"/>
    <w:next w:val="Normal"/>
    <w:autoRedefine/>
    <w:uiPriority w:val="39"/>
    <w:unhideWhenUsed/>
    <w:rsid w:val="00792F70"/>
    <w:pPr>
      <w:spacing w:after="100"/>
      <w:ind w:left="220"/>
    </w:pPr>
  </w:style>
  <w:style w:type="paragraph" w:styleId="TDC3">
    <w:name w:val="toc 3"/>
    <w:basedOn w:val="Normal"/>
    <w:next w:val="Normal"/>
    <w:autoRedefine/>
    <w:uiPriority w:val="39"/>
    <w:unhideWhenUsed/>
    <w:rsid w:val="00792F70"/>
    <w:pPr>
      <w:spacing w:after="100"/>
      <w:ind w:left="440"/>
    </w:pPr>
  </w:style>
  <w:style w:type="paragraph" w:styleId="Encabezado">
    <w:name w:val="header"/>
    <w:basedOn w:val="Normal"/>
    <w:link w:val="EncabezadoCar"/>
    <w:uiPriority w:val="99"/>
    <w:unhideWhenUsed/>
    <w:rsid w:val="00792F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2F70"/>
  </w:style>
  <w:style w:type="paragraph" w:styleId="Piedepgina">
    <w:name w:val="footer"/>
    <w:basedOn w:val="Normal"/>
    <w:link w:val="PiedepginaCar"/>
    <w:uiPriority w:val="99"/>
    <w:unhideWhenUsed/>
    <w:rsid w:val="00792F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2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80909267">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567498356">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19867919">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864749618">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 w:id="1896314581">
      <w:bodyDiv w:val="1"/>
      <w:marLeft w:val="0"/>
      <w:marRight w:val="0"/>
      <w:marTop w:val="0"/>
      <w:marBottom w:val="0"/>
      <w:divBdr>
        <w:top w:val="none" w:sz="0" w:space="0" w:color="auto"/>
        <w:left w:val="none" w:sz="0" w:space="0" w:color="auto"/>
        <w:bottom w:val="none" w:sz="0" w:space="0" w:color="auto"/>
        <w:right w:val="none" w:sz="0" w:space="0" w:color="auto"/>
      </w:divBdr>
    </w:div>
    <w:div w:id="205384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jorgeorenos.github.io/ajuste-TAR/" TargetMode="Externa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jorgeorenos.github.io/serie-IMA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2</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3</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4</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5</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6</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7</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8</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9</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10</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11</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12</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13</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14</b:RefOrder>
  </b:Source>
  <b:Source>
    <b:Tag>Mis07</b:Tag>
    <b:SourceType>Book</b:SourceType>
    <b:Guid>{39A5BF44-C1E0-4415-9C4D-E61485FA29A2}</b:Guid>
    <b:Title>Monetary Policy Strategy</b:Title>
    <b:Year>2007</b:Year>
    <b:Author>
      <b:Author>
        <b:NameList>
          <b:Person>
            <b:Last>Mishkin</b:Last>
            <b:First>Frederic</b:First>
          </b:Person>
        </b:NameList>
      </b:Author>
    </b:Author>
    <b:RefOrder>15</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1</b:RefOrder>
  </b:Source>
  <b:Source>
    <b:Tag>Ley00</b:Tag>
    <b:SourceType>Book</b:SourceType>
    <b:Guid>{C1052D94-3C59-4AB1-88CE-3D7FE8E07CE0}</b:Guid>
    <b:Title>Decreto 94-2000</b:Title>
    <b:Year>2000</b:Year>
    <b:Author>
      <b:Author>
        <b:NameList>
          <b:Person>
            <b:Last>Ley de Libre Negociación de Divisas</b:Last>
          </b:Person>
        </b:NameList>
      </b:Author>
    </b:Author>
    <b:RefOrder>16</b:RefOrder>
  </b:Source>
  <b:Source>
    <b:Tag>Jun11</b:Tag>
    <b:SourceType>Book</b:SourceType>
    <b:Guid>{00B61A56-0225-4731-9E71-700E2B147009}</b:Guid>
    <b:Title>Resolución 171-2011</b:Title>
    <b:Year>2011</b:Year>
    <b:Author>
      <b:Author>
        <b:NameList>
          <b:Person>
            <b:First>Junata Monetaria</b:First>
          </b:Person>
        </b:NameList>
      </b:Author>
    </b:Author>
    <b:RefOrder>17</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18</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19</b:RefOrder>
  </b:Source>
  <b:Source>
    <b:Tag>Baq04</b:Tag>
    <b:SourceType>Book</b:SourceType>
    <b:Guid>{4CA546A8-CB26-439E-9D4A-4AF8B11B8562}</b:Guid>
    <b:Title>¿Temor a la flotación o a la inflación? La importancia del "traspaso" del tipo de cambio a los precios</b:Title>
    <b:Year>2004</b:Year>
    <b:Author>
      <b:Author>
        <b:NameList>
          <b:Person>
            <b:Last>Baqueiro</b:Last>
            <b:First>Armando</b:First>
          </b:Person>
          <b:Person>
            <b:Last>Díaz de León</b:Last>
            <b:First>Alejandro</b:First>
          </b:Person>
          <b:Person>
            <b:Last>Torres</b:Last>
            <b:First>Alberto</b:First>
          </b:Person>
        </b:NameList>
      </b:Author>
    </b:Author>
    <b:RefOrder>20</b:RefOrder>
  </b:Source>
</b:Sources>
</file>

<file path=customXml/itemProps1.xml><?xml version="1.0" encoding="utf-8"?>
<ds:datastoreItem xmlns:ds="http://schemas.openxmlformats.org/officeDocument/2006/customXml" ds:itemID="{921BBB7D-A9A9-479B-A830-C52F4A61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1</Pages>
  <Words>8032</Words>
  <Characters>44178</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62</cp:revision>
  <cp:lastPrinted>2022-08-19T06:43:00Z</cp:lastPrinted>
  <dcterms:created xsi:type="dcterms:W3CDTF">2022-08-16T05:16:00Z</dcterms:created>
  <dcterms:modified xsi:type="dcterms:W3CDTF">2022-08-19T06:44:00Z</dcterms:modified>
</cp:coreProperties>
</file>