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5583"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Universidad Rafael Landívar</w:t>
      </w:r>
    </w:p>
    <w:p w14:paraId="5E055B9A"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Banco de Guatemala</w:t>
      </w:r>
    </w:p>
    <w:p w14:paraId="0E981B0F"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Centro de Estudios Monetarios Latinoamericanos</w:t>
      </w:r>
    </w:p>
    <w:p w14:paraId="7C52C871"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Programa de Estudios Superiores</w:t>
      </w:r>
    </w:p>
    <w:p w14:paraId="0EE08785" w14:textId="77777777" w:rsidR="001C6BC9" w:rsidRPr="0028050B" w:rsidRDefault="001C6BC9" w:rsidP="00A23F2B">
      <w:pPr>
        <w:spacing w:after="0" w:line="360" w:lineRule="auto"/>
        <w:jc w:val="center"/>
        <w:rPr>
          <w:rFonts w:ascii="Times New Roman" w:hAnsi="Times New Roman" w:cs="Times New Roman"/>
          <w:sz w:val="24"/>
          <w:szCs w:val="24"/>
        </w:rPr>
      </w:pPr>
    </w:p>
    <w:p w14:paraId="56BBC584" w14:textId="77777777" w:rsidR="001C6BC9" w:rsidRPr="0028050B" w:rsidRDefault="001C6BC9" w:rsidP="00A23F2B">
      <w:pPr>
        <w:spacing w:after="0" w:line="360" w:lineRule="auto"/>
        <w:jc w:val="center"/>
        <w:rPr>
          <w:rFonts w:ascii="Times New Roman" w:hAnsi="Times New Roman" w:cs="Times New Roman"/>
          <w:sz w:val="24"/>
          <w:szCs w:val="24"/>
        </w:rPr>
      </w:pPr>
    </w:p>
    <w:p w14:paraId="7C954EBD"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noProof/>
          <w:sz w:val="24"/>
          <w:szCs w:val="24"/>
        </w:rPr>
        <w:drawing>
          <wp:inline distT="0" distB="0" distL="0" distR="0" wp14:anchorId="55755FF0" wp14:editId="12EE644A">
            <wp:extent cx="5211445" cy="1845945"/>
            <wp:effectExtent l="0" t="0" r="8255" b="1905"/>
            <wp:docPr id="1" name="Imagen 1" descr="Imagen de la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text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1445" cy="1845945"/>
                    </a:xfrm>
                    <a:prstGeom prst="rect">
                      <a:avLst/>
                    </a:prstGeom>
                    <a:noFill/>
                    <a:ln>
                      <a:noFill/>
                    </a:ln>
                  </pic:spPr>
                </pic:pic>
              </a:graphicData>
            </a:graphic>
          </wp:inline>
        </w:drawing>
      </w:r>
    </w:p>
    <w:p w14:paraId="06FA972F" w14:textId="77777777" w:rsidR="001C6BC9" w:rsidRPr="0028050B" w:rsidRDefault="001C6BC9" w:rsidP="00A23F2B">
      <w:pPr>
        <w:spacing w:after="0" w:line="360" w:lineRule="auto"/>
        <w:jc w:val="center"/>
        <w:rPr>
          <w:rFonts w:ascii="Times New Roman" w:hAnsi="Times New Roman" w:cs="Times New Roman"/>
          <w:sz w:val="24"/>
          <w:szCs w:val="24"/>
        </w:rPr>
      </w:pPr>
    </w:p>
    <w:p w14:paraId="5686968D" w14:textId="1A5E0E97" w:rsidR="001C6BC9" w:rsidRPr="0028050B" w:rsidRDefault="001C6BC9" w:rsidP="00A23F2B">
      <w:pPr>
        <w:spacing w:after="0" w:line="360" w:lineRule="auto"/>
        <w:jc w:val="center"/>
        <w:rPr>
          <w:rFonts w:ascii="Times New Roman" w:hAnsi="Times New Roman" w:cs="Times New Roman"/>
          <w:b/>
          <w:bCs/>
          <w:sz w:val="28"/>
          <w:szCs w:val="28"/>
        </w:rPr>
      </w:pPr>
      <w:r w:rsidRPr="0028050B">
        <w:rPr>
          <w:rFonts w:ascii="Times New Roman" w:hAnsi="Times New Roman" w:cs="Times New Roman"/>
          <w:b/>
          <w:bCs/>
          <w:sz w:val="28"/>
          <w:szCs w:val="28"/>
        </w:rPr>
        <w:t xml:space="preserve">Estimación del efecto </w:t>
      </w:r>
      <w:proofErr w:type="spellStart"/>
      <w:r w:rsidRPr="0028050B">
        <w:rPr>
          <w:rFonts w:ascii="Times New Roman" w:hAnsi="Times New Roman" w:cs="Times New Roman"/>
          <w:b/>
          <w:bCs/>
          <w:sz w:val="28"/>
          <w:szCs w:val="28"/>
        </w:rPr>
        <w:t>pass</w:t>
      </w:r>
      <w:proofErr w:type="spellEnd"/>
      <w:r w:rsidRPr="0028050B">
        <w:rPr>
          <w:rFonts w:ascii="Times New Roman" w:hAnsi="Times New Roman" w:cs="Times New Roman"/>
          <w:b/>
          <w:bCs/>
          <w:sz w:val="28"/>
          <w:szCs w:val="28"/>
        </w:rPr>
        <w:t xml:space="preserve"> </w:t>
      </w:r>
      <w:proofErr w:type="spellStart"/>
      <w:r w:rsidRPr="0028050B">
        <w:rPr>
          <w:rFonts w:ascii="Times New Roman" w:hAnsi="Times New Roman" w:cs="Times New Roman"/>
          <w:b/>
          <w:bCs/>
          <w:sz w:val="28"/>
          <w:szCs w:val="28"/>
        </w:rPr>
        <w:t>through</w:t>
      </w:r>
      <w:proofErr w:type="spellEnd"/>
      <w:r w:rsidRPr="0028050B">
        <w:rPr>
          <w:rFonts w:ascii="Times New Roman" w:hAnsi="Times New Roman" w:cs="Times New Roman"/>
          <w:b/>
          <w:bCs/>
          <w:sz w:val="28"/>
          <w:szCs w:val="28"/>
        </w:rPr>
        <w:t xml:space="preserve"> del tipo de cambio bajo distintos niveles inflacionarios</w:t>
      </w:r>
    </w:p>
    <w:p w14:paraId="044A8D12" w14:textId="77777777" w:rsidR="001C6BC9" w:rsidRPr="0028050B" w:rsidRDefault="001C6BC9" w:rsidP="00A23F2B">
      <w:pPr>
        <w:spacing w:after="0" w:line="360" w:lineRule="auto"/>
        <w:jc w:val="center"/>
        <w:rPr>
          <w:rFonts w:ascii="Times New Roman" w:hAnsi="Times New Roman" w:cs="Times New Roman"/>
          <w:sz w:val="24"/>
          <w:szCs w:val="24"/>
        </w:rPr>
      </w:pPr>
    </w:p>
    <w:p w14:paraId="3B12A9F4" w14:textId="77777777" w:rsidR="001C6BC9" w:rsidRPr="0028050B" w:rsidRDefault="001C6BC9" w:rsidP="00A23F2B">
      <w:pPr>
        <w:spacing w:after="0" w:line="360" w:lineRule="auto"/>
        <w:jc w:val="center"/>
        <w:rPr>
          <w:rFonts w:ascii="Times New Roman" w:hAnsi="Times New Roman" w:cs="Times New Roman"/>
          <w:sz w:val="24"/>
          <w:szCs w:val="24"/>
        </w:rPr>
      </w:pPr>
    </w:p>
    <w:p w14:paraId="560EDB3E" w14:textId="77777777" w:rsidR="001C6BC9" w:rsidRPr="0028050B" w:rsidRDefault="001C6BC9" w:rsidP="00A23F2B">
      <w:pPr>
        <w:spacing w:after="0" w:line="360" w:lineRule="auto"/>
        <w:jc w:val="center"/>
        <w:rPr>
          <w:rFonts w:ascii="Times New Roman" w:hAnsi="Times New Roman" w:cs="Times New Roman"/>
          <w:sz w:val="24"/>
          <w:szCs w:val="24"/>
        </w:rPr>
      </w:pPr>
    </w:p>
    <w:p w14:paraId="12FDBF0E" w14:textId="77777777" w:rsidR="001C6BC9" w:rsidRPr="0028050B" w:rsidRDefault="001C6BC9" w:rsidP="00A23F2B">
      <w:pPr>
        <w:spacing w:after="0" w:line="360" w:lineRule="auto"/>
        <w:jc w:val="center"/>
        <w:rPr>
          <w:rFonts w:ascii="Times New Roman" w:hAnsi="Times New Roman" w:cs="Times New Roman"/>
          <w:sz w:val="24"/>
          <w:szCs w:val="24"/>
        </w:rPr>
      </w:pPr>
    </w:p>
    <w:p w14:paraId="2B973449" w14:textId="43D24BDA"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Trabajo presentado para optar al título de Maestro en Economía y Finanzas Aplicadas</w:t>
      </w:r>
    </w:p>
    <w:p w14:paraId="62BD90D6" w14:textId="77777777" w:rsidR="001C6BC9" w:rsidRPr="0028050B" w:rsidRDefault="001C6BC9" w:rsidP="00A23F2B">
      <w:pPr>
        <w:spacing w:after="0" w:line="360" w:lineRule="auto"/>
        <w:jc w:val="center"/>
        <w:rPr>
          <w:rFonts w:ascii="Times New Roman" w:hAnsi="Times New Roman" w:cs="Times New Roman"/>
          <w:sz w:val="24"/>
          <w:szCs w:val="24"/>
        </w:rPr>
      </w:pPr>
    </w:p>
    <w:p w14:paraId="1D6A440D" w14:textId="77777777" w:rsidR="001C6BC9" w:rsidRPr="0028050B" w:rsidRDefault="001C6BC9" w:rsidP="00A23F2B">
      <w:pPr>
        <w:spacing w:after="0" w:line="360" w:lineRule="auto"/>
        <w:jc w:val="center"/>
        <w:rPr>
          <w:rFonts w:ascii="Times New Roman" w:hAnsi="Times New Roman" w:cs="Times New Roman"/>
          <w:sz w:val="24"/>
          <w:szCs w:val="24"/>
        </w:rPr>
      </w:pPr>
    </w:p>
    <w:p w14:paraId="10C16631" w14:textId="77777777" w:rsidR="001C6BC9" w:rsidRPr="0028050B" w:rsidRDefault="001C6BC9" w:rsidP="00A23F2B">
      <w:pPr>
        <w:spacing w:after="0" w:line="360" w:lineRule="auto"/>
        <w:jc w:val="center"/>
        <w:rPr>
          <w:rFonts w:ascii="Times New Roman" w:hAnsi="Times New Roman" w:cs="Times New Roman"/>
          <w:sz w:val="24"/>
          <w:szCs w:val="24"/>
        </w:rPr>
      </w:pPr>
    </w:p>
    <w:p w14:paraId="667A1381" w14:textId="1A1A9C9A" w:rsidR="001C6BC9" w:rsidRPr="0028050B" w:rsidRDefault="001C6BC9" w:rsidP="00A23F2B">
      <w:pPr>
        <w:spacing w:after="0" w:line="360" w:lineRule="auto"/>
        <w:jc w:val="center"/>
        <w:rPr>
          <w:rFonts w:ascii="Times New Roman" w:hAnsi="Times New Roman" w:cs="Times New Roman"/>
          <w:b/>
          <w:bCs/>
          <w:sz w:val="24"/>
          <w:szCs w:val="24"/>
        </w:rPr>
      </w:pPr>
      <w:r w:rsidRPr="0028050B">
        <w:rPr>
          <w:rFonts w:ascii="Times New Roman" w:hAnsi="Times New Roman" w:cs="Times New Roman"/>
          <w:b/>
          <w:bCs/>
          <w:sz w:val="24"/>
          <w:szCs w:val="24"/>
        </w:rPr>
        <w:t>JORGE GIOVANY ORENOS RODRIGUEZ</w:t>
      </w:r>
    </w:p>
    <w:p w14:paraId="744B346C"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Asesorado por Dr. Guillermo Díaz</w:t>
      </w:r>
    </w:p>
    <w:p w14:paraId="0426F70B" w14:textId="77777777" w:rsidR="001C6BC9" w:rsidRPr="0028050B" w:rsidRDefault="001C6BC9" w:rsidP="00A23F2B">
      <w:pPr>
        <w:spacing w:after="0" w:line="360" w:lineRule="auto"/>
        <w:jc w:val="center"/>
        <w:rPr>
          <w:rFonts w:ascii="Times New Roman" w:hAnsi="Times New Roman" w:cs="Times New Roman"/>
          <w:sz w:val="24"/>
          <w:szCs w:val="24"/>
        </w:rPr>
      </w:pPr>
    </w:p>
    <w:p w14:paraId="65E0125F" w14:textId="77777777" w:rsidR="001C6BC9" w:rsidRPr="0028050B" w:rsidRDefault="001C6BC9" w:rsidP="00A23F2B">
      <w:pPr>
        <w:spacing w:after="0" w:line="360" w:lineRule="auto"/>
        <w:jc w:val="center"/>
        <w:rPr>
          <w:rFonts w:ascii="Times New Roman" w:hAnsi="Times New Roman" w:cs="Times New Roman"/>
          <w:sz w:val="24"/>
          <w:szCs w:val="24"/>
        </w:rPr>
      </w:pPr>
    </w:p>
    <w:p w14:paraId="602DBB40" w14:textId="1C7E4566"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Guatemala, agosto de 2022</w:t>
      </w:r>
    </w:p>
    <w:p w14:paraId="6C99203A" w14:textId="497633FA" w:rsidR="00370CA7" w:rsidRPr="0028050B" w:rsidRDefault="00370CA7" w:rsidP="00A23F2B">
      <w:pPr>
        <w:spacing w:after="0" w:line="360" w:lineRule="auto"/>
        <w:rPr>
          <w:rFonts w:ascii="Times New Roman" w:hAnsi="Times New Roman" w:cs="Times New Roman"/>
          <w:sz w:val="24"/>
          <w:szCs w:val="24"/>
        </w:rPr>
      </w:pPr>
    </w:p>
    <w:p w14:paraId="56B4CEAB" w14:textId="0868FB1E" w:rsidR="00370CA7" w:rsidRPr="0028050B" w:rsidRDefault="00370CA7" w:rsidP="00A23F2B">
      <w:pPr>
        <w:spacing w:after="0" w:line="360" w:lineRule="auto"/>
        <w:jc w:val="center"/>
        <w:rPr>
          <w:rFonts w:ascii="Times New Roman" w:hAnsi="Times New Roman" w:cs="Times New Roman"/>
          <w:b/>
          <w:bCs/>
          <w:sz w:val="24"/>
          <w:szCs w:val="24"/>
        </w:rPr>
      </w:pPr>
    </w:p>
    <w:p w14:paraId="3DDA9DCB" w14:textId="3D1999B4" w:rsidR="005B22D8" w:rsidRPr="0028050B" w:rsidRDefault="005B22D8" w:rsidP="00A23F2B">
      <w:pPr>
        <w:pStyle w:val="Ttulo1"/>
        <w:spacing w:line="360" w:lineRule="auto"/>
        <w:jc w:val="center"/>
        <w:rPr>
          <w:rFonts w:ascii="Times New Roman" w:hAnsi="Times New Roman" w:cs="Times New Roman"/>
          <w:b/>
          <w:bCs/>
          <w:color w:val="auto"/>
          <w:sz w:val="24"/>
          <w:szCs w:val="24"/>
        </w:rPr>
      </w:pPr>
      <w:r w:rsidRPr="0028050B">
        <w:rPr>
          <w:rFonts w:ascii="Times New Roman" w:hAnsi="Times New Roman" w:cs="Times New Roman"/>
          <w:b/>
          <w:bCs/>
          <w:color w:val="auto"/>
          <w:sz w:val="24"/>
          <w:szCs w:val="24"/>
        </w:rPr>
        <w:lastRenderedPageBreak/>
        <w:t>Introducción</w:t>
      </w:r>
    </w:p>
    <w:p w14:paraId="1A2A62FD" w14:textId="2F31DE05" w:rsidR="005B22D8" w:rsidRPr="0028050B" w:rsidRDefault="005B22D8" w:rsidP="00A23F2B">
      <w:pPr>
        <w:spacing w:line="360" w:lineRule="auto"/>
        <w:jc w:val="both"/>
        <w:rPr>
          <w:rFonts w:ascii="Times New Roman" w:hAnsi="Times New Roman" w:cs="Times New Roman"/>
          <w:sz w:val="24"/>
          <w:szCs w:val="24"/>
        </w:rPr>
      </w:pPr>
    </w:p>
    <w:p w14:paraId="271F3611" w14:textId="7369F241" w:rsidR="005B22D8" w:rsidRPr="0028050B" w:rsidRDefault="005B22D8" w:rsidP="00A23F2B">
      <w:pPr>
        <w:spacing w:line="360" w:lineRule="auto"/>
        <w:jc w:val="both"/>
        <w:rPr>
          <w:rFonts w:ascii="Times New Roman" w:hAnsi="Times New Roman" w:cs="Times New Roman"/>
          <w:sz w:val="24"/>
          <w:szCs w:val="24"/>
        </w:rPr>
      </w:pPr>
    </w:p>
    <w:p w14:paraId="427F9DC6" w14:textId="34D4A001" w:rsidR="005B22D8" w:rsidRPr="0028050B" w:rsidRDefault="005B22D8" w:rsidP="00A23F2B">
      <w:pPr>
        <w:spacing w:line="360" w:lineRule="auto"/>
        <w:jc w:val="both"/>
        <w:rPr>
          <w:rFonts w:ascii="Times New Roman" w:hAnsi="Times New Roman" w:cs="Times New Roman"/>
          <w:sz w:val="24"/>
          <w:szCs w:val="24"/>
        </w:rPr>
      </w:pPr>
    </w:p>
    <w:p w14:paraId="5C0B0F7E" w14:textId="2F5E3967" w:rsidR="005B22D8" w:rsidRPr="0028050B" w:rsidRDefault="005B22D8" w:rsidP="00A23F2B">
      <w:pPr>
        <w:spacing w:line="360" w:lineRule="auto"/>
        <w:jc w:val="both"/>
        <w:rPr>
          <w:rFonts w:ascii="Times New Roman" w:hAnsi="Times New Roman" w:cs="Times New Roman"/>
          <w:sz w:val="24"/>
          <w:szCs w:val="24"/>
        </w:rPr>
      </w:pPr>
    </w:p>
    <w:p w14:paraId="4CCCFC15" w14:textId="6EEF9F65" w:rsidR="005B22D8" w:rsidRPr="0028050B" w:rsidRDefault="005B22D8" w:rsidP="00A23F2B">
      <w:pPr>
        <w:spacing w:line="360" w:lineRule="auto"/>
        <w:jc w:val="both"/>
        <w:rPr>
          <w:rFonts w:ascii="Times New Roman" w:hAnsi="Times New Roman" w:cs="Times New Roman"/>
          <w:sz w:val="24"/>
          <w:szCs w:val="24"/>
        </w:rPr>
      </w:pPr>
    </w:p>
    <w:p w14:paraId="79C2E9DD" w14:textId="4592AD02" w:rsidR="005B22D8" w:rsidRPr="0028050B" w:rsidRDefault="005B22D8" w:rsidP="00A23F2B">
      <w:pPr>
        <w:spacing w:line="360" w:lineRule="auto"/>
        <w:jc w:val="both"/>
        <w:rPr>
          <w:rFonts w:ascii="Times New Roman" w:hAnsi="Times New Roman" w:cs="Times New Roman"/>
          <w:sz w:val="24"/>
          <w:szCs w:val="24"/>
        </w:rPr>
      </w:pPr>
    </w:p>
    <w:p w14:paraId="27040AF5" w14:textId="61251BB0" w:rsidR="005B22D8" w:rsidRPr="0028050B" w:rsidRDefault="005B22D8" w:rsidP="00A23F2B">
      <w:pPr>
        <w:spacing w:line="360" w:lineRule="auto"/>
        <w:jc w:val="both"/>
        <w:rPr>
          <w:rFonts w:ascii="Times New Roman" w:hAnsi="Times New Roman" w:cs="Times New Roman"/>
          <w:sz w:val="24"/>
          <w:szCs w:val="24"/>
        </w:rPr>
      </w:pPr>
    </w:p>
    <w:p w14:paraId="67A4221A" w14:textId="1EBD2041" w:rsidR="005B22D8" w:rsidRPr="0028050B" w:rsidRDefault="005B22D8" w:rsidP="00A23F2B">
      <w:pPr>
        <w:spacing w:line="360" w:lineRule="auto"/>
        <w:jc w:val="both"/>
        <w:rPr>
          <w:rFonts w:ascii="Times New Roman" w:hAnsi="Times New Roman" w:cs="Times New Roman"/>
          <w:sz w:val="24"/>
          <w:szCs w:val="24"/>
        </w:rPr>
      </w:pPr>
    </w:p>
    <w:p w14:paraId="588B2B2A" w14:textId="6E03C405" w:rsidR="005B22D8" w:rsidRPr="0028050B" w:rsidRDefault="005B22D8" w:rsidP="00A23F2B">
      <w:pPr>
        <w:spacing w:line="360" w:lineRule="auto"/>
        <w:jc w:val="both"/>
        <w:rPr>
          <w:rFonts w:ascii="Times New Roman" w:hAnsi="Times New Roman" w:cs="Times New Roman"/>
          <w:sz w:val="24"/>
          <w:szCs w:val="24"/>
        </w:rPr>
      </w:pPr>
    </w:p>
    <w:p w14:paraId="2183E4E3" w14:textId="5BF08FB0" w:rsidR="005B22D8" w:rsidRPr="0028050B" w:rsidRDefault="005B22D8" w:rsidP="00A23F2B">
      <w:pPr>
        <w:spacing w:line="360" w:lineRule="auto"/>
        <w:jc w:val="both"/>
        <w:rPr>
          <w:rFonts w:ascii="Times New Roman" w:hAnsi="Times New Roman" w:cs="Times New Roman"/>
          <w:sz w:val="24"/>
          <w:szCs w:val="24"/>
        </w:rPr>
      </w:pPr>
    </w:p>
    <w:p w14:paraId="36C527C2" w14:textId="449308A1" w:rsidR="005B22D8" w:rsidRPr="0028050B" w:rsidRDefault="005B22D8" w:rsidP="00A23F2B">
      <w:pPr>
        <w:spacing w:line="360" w:lineRule="auto"/>
        <w:jc w:val="both"/>
        <w:rPr>
          <w:rFonts w:ascii="Times New Roman" w:hAnsi="Times New Roman" w:cs="Times New Roman"/>
          <w:sz w:val="24"/>
          <w:szCs w:val="24"/>
        </w:rPr>
      </w:pPr>
    </w:p>
    <w:p w14:paraId="57BEE972" w14:textId="520E95E7" w:rsidR="005B22D8" w:rsidRPr="0028050B" w:rsidRDefault="005B22D8" w:rsidP="00A23F2B">
      <w:pPr>
        <w:spacing w:line="360" w:lineRule="auto"/>
        <w:jc w:val="both"/>
        <w:rPr>
          <w:rFonts w:ascii="Times New Roman" w:hAnsi="Times New Roman" w:cs="Times New Roman"/>
          <w:sz w:val="24"/>
          <w:szCs w:val="24"/>
        </w:rPr>
      </w:pPr>
    </w:p>
    <w:p w14:paraId="14999071" w14:textId="62470A80" w:rsidR="005B22D8" w:rsidRPr="0028050B" w:rsidRDefault="005B22D8" w:rsidP="00A23F2B">
      <w:pPr>
        <w:spacing w:line="360" w:lineRule="auto"/>
        <w:jc w:val="both"/>
        <w:rPr>
          <w:rFonts w:ascii="Times New Roman" w:hAnsi="Times New Roman" w:cs="Times New Roman"/>
          <w:sz w:val="24"/>
          <w:szCs w:val="24"/>
        </w:rPr>
      </w:pPr>
    </w:p>
    <w:p w14:paraId="5A6ACD54" w14:textId="4E5400E2" w:rsidR="005B22D8" w:rsidRPr="0028050B" w:rsidRDefault="005B22D8" w:rsidP="00A23F2B">
      <w:pPr>
        <w:spacing w:line="360" w:lineRule="auto"/>
        <w:jc w:val="both"/>
        <w:rPr>
          <w:rFonts w:ascii="Times New Roman" w:hAnsi="Times New Roman" w:cs="Times New Roman"/>
          <w:sz w:val="24"/>
          <w:szCs w:val="24"/>
        </w:rPr>
      </w:pPr>
    </w:p>
    <w:p w14:paraId="07B2B120" w14:textId="6D41D5FD" w:rsidR="005B22D8" w:rsidRPr="0028050B" w:rsidRDefault="005B22D8" w:rsidP="00A23F2B">
      <w:pPr>
        <w:spacing w:line="360" w:lineRule="auto"/>
        <w:jc w:val="both"/>
        <w:rPr>
          <w:rFonts w:ascii="Times New Roman" w:hAnsi="Times New Roman" w:cs="Times New Roman"/>
          <w:sz w:val="24"/>
          <w:szCs w:val="24"/>
        </w:rPr>
      </w:pPr>
    </w:p>
    <w:p w14:paraId="11BB420D" w14:textId="57E19901" w:rsidR="005B22D8" w:rsidRPr="0028050B" w:rsidRDefault="005B22D8" w:rsidP="00A23F2B">
      <w:pPr>
        <w:spacing w:line="360" w:lineRule="auto"/>
        <w:jc w:val="both"/>
        <w:rPr>
          <w:rFonts w:ascii="Times New Roman" w:hAnsi="Times New Roman" w:cs="Times New Roman"/>
          <w:sz w:val="24"/>
          <w:szCs w:val="24"/>
        </w:rPr>
      </w:pPr>
    </w:p>
    <w:p w14:paraId="04B7A29E" w14:textId="13E6466B" w:rsidR="005B22D8" w:rsidRPr="0028050B" w:rsidRDefault="005B22D8" w:rsidP="00A23F2B">
      <w:pPr>
        <w:spacing w:line="360" w:lineRule="auto"/>
        <w:jc w:val="both"/>
        <w:rPr>
          <w:rFonts w:ascii="Times New Roman" w:hAnsi="Times New Roman" w:cs="Times New Roman"/>
          <w:sz w:val="24"/>
          <w:szCs w:val="24"/>
        </w:rPr>
      </w:pPr>
    </w:p>
    <w:p w14:paraId="04282122" w14:textId="128BD9EA" w:rsidR="005B22D8" w:rsidRPr="0028050B" w:rsidRDefault="005B22D8" w:rsidP="00A23F2B">
      <w:pPr>
        <w:spacing w:line="360" w:lineRule="auto"/>
        <w:jc w:val="both"/>
        <w:rPr>
          <w:rFonts w:ascii="Times New Roman" w:hAnsi="Times New Roman" w:cs="Times New Roman"/>
          <w:sz w:val="24"/>
          <w:szCs w:val="24"/>
        </w:rPr>
      </w:pPr>
    </w:p>
    <w:p w14:paraId="1A33A134" w14:textId="49BC0E66" w:rsidR="005B22D8" w:rsidRPr="0028050B" w:rsidRDefault="005B22D8" w:rsidP="00A23F2B">
      <w:pPr>
        <w:spacing w:line="360" w:lineRule="auto"/>
        <w:jc w:val="both"/>
        <w:rPr>
          <w:rFonts w:ascii="Times New Roman" w:hAnsi="Times New Roman" w:cs="Times New Roman"/>
          <w:sz w:val="24"/>
          <w:szCs w:val="24"/>
        </w:rPr>
      </w:pPr>
    </w:p>
    <w:p w14:paraId="4E8135F9" w14:textId="4E005FE8" w:rsidR="005B22D8" w:rsidRPr="0028050B" w:rsidRDefault="005B22D8" w:rsidP="00A23F2B">
      <w:pPr>
        <w:spacing w:line="360" w:lineRule="auto"/>
        <w:jc w:val="both"/>
        <w:rPr>
          <w:rFonts w:ascii="Times New Roman" w:hAnsi="Times New Roman" w:cs="Times New Roman"/>
          <w:sz w:val="24"/>
          <w:szCs w:val="24"/>
        </w:rPr>
      </w:pPr>
    </w:p>
    <w:p w14:paraId="7F6C27EF" w14:textId="73450829" w:rsidR="005B22D8" w:rsidRPr="0028050B" w:rsidRDefault="005B22D8" w:rsidP="00A23F2B">
      <w:pPr>
        <w:spacing w:line="360" w:lineRule="auto"/>
        <w:jc w:val="both"/>
        <w:rPr>
          <w:rFonts w:ascii="Times New Roman" w:hAnsi="Times New Roman" w:cs="Times New Roman"/>
          <w:sz w:val="24"/>
          <w:szCs w:val="24"/>
        </w:rPr>
      </w:pPr>
    </w:p>
    <w:p w14:paraId="2BB3E9E7" w14:textId="3021083A" w:rsidR="005B22D8" w:rsidRPr="0028050B" w:rsidRDefault="005B22D8" w:rsidP="00A23F2B">
      <w:pPr>
        <w:spacing w:line="360" w:lineRule="auto"/>
        <w:jc w:val="both"/>
        <w:rPr>
          <w:rFonts w:ascii="Times New Roman" w:hAnsi="Times New Roman" w:cs="Times New Roman"/>
          <w:sz w:val="24"/>
          <w:szCs w:val="24"/>
        </w:rPr>
      </w:pPr>
    </w:p>
    <w:p w14:paraId="6EE0B950" w14:textId="29090159" w:rsidR="00905A9D" w:rsidRPr="0028050B" w:rsidRDefault="0028050B" w:rsidP="00A23F2B">
      <w:pPr>
        <w:pStyle w:val="Ttulo1"/>
        <w:spacing w:line="360" w:lineRule="auto"/>
        <w:jc w:val="center"/>
        <w:rPr>
          <w:rFonts w:ascii="Times New Roman" w:hAnsi="Times New Roman" w:cs="Times New Roman"/>
          <w:b/>
          <w:bCs/>
          <w:color w:val="auto"/>
          <w:sz w:val="24"/>
          <w:szCs w:val="24"/>
        </w:rPr>
      </w:pPr>
      <w:r w:rsidRPr="0028050B">
        <w:rPr>
          <w:rFonts w:ascii="Times New Roman" w:hAnsi="Times New Roman" w:cs="Times New Roman"/>
          <w:b/>
          <w:bCs/>
          <w:color w:val="auto"/>
          <w:sz w:val="24"/>
          <w:szCs w:val="24"/>
        </w:rPr>
        <w:lastRenderedPageBreak/>
        <w:t xml:space="preserve">1. </w:t>
      </w:r>
      <w:r w:rsidR="005B22D8" w:rsidRPr="0028050B">
        <w:rPr>
          <w:rFonts w:ascii="Times New Roman" w:hAnsi="Times New Roman" w:cs="Times New Roman"/>
          <w:b/>
          <w:bCs/>
          <w:color w:val="auto"/>
          <w:sz w:val="24"/>
          <w:szCs w:val="24"/>
        </w:rPr>
        <w:t>Revisión literaria</w:t>
      </w:r>
    </w:p>
    <w:p w14:paraId="4ED607C1" w14:textId="1AD62FAD" w:rsidR="00905A9D" w:rsidRPr="0028050B" w:rsidRDefault="0028050B" w:rsidP="00A23F2B">
      <w:pPr>
        <w:pStyle w:val="Ttulo2"/>
        <w:spacing w:line="360" w:lineRule="auto"/>
        <w:rPr>
          <w:rFonts w:ascii="Times New Roman" w:hAnsi="Times New Roman" w:cs="Times New Roman"/>
          <w:b/>
          <w:bCs/>
          <w:color w:val="auto"/>
          <w:sz w:val="24"/>
          <w:szCs w:val="24"/>
        </w:rPr>
      </w:pPr>
      <w:r w:rsidRPr="0028050B">
        <w:rPr>
          <w:rFonts w:ascii="Times New Roman" w:hAnsi="Times New Roman" w:cs="Times New Roman"/>
          <w:b/>
          <w:bCs/>
          <w:color w:val="auto"/>
          <w:sz w:val="24"/>
          <w:szCs w:val="24"/>
        </w:rPr>
        <w:t xml:space="preserve">1.1 </w:t>
      </w:r>
      <w:r w:rsidR="00905A9D" w:rsidRPr="0028050B">
        <w:rPr>
          <w:rFonts w:ascii="Times New Roman" w:hAnsi="Times New Roman" w:cs="Times New Roman"/>
          <w:b/>
          <w:bCs/>
          <w:color w:val="auto"/>
          <w:sz w:val="24"/>
          <w:szCs w:val="24"/>
        </w:rPr>
        <w:t xml:space="preserve">Definición </w:t>
      </w:r>
      <w:r w:rsidR="00CC42FE" w:rsidRPr="0028050B">
        <w:rPr>
          <w:rFonts w:ascii="Times New Roman" w:hAnsi="Times New Roman" w:cs="Times New Roman"/>
          <w:b/>
          <w:bCs/>
          <w:color w:val="auto"/>
          <w:sz w:val="24"/>
          <w:szCs w:val="24"/>
        </w:rPr>
        <w:t>y consideraciones teóricas</w:t>
      </w:r>
    </w:p>
    <w:p w14:paraId="722764BE" w14:textId="22A63100" w:rsidR="00A23F2B" w:rsidRDefault="00A80180" w:rsidP="00A23F2B">
      <w:pPr>
        <w:spacing w:line="360" w:lineRule="auto"/>
        <w:jc w:val="both"/>
        <w:rPr>
          <w:rFonts w:ascii="Times New Roman" w:hAnsi="Times New Roman" w:cs="Times New Roman"/>
          <w:sz w:val="24"/>
          <w:szCs w:val="24"/>
        </w:rPr>
      </w:pPr>
      <w:r w:rsidRPr="0028050B">
        <w:rPr>
          <w:rFonts w:ascii="Times New Roman" w:hAnsi="Times New Roman" w:cs="Times New Roman"/>
          <w:sz w:val="24"/>
          <w:szCs w:val="24"/>
        </w:rPr>
        <w:t xml:space="preserve">En términos generales el efecto </w:t>
      </w:r>
      <w:r w:rsidR="0028050B">
        <w:rPr>
          <w:rFonts w:ascii="Times New Roman" w:hAnsi="Times New Roman" w:cs="Times New Roman"/>
          <w:sz w:val="24"/>
          <w:szCs w:val="24"/>
        </w:rPr>
        <w:t>traspaso del tipo de cambio a los precios domésticos (</w:t>
      </w:r>
      <w:proofErr w:type="spellStart"/>
      <w:r w:rsidR="0028050B">
        <w:rPr>
          <w:rFonts w:ascii="Times New Roman" w:hAnsi="Times New Roman" w:cs="Times New Roman"/>
          <w:sz w:val="24"/>
          <w:szCs w:val="24"/>
        </w:rPr>
        <w:t>pass-trhough</w:t>
      </w:r>
      <w:proofErr w:type="spellEnd"/>
      <w:r w:rsidR="0028050B">
        <w:rPr>
          <w:rFonts w:ascii="Times New Roman" w:hAnsi="Times New Roman" w:cs="Times New Roman"/>
          <w:sz w:val="24"/>
          <w:szCs w:val="24"/>
        </w:rPr>
        <w:t xml:space="preserve"> del tipo de cambio) se puede definir como el efecto de la depreciación nominal del tipo de cambio sobre el nivel general de precios internos de una economía. Autores como </w:t>
      </w:r>
      <w:r w:rsidR="00B53E78">
        <w:rPr>
          <w:rFonts w:ascii="Times New Roman" w:hAnsi="Times New Roman" w:cs="Times New Roman"/>
          <w:sz w:val="24"/>
          <w:szCs w:val="24"/>
        </w:rPr>
        <w:t xml:space="preserve">Goldberg y </w:t>
      </w:r>
      <w:proofErr w:type="spellStart"/>
      <w:r w:rsidR="00B53E78">
        <w:rPr>
          <w:rFonts w:ascii="Times New Roman" w:hAnsi="Times New Roman" w:cs="Times New Roman"/>
          <w:sz w:val="24"/>
          <w:szCs w:val="24"/>
        </w:rPr>
        <w:t>Knetter</w:t>
      </w:r>
      <w:proofErr w:type="spellEnd"/>
      <w:r w:rsidR="00B53E78">
        <w:rPr>
          <w:rFonts w:ascii="Times New Roman" w:hAnsi="Times New Roman" w:cs="Times New Roman"/>
          <w:sz w:val="24"/>
          <w:szCs w:val="24"/>
        </w:rPr>
        <w:t xml:space="preserve"> (1996) definen el </w:t>
      </w:r>
      <w:proofErr w:type="spellStart"/>
      <w:r w:rsidR="00B53E78">
        <w:rPr>
          <w:rFonts w:ascii="Times New Roman" w:hAnsi="Times New Roman" w:cs="Times New Roman"/>
          <w:sz w:val="24"/>
          <w:szCs w:val="24"/>
        </w:rPr>
        <w:t>pass-trhough</w:t>
      </w:r>
      <w:proofErr w:type="spellEnd"/>
      <w:r w:rsidR="00B53E78">
        <w:rPr>
          <w:rFonts w:ascii="Times New Roman" w:hAnsi="Times New Roman" w:cs="Times New Roman"/>
          <w:sz w:val="24"/>
          <w:szCs w:val="24"/>
        </w:rPr>
        <w:t xml:space="preserve"> como la variación porcentual </w:t>
      </w:r>
      <w:r w:rsidR="00A23F2B">
        <w:rPr>
          <w:rFonts w:ascii="Times New Roman" w:hAnsi="Times New Roman" w:cs="Times New Roman"/>
          <w:sz w:val="24"/>
          <w:szCs w:val="24"/>
        </w:rPr>
        <w:t>en los precios de importación en moneda nacional ante un cambio del 1% en el tipo de cambio entre los países exportadores e importadores.</w:t>
      </w:r>
    </w:p>
    <w:p w14:paraId="5CB28CC3" w14:textId="7B268377" w:rsidR="00A23F2B" w:rsidRDefault="00A23F2B" w:rsidP="00A23F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sustento teórico detrás de la definición anterior se encuentra en la revisión de la Ley de un único precio. </w:t>
      </w:r>
      <w:r w:rsidR="00BF0CF5">
        <w:rPr>
          <w:rFonts w:ascii="Times New Roman" w:hAnsi="Times New Roman" w:cs="Times New Roman"/>
          <w:sz w:val="24"/>
          <w:szCs w:val="24"/>
        </w:rPr>
        <w:t>En ausencia de cualquier fricción al comercio o costes de transacción esta</w:t>
      </w:r>
      <w:r w:rsidR="00143946">
        <w:rPr>
          <w:rFonts w:ascii="Times New Roman" w:hAnsi="Times New Roman" w:cs="Times New Roman"/>
          <w:sz w:val="24"/>
          <w:szCs w:val="24"/>
        </w:rPr>
        <w:t xml:space="preserve"> ley estipula que productos idénticos se venden al mismo precio en distintos países mediados por una moneda común. Formalizando la definición anterior se tendría:</w:t>
      </w:r>
    </w:p>
    <w:p w14:paraId="652AB3D5" w14:textId="2A3D65FD" w:rsidR="00E01D52" w:rsidRPr="002D642B" w:rsidRDefault="00000000" w:rsidP="002D642B">
      <w:pPr>
        <w:keepNext/>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i </m:t>
            </m:r>
          </m:sub>
        </m:sSub>
        <m:r>
          <w:rPr>
            <w:rFonts w:ascii="Cambria Math" w:hAnsi="Cambria Math" w:cs="Times New Roman"/>
            <w:sz w:val="24"/>
            <w:szCs w:val="24"/>
          </w:rPr>
          <m:t>=E</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m:t>
            </m:r>
          </m:sup>
        </m:sSubSup>
      </m:oMath>
      <w:r w:rsidR="002D642B">
        <w:rPr>
          <w:rFonts w:ascii="Times New Roman" w:eastAsiaTheme="minorEastAsia" w:hAnsi="Times New Roman" w:cs="Times New Roman"/>
          <w:sz w:val="24"/>
          <w:szCs w:val="24"/>
        </w:rPr>
        <w:t xml:space="preserve"> </w:t>
      </w:r>
    </w:p>
    <w:p w14:paraId="2CF9E0B6" w14:textId="2ABDCB08" w:rsidR="00446EE8" w:rsidRDefault="00446EE8" w:rsidP="00A23F2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Donde:</w:t>
      </w:r>
    </w:p>
    <w:p w14:paraId="3A969E8B" w14:textId="0CD16FB7" w:rsidR="00446EE8" w:rsidRDefault="00000000" w:rsidP="00446EE8">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i </m:t>
            </m:r>
          </m:sub>
        </m:sSub>
      </m:oMath>
      <w:r w:rsidR="00446EE8">
        <w:rPr>
          <w:rFonts w:ascii="Times New Roman" w:eastAsiaTheme="minorEastAsia" w:hAnsi="Times New Roman" w:cs="Times New Roman"/>
          <w:sz w:val="24"/>
          <w:szCs w:val="24"/>
        </w:rPr>
        <w:t xml:space="preserve"> Precio del bien i denominado en moneda doméstica</w:t>
      </w:r>
    </w:p>
    <w:p w14:paraId="538A5BEE" w14:textId="7A043142" w:rsidR="00446EE8" w:rsidRDefault="00446EE8" w:rsidP="00446EE8">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E</m:t>
        </m:r>
      </m:oMath>
      <w:r>
        <w:rPr>
          <w:rFonts w:ascii="Times New Roman" w:eastAsiaTheme="minorEastAsia" w:hAnsi="Times New Roman" w:cs="Times New Roman"/>
          <w:sz w:val="24"/>
          <w:szCs w:val="24"/>
        </w:rPr>
        <w:t xml:space="preserve"> Tipo de cambio denominado en unidades de moneda doméstica por unidad de moneda extranjera</w:t>
      </w:r>
    </w:p>
    <w:p w14:paraId="17DD6B79" w14:textId="77777777" w:rsidR="00446EE8" w:rsidRDefault="00000000" w:rsidP="00446EE8">
      <w:pPr>
        <w:spacing w:line="360" w:lineRule="auto"/>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m:t>
            </m:r>
          </m:sup>
        </m:sSubSup>
      </m:oMath>
      <w:r w:rsidR="00446EE8">
        <w:rPr>
          <w:rFonts w:ascii="Times New Roman" w:eastAsiaTheme="minorEastAsia" w:hAnsi="Times New Roman" w:cs="Times New Roman"/>
          <w:sz w:val="24"/>
          <w:szCs w:val="24"/>
        </w:rPr>
        <w:t xml:space="preserve"> Precio del bien i denominado en moneda extranjera</w:t>
      </w:r>
    </w:p>
    <w:p w14:paraId="6B3F2E36" w14:textId="40A7131A" w:rsidR="00446EE8" w:rsidRDefault="00446EE8"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F0CF5">
        <w:rPr>
          <w:rFonts w:ascii="Times New Roman" w:eastAsiaTheme="minorEastAsia" w:hAnsi="Times New Roman" w:cs="Times New Roman"/>
          <w:sz w:val="24"/>
          <w:szCs w:val="24"/>
        </w:rPr>
        <w:t>Asumiendo que la condición anterior se cumple para cada uno de los bienes de la economía</w:t>
      </w:r>
      <w:r w:rsidR="00BF0CF5">
        <w:rPr>
          <w:rStyle w:val="Refdenotaalpie"/>
          <w:rFonts w:ascii="Times New Roman" w:eastAsiaTheme="minorEastAsia" w:hAnsi="Times New Roman" w:cs="Times New Roman"/>
          <w:sz w:val="24"/>
          <w:szCs w:val="24"/>
        </w:rPr>
        <w:footnoteReference w:id="1"/>
      </w:r>
      <w:r w:rsidR="00DA1312">
        <w:rPr>
          <w:rFonts w:ascii="Times New Roman" w:eastAsiaTheme="minorEastAsia" w:hAnsi="Times New Roman" w:cs="Times New Roman"/>
          <w:sz w:val="24"/>
          <w:szCs w:val="24"/>
        </w:rPr>
        <w:t xml:space="preserve"> la expresión anterior queda términos del nivel general de precios </w:t>
      </w:r>
      <w:proofErr w:type="spellStart"/>
      <w:r w:rsidR="00DA1312">
        <w:rPr>
          <w:rFonts w:ascii="Times New Roman" w:eastAsiaTheme="minorEastAsia" w:hAnsi="Times New Roman" w:cs="Times New Roman"/>
          <w:sz w:val="24"/>
          <w:szCs w:val="24"/>
        </w:rPr>
        <w:t>de el</w:t>
      </w:r>
      <w:proofErr w:type="spellEnd"/>
      <w:r w:rsidR="00DA1312">
        <w:rPr>
          <w:rFonts w:ascii="Times New Roman" w:eastAsiaTheme="minorEastAsia" w:hAnsi="Times New Roman" w:cs="Times New Roman"/>
          <w:sz w:val="24"/>
          <w:szCs w:val="24"/>
        </w:rPr>
        <w:t xml:space="preserve"> país doméstico y extranjero:</w:t>
      </w:r>
    </w:p>
    <w:p w14:paraId="6AD8CDFE" w14:textId="33F40272" w:rsidR="00DA1312" w:rsidRPr="00446EE8" w:rsidRDefault="00DA1312" w:rsidP="002D642B">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P=E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oMath>
      </m:oMathPara>
    </w:p>
    <w:p w14:paraId="2A3F53E9" w14:textId="6DAF2B27" w:rsidR="00DA1312" w:rsidRDefault="00DA1312"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Donde P y P* representan el nivel de precios del país doméstico y extranjero respectivamente.</w:t>
      </w:r>
    </w:p>
    <w:p w14:paraId="74175905" w14:textId="3EBF1DB6" w:rsidR="00DA1312" w:rsidRDefault="00DA1312" w:rsidP="00446EE8">
      <w:pPr>
        <w:spacing w:line="360" w:lineRule="auto"/>
        <w:jc w:val="both"/>
        <w:rPr>
          <w:rFonts w:ascii="Times New Roman" w:eastAsiaTheme="minorEastAsia" w:hAnsi="Times New Roman" w:cs="Times New Roman"/>
          <w:sz w:val="24"/>
          <w:szCs w:val="24"/>
        </w:rPr>
      </w:pPr>
    </w:p>
    <w:p w14:paraId="44E3A390" w14:textId="2DF1CC70" w:rsidR="00DA1312" w:rsidRDefault="00EB7A4B"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Siguiendo</w:t>
      </w:r>
      <w:r w:rsidR="00F8505B">
        <w:rPr>
          <w:rFonts w:ascii="Times New Roman" w:eastAsiaTheme="minorEastAsia" w:hAnsi="Times New Roman" w:cs="Times New Roman"/>
          <w:sz w:val="24"/>
          <w:szCs w:val="24"/>
        </w:rPr>
        <w:t xml:space="preserve"> la definición del efecto </w:t>
      </w:r>
      <w:proofErr w:type="spellStart"/>
      <w:r w:rsidR="00F8505B">
        <w:rPr>
          <w:rFonts w:ascii="Times New Roman" w:eastAsiaTheme="minorEastAsia" w:hAnsi="Times New Roman" w:cs="Times New Roman"/>
          <w:sz w:val="24"/>
          <w:szCs w:val="24"/>
        </w:rPr>
        <w:t>pass-through</w:t>
      </w:r>
      <w:proofErr w:type="spellEnd"/>
      <w:r w:rsidR="00F8505B">
        <w:rPr>
          <w:rFonts w:ascii="Times New Roman" w:eastAsiaTheme="minorEastAsia" w:hAnsi="Times New Roman" w:cs="Times New Roman"/>
          <w:sz w:val="24"/>
          <w:szCs w:val="24"/>
        </w:rPr>
        <w:t xml:space="preserve"> como la respuesta porcentual del nivel de precios ante un cambio porcentual </w:t>
      </w:r>
      <w:r w:rsidR="002D642B">
        <w:rPr>
          <w:rFonts w:ascii="Times New Roman" w:eastAsiaTheme="minorEastAsia" w:hAnsi="Times New Roman" w:cs="Times New Roman"/>
          <w:sz w:val="24"/>
          <w:szCs w:val="24"/>
        </w:rPr>
        <w:t>del tipo de cambio, es decir, la elasticidad del nivel de precios domésticos ante el tipo de cambio se obtiene:</w:t>
      </w:r>
    </w:p>
    <w:p w14:paraId="075E8ABD" w14:textId="559303A1" w:rsidR="002D642B" w:rsidRPr="00603739" w:rsidRDefault="00000000" w:rsidP="00446EE8">
      <w:pPr>
        <w:spacing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∂E</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P</m:t>
              </m:r>
            </m:den>
          </m:f>
        </m:oMath>
      </m:oMathPara>
    </w:p>
    <w:p w14:paraId="03FF07E4" w14:textId="63BFF223" w:rsidR="00603739" w:rsidRPr="00603739" w:rsidRDefault="00000000" w:rsidP="00446EE8">
      <w:pPr>
        <w:spacing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P</m:t>
              </m:r>
            </m:den>
          </m:f>
        </m:oMath>
      </m:oMathPara>
    </w:p>
    <w:p w14:paraId="55B9167C" w14:textId="210822E9" w:rsidR="00603739" w:rsidRDefault="00603739"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Dado que </w:t>
      </w:r>
      <m:oMath>
        <m:r>
          <w:rPr>
            <w:rFonts w:ascii="Cambria Math" w:eastAsiaTheme="minorEastAsia" w:hAnsi="Cambria Math" w:cs="Times New Roman"/>
            <w:sz w:val="24"/>
            <w:szCs w:val="24"/>
          </w:rPr>
          <m:t>P=E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oMath>
    </w:p>
    <w:p w14:paraId="16D986FA" w14:textId="3DFBE472" w:rsidR="00603739" w:rsidRPr="00603739" w:rsidRDefault="00000000" w:rsidP="00446EE8">
      <w:pPr>
        <w:spacing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den>
          </m:f>
          <m:r>
            <w:rPr>
              <w:rFonts w:ascii="Cambria Math" w:eastAsiaTheme="minorEastAsia" w:hAnsi="Cambria Math" w:cs="Times New Roman"/>
              <w:sz w:val="24"/>
              <w:szCs w:val="24"/>
            </w:rPr>
            <m:t>=1</m:t>
          </m:r>
        </m:oMath>
      </m:oMathPara>
    </w:p>
    <w:p w14:paraId="7BC72B59" w14:textId="102EAFDA" w:rsidR="00603739" w:rsidRDefault="00603739"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lo que es claro que la elasticidad precio tipo de cambio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PE</m:t>
            </m:r>
          </m:sub>
        </m:sSub>
      </m:oMath>
      <w:r>
        <w:rPr>
          <w:rFonts w:ascii="Times New Roman" w:eastAsiaTheme="minorEastAsia" w:hAnsi="Times New Roman" w:cs="Times New Roman"/>
          <w:sz w:val="24"/>
          <w:szCs w:val="24"/>
        </w:rPr>
        <w:t xml:space="preserve"> es igual a la unidad lo cual implicaría que el pass-through</w:t>
      </w:r>
      <w:r w:rsidR="001558C7">
        <w:rPr>
          <w:rFonts w:ascii="Times New Roman" w:eastAsiaTheme="minorEastAsia" w:hAnsi="Times New Roman" w:cs="Times New Roman"/>
          <w:sz w:val="24"/>
          <w:szCs w:val="24"/>
        </w:rPr>
        <w:t xml:space="preserve"> es </w:t>
      </w:r>
      <w:r w:rsidR="001558C7">
        <w:rPr>
          <w:rFonts w:ascii="Times New Roman" w:eastAsiaTheme="minorEastAsia" w:hAnsi="Times New Roman" w:cs="Times New Roman"/>
          <w:i/>
          <w:iCs/>
          <w:sz w:val="24"/>
          <w:szCs w:val="24"/>
        </w:rPr>
        <w:t>completo</w:t>
      </w:r>
      <w:r w:rsidR="001558C7">
        <w:rPr>
          <w:rFonts w:ascii="Times New Roman" w:eastAsiaTheme="minorEastAsia" w:hAnsi="Times New Roman" w:cs="Times New Roman"/>
          <w:sz w:val="24"/>
          <w:szCs w:val="24"/>
        </w:rPr>
        <w:t xml:space="preserve"> y simétrico en depreciación como apreciación del tipo de cambio.</w:t>
      </w:r>
    </w:p>
    <w:p w14:paraId="29794E66" w14:textId="2DC15574" w:rsidR="00814661" w:rsidRPr="00814661" w:rsidRDefault="007C383E" w:rsidP="00446EE8">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rPr>
        <w:t xml:space="preserve">Es importante mencionar que la conclusión anterior se construyó sobre el supuesto de ausencia de fricciones al comercio, pero esto no es así en la realidad. Según datos reportados por el Banco mundial la tasa promedio mundial de aranceles para 2017 era de </w:t>
      </w:r>
      <w:r w:rsidR="009C39DA">
        <w:rPr>
          <w:rFonts w:ascii="Times New Roman" w:eastAsiaTheme="minorEastAsia" w:hAnsi="Times New Roman" w:cs="Times New Roman"/>
          <w:sz w:val="24"/>
          <w:szCs w:val="24"/>
          <w:lang w:val="es-ES"/>
        </w:rPr>
        <w:t xml:space="preserve">5.2% por lo que se hace necesario un análisis más complejo del efecto </w:t>
      </w:r>
      <w:proofErr w:type="spellStart"/>
      <w:r w:rsidR="009C39DA">
        <w:rPr>
          <w:rFonts w:ascii="Times New Roman" w:eastAsiaTheme="minorEastAsia" w:hAnsi="Times New Roman" w:cs="Times New Roman"/>
          <w:sz w:val="24"/>
          <w:szCs w:val="24"/>
          <w:lang w:val="es-ES"/>
        </w:rPr>
        <w:t>pass-through</w:t>
      </w:r>
      <w:proofErr w:type="spellEnd"/>
      <w:r w:rsidR="009C39DA">
        <w:rPr>
          <w:rFonts w:ascii="Times New Roman" w:eastAsiaTheme="minorEastAsia" w:hAnsi="Times New Roman" w:cs="Times New Roman"/>
          <w:sz w:val="24"/>
          <w:szCs w:val="24"/>
          <w:lang w:val="es-ES"/>
        </w:rPr>
        <w:t xml:space="preserve"> </w:t>
      </w:r>
      <w:proofErr w:type="spellStart"/>
      <w:r w:rsidR="009C39DA">
        <w:rPr>
          <w:rFonts w:ascii="Times New Roman" w:eastAsiaTheme="minorEastAsia" w:hAnsi="Times New Roman" w:cs="Times New Roman"/>
          <w:sz w:val="24"/>
          <w:szCs w:val="24"/>
          <w:lang w:val="es-ES"/>
        </w:rPr>
        <w:t>parra</w:t>
      </w:r>
      <w:proofErr w:type="spellEnd"/>
      <w:r w:rsidR="009C39DA">
        <w:rPr>
          <w:rFonts w:ascii="Times New Roman" w:eastAsiaTheme="minorEastAsia" w:hAnsi="Times New Roman" w:cs="Times New Roman"/>
          <w:sz w:val="24"/>
          <w:szCs w:val="24"/>
          <w:lang w:val="es-ES"/>
        </w:rPr>
        <w:t xml:space="preserve"> una mejor compresión y caracterización.</w:t>
      </w:r>
    </w:p>
    <w:p w14:paraId="6062F684" w14:textId="28F81E88" w:rsidR="009C39DA" w:rsidRPr="00D03101" w:rsidRDefault="009C39DA" w:rsidP="00D03101">
      <w:pPr>
        <w:pStyle w:val="Ttulo2"/>
        <w:spacing w:line="360" w:lineRule="auto"/>
        <w:rPr>
          <w:rFonts w:ascii="Times New Roman" w:eastAsiaTheme="minorEastAsia" w:hAnsi="Times New Roman" w:cs="Times New Roman"/>
          <w:b/>
          <w:bCs/>
          <w:color w:val="auto"/>
          <w:sz w:val="24"/>
          <w:szCs w:val="24"/>
          <w:lang w:val="es-ES"/>
        </w:rPr>
      </w:pPr>
      <w:r w:rsidRPr="00D03101">
        <w:rPr>
          <w:rFonts w:ascii="Times New Roman" w:eastAsiaTheme="minorEastAsia" w:hAnsi="Times New Roman" w:cs="Times New Roman"/>
          <w:b/>
          <w:bCs/>
          <w:color w:val="auto"/>
          <w:sz w:val="24"/>
          <w:szCs w:val="24"/>
          <w:lang w:val="es-ES"/>
        </w:rPr>
        <w:t>1.</w:t>
      </w:r>
      <w:r w:rsidR="00814661" w:rsidRPr="00D03101">
        <w:rPr>
          <w:rFonts w:ascii="Times New Roman" w:eastAsiaTheme="minorEastAsia" w:hAnsi="Times New Roman" w:cs="Times New Roman"/>
          <w:b/>
          <w:bCs/>
          <w:color w:val="auto"/>
          <w:sz w:val="24"/>
          <w:szCs w:val="24"/>
          <w:lang w:val="es-ES"/>
        </w:rPr>
        <w:t>2</w:t>
      </w:r>
      <w:r w:rsidRPr="00D03101">
        <w:rPr>
          <w:rFonts w:ascii="Times New Roman" w:eastAsiaTheme="minorEastAsia" w:hAnsi="Times New Roman" w:cs="Times New Roman"/>
          <w:b/>
          <w:bCs/>
          <w:color w:val="auto"/>
          <w:sz w:val="24"/>
          <w:szCs w:val="24"/>
          <w:lang w:val="es-ES"/>
        </w:rPr>
        <w:t xml:space="preserve"> </w:t>
      </w:r>
      <w:r w:rsidR="00814661" w:rsidRPr="00D03101">
        <w:rPr>
          <w:rFonts w:ascii="Times New Roman" w:eastAsiaTheme="minorEastAsia" w:hAnsi="Times New Roman" w:cs="Times New Roman"/>
          <w:b/>
          <w:bCs/>
          <w:color w:val="auto"/>
          <w:sz w:val="24"/>
          <w:szCs w:val="24"/>
          <w:lang w:val="es-ES"/>
        </w:rPr>
        <w:t>Efectos de primer y segundo orden</w:t>
      </w:r>
    </w:p>
    <w:p w14:paraId="67A52295" w14:textId="6B6682E3" w:rsidR="00C52D00" w:rsidRDefault="00814661" w:rsidP="00C52D00">
      <w:pPr>
        <w:spacing w:line="360" w:lineRule="auto"/>
        <w:jc w:val="both"/>
        <w:rPr>
          <w:rFonts w:ascii="Times New Roman" w:eastAsiaTheme="minorEastAsia" w:hAnsi="Times New Roman" w:cs="Times New Roman"/>
          <w:sz w:val="24"/>
          <w:szCs w:val="24"/>
        </w:rPr>
      </w:pPr>
      <w:r w:rsidRPr="00814661">
        <w:rPr>
          <w:rFonts w:ascii="Times New Roman" w:eastAsiaTheme="minorEastAsia" w:hAnsi="Times New Roman" w:cs="Times New Roman"/>
          <w:sz w:val="24"/>
          <w:szCs w:val="24"/>
        </w:rPr>
        <w:t xml:space="preserve">El efecto </w:t>
      </w:r>
      <w:proofErr w:type="spellStart"/>
      <w:r w:rsidRPr="00814661">
        <w:rPr>
          <w:rFonts w:ascii="Times New Roman" w:eastAsiaTheme="minorEastAsia" w:hAnsi="Times New Roman" w:cs="Times New Roman"/>
          <w:sz w:val="24"/>
          <w:szCs w:val="24"/>
        </w:rPr>
        <w:t>pass-through</w:t>
      </w:r>
      <w:proofErr w:type="spellEnd"/>
      <w:r w:rsidRPr="00814661">
        <w:rPr>
          <w:rFonts w:ascii="Times New Roman" w:eastAsiaTheme="minorEastAsia" w:hAnsi="Times New Roman" w:cs="Times New Roman"/>
          <w:sz w:val="24"/>
          <w:szCs w:val="24"/>
        </w:rPr>
        <w:t xml:space="preserve"> se transmite a los p</w:t>
      </w:r>
      <w:r>
        <w:rPr>
          <w:rFonts w:ascii="Times New Roman" w:eastAsiaTheme="minorEastAsia" w:hAnsi="Times New Roman" w:cs="Times New Roman"/>
          <w:sz w:val="24"/>
          <w:szCs w:val="24"/>
        </w:rPr>
        <w:t xml:space="preserve">recios internos mediante dos tipos de efectos, </w:t>
      </w:r>
      <w:r w:rsidR="004A0D37">
        <w:rPr>
          <w:rFonts w:ascii="Times New Roman" w:eastAsiaTheme="minorEastAsia" w:hAnsi="Times New Roman" w:cs="Times New Roman"/>
          <w:sz w:val="24"/>
          <w:szCs w:val="24"/>
        </w:rPr>
        <w:t>de primer y segundo orden.</w:t>
      </w:r>
    </w:p>
    <w:p w14:paraId="56B823EB" w14:textId="564D68E6" w:rsidR="004A0D37" w:rsidRDefault="004A0D37" w:rsidP="00C52D0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efecto de primer orden se transmite por medio de dos canales, el primero de ellos es directo y se manifiesta de manera secuencial. Al momento de experimentarse un choque cambiario</w:t>
      </w:r>
      <w:r>
        <w:rPr>
          <w:rStyle w:val="Refdenotaalpie"/>
          <w:rFonts w:ascii="Times New Roman" w:eastAsiaTheme="minorEastAsia" w:hAnsi="Times New Roman" w:cs="Times New Roman"/>
          <w:sz w:val="24"/>
          <w:szCs w:val="24"/>
        </w:rPr>
        <w:footnoteReference w:id="2"/>
      </w:r>
      <w:r>
        <w:rPr>
          <w:rFonts w:ascii="Times New Roman" w:eastAsiaTheme="minorEastAsia" w:hAnsi="Times New Roman" w:cs="Times New Roman"/>
          <w:sz w:val="24"/>
          <w:szCs w:val="24"/>
        </w:rPr>
        <w:t xml:space="preserve"> en una primera instancia el precio de los bienes importados se ve modificado, estos pueden ser bienes de consumo, insumo o de capital. Si los bienes importados son de consumo el choque se traslada directo al consumidor mientras que </w:t>
      </w:r>
      <w:r w:rsidR="005809B1">
        <w:rPr>
          <w:rFonts w:ascii="Times New Roman" w:eastAsiaTheme="minorEastAsia" w:hAnsi="Times New Roman" w:cs="Times New Roman"/>
          <w:sz w:val="24"/>
          <w:szCs w:val="24"/>
        </w:rPr>
        <w:t xml:space="preserve">para los insumos y bienes de capital primero hay una modificación en la estructura interna de costos de las empresas y estas </w:t>
      </w:r>
      <w:r w:rsidR="005809B1">
        <w:rPr>
          <w:rFonts w:ascii="Times New Roman" w:eastAsiaTheme="minorEastAsia" w:hAnsi="Times New Roman" w:cs="Times New Roman"/>
          <w:sz w:val="24"/>
          <w:szCs w:val="24"/>
        </w:rPr>
        <w:lastRenderedPageBreak/>
        <w:t>trasladan el efecto de este choque al consumidor. Como puede observarse en última instancia es el consumidor final sobre el que recae el peso del choque cambiario.</w:t>
      </w:r>
    </w:p>
    <w:p w14:paraId="72BE200F" w14:textId="2D492588" w:rsidR="005809B1" w:rsidRDefault="005809B1" w:rsidP="00C52D0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canal indirecto se manifiesta en </w:t>
      </w:r>
      <w:r w:rsidR="00CE0A5A">
        <w:rPr>
          <w:rFonts w:ascii="Times New Roman" w:eastAsiaTheme="minorEastAsia" w:hAnsi="Times New Roman" w:cs="Times New Roman"/>
          <w:sz w:val="24"/>
          <w:szCs w:val="24"/>
        </w:rPr>
        <w:t xml:space="preserve">los mecanismos que rigen la demanda agregada. Cuando una economía experimenta un choque cambiario se ven modificados los precios relativos con el exterior así, por ejemplo, una depreciación cambiaria conduce un abaratamiento de los bienes domésticos por lo que la demanda de </w:t>
      </w:r>
      <w:r w:rsidR="00EC2366">
        <w:rPr>
          <w:rFonts w:ascii="Times New Roman" w:eastAsiaTheme="minorEastAsia" w:hAnsi="Times New Roman" w:cs="Times New Roman"/>
          <w:sz w:val="24"/>
          <w:szCs w:val="24"/>
        </w:rPr>
        <w:t>estos</w:t>
      </w:r>
      <w:r w:rsidR="00CE0A5A">
        <w:rPr>
          <w:rFonts w:ascii="Times New Roman" w:eastAsiaTheme="minorEastAsia" w:hAnsi="Times New Roman" w:cs="Times New Roman"/>
          <w:sz w:val="24"/>
          <w:szCs w:val="24"/>
        </w:rPr>
        <w:t xml:space="preserve"> aumentará generando una presión al alza sobre los precios internos.</w:t>
      </w:r>
    </w:p>
    <w:p w14:paraId="49E3534A" w14:textId="59FE4A3F" w:rsidR="00765EC0" w:rsidRDefault="00EC2366"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El efecto de segundo orden </w:t>
      </w:r>
      <w:r w:rsidR="00B62A57">
        <w:rPr>
          <w:rFonts w:ascii="Times New Roman" w:eastAsiaTheme="minorEastAsia" w:hAnsi="Times New Roman" w:cs="Times New Roman"/>
          <w:sz w:val="24"/>
          <w:szCs w:val="24"/>
          <w:lang w:val="es-ES"/>
        </w:rPr>
        <w:t xml:space="preserve">depende de las expectativas de los agentes y la confianza que estos tengan en la autoridad monetaria, así un entorno de certidumbre en el que la inflación es baja y estable </w:t>
      </w:r>
      <w:r w:rsidR="000C43EF">
        <w:rPr>
          <w:rFonts w:ascii="Times New Roman" w:eastAsiaTheme="minorEastAsia" w:hAnsi="Times New Roman" w:cs="Times New Roman"/>
          <w:sz w:val="24"/>
          <w:szCs w:val="24"/>
          <w:lang w:val="es-ES"/>
        </w:rPr>
        <w:t xml:space="preserve">es un escenario en el que las expectativas de los agentes están ancladas a la meta de inflación establecida por la autoridad monetaria por lo que el </w:t>
      </w:r>
      <w:proofErr w:type="spellStart"/>
      <w:r w:rsidR="000C43EF">
        <w:rPr>
          <w:rFonts w:ascii="Times New Roman" w:eastAsiaTheme="minorEastAsia" w:hAnsi="Times New Roman" w:cs="Times New Roman"/>
          <w:sz w:val="24"/>
          <w:szCs w:val="24"/>
          <w:lang w:val="es-ES"/>
        </w:rPr>
        <w:t>pass-through</w:t>
      </w:r>
      <w:proofErr w:type="spellEnd"/>
      <w:r w:rsidR="000C43EF">
        <w:rPr>
          <w:rFonts w:ascii="Times New Roman" w:eastAsiaTheme="minorEastAsia" w:hAnsi="Times New Roman" w:cs="Times New Roman"/>
          <w:sz w:val="24"/>
          <w:szCs w:val="24"/>
          <w:lang w:val="es-ES"/>
        </w:rPr>
        <w:t xml:space="preserve"> será pequeño mientras que un entorno de alta inflación es un escenario de incertidumbre para los agentes </w:t>
      </w:r>
      <w:r w:rsidR="00765EC0">
        <w:rPr>
          <w:rFonts w:ascii="Times New Roman" w:eastAsiaTheme="minorEastAsia" w:hAnsi="Times New Roman" w:cs="Times New Roman"/>
          <w:sz w:val="24"/>
          <w:szCs w:val="24"/>
          <w:lang w:val="es-ES"/>
        </w:rPr>
        <w:t xml:space="preserve">económicos que modificarían constantemente sus expectativas y por ende el </w:t>
      </w:r>
      <w:proofErr w:type="spellStart"/>
      <w:r w:rsidR="00765EC0">
        <w:rPr>
          <w:rFonts w:ascii="Times New Roman" w:eastAsiaTheme="minorEastAsia" w:hAnsi="Times New Roman" w:cs="Times New Roman"/>
          <w:sz w:val="24"/>
          <w:szCs w:val="24"/>
          <w:lang w:val="es-ES"/>
        </w:rPr>
        <w:t>pass-through</w:t>
      </w:r>
      <w:proofErr w:type="spellEnd"/>
      <w:r w:rsidR="00765EC0">
        <w:rPr>
          <w:rFonts w:ascii="Times New Roman" w:eastAsiaTheme="minorEastAsia" w:hAnsi="Times New Roman" w:cs="Times New Roman"/>
          <w:sz w:val="24"/>
          <w:szCs w:val="24"/>
          <w:lang w:val="es-ES"/>
        </w:rPr>
        <w:t xml:space="preserve"> sería mayor.</w:t>
      </w:r>
    </w:p>
    <w:p w14:paraId="09E5CD21" w14:textId="4B7A9CCC" w:rsidR="00FF22D8" w:rsidRDefault="00FF22D8"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Como puede verse el efecto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no solo depende de la existencia o no de libre comercio entre las naciones, también depende de elementos </w:t>
      </w:r>
      <w:r w:rsidR="00863D1E">
        <w:rPr>
          <w:rFonts w:ascii="Times New Roman" w:eastAsiaTheme="minorEastAsia" w:hAnsi="Times New Roman" w:cs="Times New Roman"/>
          <w:sz w:val="24"/>
          <w:szCs w:val="24"/>
          <w:lang w:val="es-ES"/>
        </w:rPr>
        <w:t xml:space="preserve">como el entorno inflacionario y elementos macroeconómicos como la estructura de mercado, elasticidades precio de la demanda y el nivel de rigidez nominal y real en la economía </w:t>
      </w:r>
      <w:sdt>
        <w:sdtPr>
          <w:rPr>
            <w:rFonts w:ascii="Times New Roman" w:eastAsiaTheme="minorEastAsia" w:hAnsi="Times New Roman" w:cs="Times New Roman"/>
            <w:sz w:val="24"/>
            <w:szCs w:val="24"/>
            <w:lang w:val="es-ES"/>
          </w:rPr>
          <w:id w:val="1672671138"/>
          <w:citation/>
        </w:sdtPr>
        <w:sdtContent>
          <w:r w:rsidR="00863D1E">
            <w:rPr>
              <w:rFonts w:ascii="Times New Roman" w:eastAsiaTheme="minorEastAsia" w:hAnsi="Times New Roman" w:cs="Times New Roman"/>
              <w:sz w:val="24"/>
              <w:szCs w:val="24"/>
              <w:lang w:val="es-ES"/>
            </w:rPr>
            <w:fldChar w:fldCharType="begin"/>
          </w:r>
          <w:r w:rsidR="00863D1E">
            <w:rPr>
              <w:rFonts w:ascii="Times New Roman" w:eastAsiaTheme="minorEastAsia" w:hAnsi="Times New Roman" w:cs="Times New Roman"/>
              <w:sz w:val="24"/>
              <w:szCs w:val="24"/>
              <w:lang w:val="es-MX"/>
            </w:rPr>
            <w:instrText xml:space="preserve"> CITATION Jor18 \l 2058 </w:instrText>
          </w:r>
          <w:r w:rsidR="00863D1E">
            <w:rPr>
              <w:rFonts w:ascii="Times New Roman" w:eastAsiaTheme="minorEastAsia" w:hAnsi="Times New Roman" w:cs="Times New Roman"/>
              <w:sz w:val="24"/>
              <w:szCs w:val="24"/>
              <w:lang w:val="es-ES"/>
            </w:rPr>
            <w:fldChar w:fldCharType="separate"/>
          </w:r>
          <w:r w:rsidR="00863D1E" w:rsidRPr="00863D1E">
            <w:rPr>
              <w:rFonts w:ascii="Times New Roman" w:eastAsiaTheme="minorEastAsia" w:hAnsi="Times New Roman" w:cs="Times New Roman"/>
              <w:noProof/>
              <w:sz w:val="24"/>
              <w:szCs w:val="24"/>
              <w:lang w:val="es-MX"/>
            </w:rPr>
            <w:t>(Carranza, 2018)</w:t>
          </w:r>
          <w:r w:rsidR="00863D1E">
            <w:rPr>
              <w:rFonts w:ascii="Times New Roman" w:eastAsiaTheme="minorEastAsia" w:hAnsi="Times New Roman" w:cs="Times New Roman"/>
              <w:sz w:val="24"/>
              <w:szCs w:val="24"/>
              <w:lang w:val="es-ES"/>
            </w:rPr>
            <w:fldChar w:fldCharType="end"/>
          </w:r>
        </w:sdtContent>
      </w:sdt>
      <w:r w:rsidR="00863D1E">
        <w:rPr>
          <w:rFonts w:ascii="Times New Roman" w:eastAsiaTheme="minorEastAsia" w:hAnsi="Times New Roman" w:cs="Times New Roman"/>
          <w:sz w:val="24"/>
          <w:szCs w:val="24"/>
          <w:lang w:val="es-ES"/>
        </w:rPr>
        <w:t>.</w:t>
      </w:r>
    </w:p>
    <w:p w14:paraId="2704E5BF" w14:textId="7DBBE526" w:rsidR="00352005" w:rsidRDefault="00352005"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Además de lo anterior se ha observado que las principales características del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son su magnitud, velocidad y la simetría.</w:t>
      </w:r>
    </w:p>
    <w:p w14:paraId="2C52D61F" w14:textId="0A48D37A" w:rsidR="00352005" w:rsidRDefault="00352005"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 </w:t>
      </w:r>
      <w:r>
        <w:rPr>
          <w:rFonts w:ascii="Times New Roman" w:eastAsiaTheme="minorEastAsia" w:hAnsi="Times New Roman" w:cs="Times New Roman"/>
          <w:b/>
          <w:bCs/>
          <w:sz w:val="24"/>
          <w:szCs w:val="24"/>
          <w:lang w:val="es-ES"/>
        </w:rPr>
        <w:t>magnitud</w:t>
      </w:r>
      <w:r>
        <w:rPr>
          <w:rFonts w:ascii="Times New Roman" w:eastAsiaTheme="minorEastAsia" w:hAnsi="Times New Roman" w:cs="Times New Roman"/>
          <w:sz w:val="24"/>
          <w:szCs w:val="24"/>
          <w:lang w:val="es-ES"/>
        </w:rPr>
        <w:t xml:space="preserve"> del coeficiente del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es el que define el tamaño del impacto que este tendrá sobre el nivel general de precios. Un efecto traspaso completo es aquel cull</w:t>
      </w:r>
      <w:r w:rsidR="0046113B">
        <w:rPr>
          <w:rFonts w:ascii="Times New Roman" w:eastAsiaTheme="minorEastAsia" w:hAnsi="Times New Roman" w:cs="Times New Roman"/>
          <w:sz w:val="24"/>
          <w:szCs w:val="24"/>
          <w:lang w:val="es-ES"/>
        </w:rPr>
        <w:t>o</w:t>
      </w:r>
      <w:r>
        <w:rPr>
          <w:rFonts w:ascii="Times New Roman" w:eastAsiaTheme="minorEastAsia" w:hAnsi="Times New Roman" w:cs="Times New Roman"/>
          <w:sz w:val="24"/>
          <w:szCs w:val="24"/>
          <w:lang w:val="es-ES"/>
        </w:rPr>
        <w:t xml:space="preserve"> </w:t>
      </w:r>
      <w:r w:rsidR="0046113B">
        <w:rPr>
          <w:rFonts w:ascii="Times New Roman" w:eastAsiaTheme="minorEastAsia" w:hAnsi="Times New Roman" w:cs="Times New Roman"/>
          <w:sz w:val="24"/>
          <w:szCs w:val="24"/>
          <w:lang w:val="es-ES"/>
        </w:rPr>
        <w:t>coeficiente</w:t>
      </w:r>
      <w:r>
        <w:rPr>
          <w:rFonts w:ascii="Times New Roman" w:eastAsiaTheme="minorEastAsia" w:hAnsi="Times New Roman" w:cs="Times New Roman"/>
          <w:sz w:val="24"/>
          <w:szCs w:val="24"/>
          <w:lang w:val="es-ES"/>
        </w:rPr>
        <w:t xml:space="preserve"> es igual a la unidad, esto quiere decir que el efecto del choque cambiario se traslada de manera </w:t>
      </w:r>
      <w:proofErr w:type="spellStart"/>
      <w:r>
        <w:rPr>
          <w:rFonts w:ascii="Times New Roman" w:eastAsiaTheme="minorEastAsia" w:hAnsi="Times New Roman" w:cs="Times New Roman"/>
          <w:sz w:val="24"/>
          <w:szCs w:val="24"/>
          <w:lang w:val="es-ES"/>
        </w:rPr>
        <w:t>integra</w:t>
      </w:r>
      <w:proofErr w:type="spellEnd"/>
      <w:r>
        <w:rPr>
          <w:rFonts w:ascii="Times New Roman" w:eastAsiaTheme="minorEastAsia" w:hAnsi="Times New Roman" w:cs="Times New Roman"/>
          <w:sz w:val="24"/>
          <w:szCs w:val="24"/>
          <w:lang w:val="es-ES"/>
        </w:rPr>
        <w:t xml:space="preserve"> al niel general de precios, por otro </w:t>
      </w:r>
      <w:r w:rsidR="0046113B">
        <w:rPr>
          <w:rFonts w:ascii="Times New Roman" w:eastAsiaTheme="minorEastAsia" w:hAnsi="Times New Roman" w:cs="Times New Roman"/>
          <w:sz w:val="24"/>
          <w:szCs w:val="24"/>
          <w:lang w:val="es-ES"/>
        </w:rPr>
        <w:t>lado, si el coeficiente es menor a la unidad solo una proporción del choque cambiario se traslada al nivel de precios.</w:t>
      </w:r>
    </w:p>
    <w:p w14:paraId="0678978E" w14:textId="34B1D76C" w:rsidR="0046113B" w:rsidRDefault="0046113B"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 </w:t>
      </w:r>
      <w:r>
        <w:rPr>
          <w:rFonts w:ascii="Times New Roman" w:eastAsiaTheme="minorEastAsia" w:hAnsi="Times New Roman" w:cs="Times New Roman"/>
          <w:b/>
          <w:bCs/>
          <w:sz w:val="24"/>
          <w:szCs w:val="24"/>
          <w:lang w:val="es-ES"/>
        </w:rPr>
        <w:t>velocidad</w:t>
      </w:r>
      <w:r>
        <w:rPr>
          <w:rFonts w:ascii="Times New Roman" w:eastAsiaTheme="minorEastAsia" w:hAnsi="Times New Roman" w:cs="Times New Roman"/>
          <w:sz w:val="24"/>
          <w:szCs w:val="24"/>
          <w:lang w:val="es-ES"/>
        </w:rPr>
        <w:t xml:space="preserve"> se refiere al tiempo que le toma el choque cambiario materializarse en una variación en el nivel de precios. El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puede ser inmediato afectando a los precios en el momento en el que se manifiesta o puede materializarse en un momento diferente hasta alcanzar su valor de largo plazo.</w:t>
      </w:r>
    </w:p>
    <w:p w14:paraId="25A21371" w14:textId="25609FF7" w:rsidR="007A2341" w:rsidRDefault="007A2341"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lastRenderedPageBreak/>
        <w:t xml:space="preserve">Un ejemplo de ello se puede observar en las funciones impulso respuesta de los modelos de Vectores Autorregresivos como lo expone el trabajo hecho por </w:t>
      </w:r>
      <w:sdt>
        <w:sdtPr>
          <w:rPr>
            <w:rFonts w:ascii="Times New Roman" w:eastAsiaTheme="minorEastAsia" w:hAnsi="Times New Roman" w:cs="Times New Roman"/>
            <w:sz w:val="24"/>
            <w:szCs w:val="24"/>
            <w:lang w:val="es-ES"/>
          </w:rPr>
          <w:id w:val="-874380906"/>
          <w:citation/>
        </w:sdtPr>
        <w:sdtContent>
          <w:r w:rsidR="00101F14">
            <w:rPr>
              <w:rFonts w:ascii="Times New Roman" w:eastAsiaTheme="minorEastAsia" w:hAnsi="Times New Roman" w:cs="Times New Roman"/>
              <w:sz w:val="24"/>
              <w:szCs w:val="24"/>
              <w:lang w:val="es-ES"/>
            </w:rPr>
            <w:fldChar w:fldCharType="begin"/>
          </w:r>
          <w:r w:rsidR="00101F14">
            <w:rPr>
              <w:rFonts w:ascii="Times New Roman" w:eastAsiaTheme="minorEastAsia" w:hAnsi="Times New Roman" w:cs="Times New Roman"/>
              <w:sz w:val="24"/>
              <w:szCs w:val="24"/>
              <w:lang w:val="es-MX"/>
            </w:rPr>
            <w:instrText xml:space="preserve"> CITATION Moy05 \l 2058 </w:instrText>
          </w:r>
          <w:r w:rsidR="00101F14">
            <w:rPr>
              <w:rFonts w:ascii="Times New Roman" w:eastAsiaTheme="minorEastAsia" w:hAnsi="Times New Roman" w:cs="Times New Roman"/>
              <w:sz w:val="24"/>
              <w:szCs w:val="24"/>
              <w:lang w:val="es-ES"/>
            </w:rPr>
            <w:fldChar w:fldCharType="separate"/>
          </w:r>
          <w:r w:rsidR="00101F14" w:rsidRPr="00101F14">
            <w:rPr>
              <w:rFonts w:ascii="Times New Roman" w:eastAsiaTheme="minorEastAsia" w:hAnsi="Times New Roman" w:cs="Times New Roman"/>
              <w:noProof/>
              <w:sz w:val="24"/>
              <w:szCs w:val="24"/>
              <w:lang w:val="es-MX"/>
            </w:rPr>
            <w:t>(Moya, 2005)</w:t>
          </w:r>
          <w:r w:rsidR="00101F14">
            <w:rPr>
              <w:rFonts w:ascii="Times New Roman" w:eastAsiaTheme="minorEastAsia" w:hAnsi="Times New Roman" w:cs="Times New Roman"/>
              <w:sz w:val="24"/>
              <w:szCs w:val="24"/>
              <w:lang w:val="es-ES"/>
            </w:rPr>
            <w:fldChar w:fldCharType="end"/>
          </w:r>
        </w:sdtContent>
      </w:sdt>
      <w:r w:rsidR="00186890">
        <w:rPr>
          <w:rFonts w:ascii="Times New Roman" w:eastAsiaTheme="minorEastAsia" w:hAnsi="Times New Roman" w:cs="Times New Roman"/>
          <w:sz w:val="24"/>
          <w:szCs w:val="24"/>
          <w:lang w:val="es-ES"/>
        </w:rPr>
        <w:t xml:space="preserve">, en el cual se observa como la magnitud del </w:t>
      </w:r>
      <w:proofErr w:type="spellStart"/>
      <w:r w:rsidR="00186890">
        <w:rPr>
          <w:rFonts w:ascii="Times New Roman" w:eastAsiaTheme="minorEastAsia" w:hAnsi="Times New Roman" w:cs="Times New Roman"/>
          <w:sz w:val="24"/>
          <w:szCs w:val="24"/>
          <w:lang w:val="es-ES"/>
        </w:rPr>
        <w:t>pass-th</w:t>
      </w:r>
      <w:r w:rsidR="00682ABD">
        <w:rPr>
          <w:rFonts w:ascii="Times New Roman" w:eastAsiaTheme="minorEastAsia" w:hAnsi="Times New Roman" w:cs="Times New Roman"/>
          <w:sz w:val="24"/>
          <w:szCs w:val="24"/>
          <w:lang w:val="es-ES"/>
        </w:rPr>
        <w:t>r</w:t>
      </w:r>
      <w:r w:rsidR="00186890">
        <w:rPr>
          <w:rFonts w:ascii="Times New Roman" w:eastAsiaTheme="minorEastAsia" w:hAnsi="Times New Roman" w:cs="Times New Roman"/>
          <w:sz w:val="24"/>
          <w:szCs w:val="24"/>
          <w:lang w:val="es-ES"/>
        </w:rPr>
        <w:t>ough</w:t>
      </w:r>
      <w:proofErr w:type="spellEnd"/>
      <w:r w:rsidR="00186890">
        <w:rPr>
          <w:rFonts w:ascii="Times New Roman" w:eastAsiaTheme="minorEastAsia" w:hAnsi="Times New Roman" w:cs="Times New Roman"/>
          <w:sz w:val="24"/>
          <w:szCs w:val="24"/>
          <w:lang w:val="es-ES"/>
        </w:rPr>
        <w:t xml:space="preserve"> cambia en el tiempo y su impacto desaparece con el mismo.</w:t>
      </w:r>
    </w:p>
    <w:p w14:paraId="772EFBDE" w14:textId="02DCA59A" w:rsidR="00186890" w:rsidRPr="00682ABD" w:rsidRDefault="00186890" w:rsidP="00682ABD">
      <w:pPr>
        <w:pStyle w:val="Descripcin"/>
        <w:keepNext/>
        <w:rPr>
          <w:rFonts w:ascii="Times New Roman" w:hAnsi="Times New Roman" w:cs="Times New Roman"/>
          <w:color w:val="FFFFFF" w:themeColor="background1"/>
          <w:sz w:val="24"/>
          <w:szCs w:val="24"/>
        </w:rPr>
      </w:pPr>
      <w:r w:rsidRPr="00682ABD">
        <w:rPr>
          <w:rFonts w:ascii="Times New Roman" w:hAnsi="Times New Roman" w:cs="Times New Roman"/>
          <w:b/>
          <w:bCs/>
          <w:color w:val="auto"/>
          <w:sz w:val="24"/>
          <w:szCs w:val="24"/>
        </w:rPr>
        <w:t xml:space="preserve">Figura </w:t>
      </w:r>
      <w:r w:rsidRPr="00682ABD">
        <w:rPr>
          <w:rFonts w:ascii="Times New Roman" w:hAnsi="Times New Roman" w:cs="Times New Roman"/>
          <w:b/>
          <w:bCs/>
          <w:color w:val="auto"/>
          <w:sz w:val="24"/>
          <w:szCs w:val="24"/>
        </w:rPr>
        <w:fldChar w:fldCharType="begin"/>
      </w:r>
      <w:r w:rsidRPr="00682ABD">
        <w:rPr>
          <w:rFonts w:ascii="Times New Roman" w:hAnsi="Times New Roman" w:cs="Times New Roman"/>
          <w:b/>
          <w:bCs/>
          <w:color w:val="auto"/>
          <w:sz w:val="24"/>
          <w:szCs w:val="24"/>
        </w:rPr>
        <w:instrText xml:space="preserve"> SEQ Figura \* ARABIC </w:instrText>
      </w:r>
      <w:r w:rsidRPr="00682ABD">
        <w:rPr>
          <w:rFonts w:ascii="Times New Roman" w:hAnsi="Times New Roman" w:cs="Times New Roman"/>
          <w:b/>
          <w:bCs/>
          <w:color w:val="auto"/>
          <w:sz w:val="24"/>
          <w:szCs w:val="24"/>
        </w:rPr>
        <w:fldChar w:fldCharType="separate"/>
      </w:r>
      <w:r w:rsidR="00D066D9">
        <w:rPr>
          <w:rFonts w:ascii="Times New Roman" w:hAnsi="Times New Roman" w:cs="Times New Roman"/>
          <w:b/>
          <w:bCs/>
          <w:noProof/>
          <w:color w:val="auto"/>
          <w:sz w:val="24"/>
          <w:szCs w:val="24"/>
        </w:rPr>
        <w:t>1</w:t>
      </w:r>
      <w:r w:rsidRPr="00682ABD">
        <w:rPr>
          <w:rFonts w:ascii="Times New Roman" w:hAnsi="Times New Roman" w:cs="Times New Roman"/>
          <w:b/>
          <w:bCs/>
          <w:color w:val="auto"/>
          <w:sz w:val="24"/>
          <w:szCs w:val="24"/>
        </w:rPr>
        <w:fldChar w:fldCharType="end"/>
      </w:r>
      <w:r w:rsidRPr="00682ABD">
        <w:rPr>
          <w:rFonts w:ascii="Times New Roman" w:hAnsi="Times New Roman" w:cs="Times New Roman"/>
          <w:b/>
          <w:bCs/>
          <w:color w:val="auto"/>
          <w:sz w:val="24"/>
          <w:szCs w:val="24"/>
        </w:rPr>
        <w:t xml:space="preserve"> </w:t>
      </w:r>
      <w:r w:rsidRPr="00682ABD">
        <w:rPr>
          <w:rFonts w:ascii="Times New Roman" w:hAnsi="Times New Roman" w:cs="Times New Roman"/>
          <w:color w:val="FFFFFF" w:themeColor="background1"/>
          <w:sz w:val="24"/>
          <w:szCs w:val="24"/>
        </w:rPr>
        <w:t xml:space="preserve">Función impulso respuesta del efecto </w:t>
      </w:r>
      <w:proofErr w:type="spellStart"/>
      <w:r w:rsidRPr="00682ABD">
        <w:rPr>
          <w:rFonts w:ascii="Times New Roman" w:hAnsi="Times New Roman" w:cs="Times New Roman"/>
          <w:color w:val="FFFFFF" w:themeColor="background1"/>
          <w:sz w:val="24"/>
          <w:szCs w:val="24"/>
        </w:rPr>
        <w:t>pass-through</w:t>
      </w:r>
      <w:proofErr w:type="spellEnd"/>
      <w:r w:rsidRPr="00682ABD">
        <w:rPr>
          <w:rFonts w:ascii="Times New Roman" w:hAnsi="Times New Roman" w:cs="Times New Roman"/>
          <w:color w:val="FFFFFF" w:themeColor="background1"/>
          <w:sz w:val="24"/>
          <w:szCs w:val="24"/>
        </w:rPr>
        <w:t xml:space="preserve"> en Costa Rica</w:t>
      </w:r>
    </w:p>
    <w:p w14:paraId="2D34CD6D" w14:textId="31BE2CA5" w:rsidR="00682ABD" w:rsidRPr="00682ABD" w:rsidRDefault="00682ABD" w:rsidP="00682ABD">
      <w:pPr>
        <w:pStyle w:val="Descripcin"/>
        <w:keepNext/>
        <w:rPr>
          <w:rFonts w:ascii="Times New Roman" w:hAnsi="Times New Roman" w:cs="Times New Roman"/>
          <w:b/>
          <w:bCs/>
          <w:color w:val="auto"/>
          <w:sz w:val="24"/>
          <w:szCs w:val="24"/>
        </w:rPr>
      </w:pPr>
      <w:r w:rsidRPr="00682ABD">
        <w:rPr>
          <w:rFonts w:ascii="Times New Roman" w:hAnsi="Times New Roman" w:cs="Times New Roman"/>
          <w:color w:val="auto"/>
          <w:sz w:val="24"/>
          <w:szCs w:val="24"/>
        </w:rPr>
        <w:t xml:space="preserve">Función impulso respuesta del efecto </w:t>
      </w:r>
      <w:proofErr w:type="spellStart"/>
      <w:r w:rsidRPr="00682ABD">
        <w:rPr>
          <w:rFonts w:ascii="Times New Roman" w:hAnsi="Times New Roman" w:cs="Times New Roman"/>
          <w:color w:val="auto"/>
          <w:sz w:val="24"/>
          <w:szCs w:val="24"/>
        </w:rPr>
        <w:t>pass-through</w:t>
      </w:r>
      <w:proofErr w:type="spellEnd"/>
      <w:r w:rsidRPr="00682ABD">
        <w:rPr>
          <w:rFonts w:ascii="Times New Roman" w:hAnsi="Times New Roman" w:cs="Times New Roman"/>
          <w:color w:val="auto"/>
          <w:sz w:val="24"/>
          <w:szCs w:val="24"/>
        </w:rPr>
        <w:t xml:space="preserve"> en Costa Rica</w:t>
      </w:r>
    </w:p>
    <w:p w14:paraId="7E5F64A1" w14:textId="506D284A" w:rsidR="007A2341" w:rsidRDefault="007A2341" w:rsidP="00186890">
      <w:pPr>
        <w:spacing w:line="360" w:lineRule="auto"/>
        <w:jc w:val="center"/>
        <w:rPr>
          <w:rFonts w:ascii="Times New Roman" w:eastAsiaTheme="minorEastAsia" w:hAnsi="Times New Roman" w:cs="Times New Roman"/>
          <w:sz w:val="24"/>
          <w:szCs w:val="24"/>
          <w:lang w:val="es-ES"/>
        </w:rPr>
      </w:pPr>
      <w:r w:rsidRPr="007A2341">
        <w:rPr>
          <w:rFonts w:ascii="Times New Roman" w:eastAsiaTheme="minorEastAsia" w:hAnsi="Times New Roman" w:cs="Times New Roman"/>
          <w:noProof/>
          <w:sz w:val="24"/>
          <w:szCs w:val="24"/>
          <w:lang w:val="es-ES"/>
        </w:rPr>
        <w:drawing>
          <wp:inline distT="0" distB="0" distL="0" distR="0" wp14:anchorId="029DCF06" wp14:editId="5191E498">
            <wp:extent cx="3880237" cy="2146906"/>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0750" cy="2152723"/>
                    </a:xfrm>
                    <a:prstGeom prst="rect">
                      <a:avLst/>
                    </a:prstGeom>
                  </pic:spPr>
                </pic:pic>
              </a:graphicData>
            </a:graphic>
          </wp:inline>
        </w:drawing>
      </w:r>
    </w:p>
    <w:p w14:paraId="4D418E94" w14:textId="77777777" w:rsidR="00D71020" w:rsidRDefault="00AA5186" w:rsidP="00D71020">
      <w:pPr>
        <w:spacing w:line="240" w:lineRule="auto"/>
        <w:jc w:val="both"/>
        <w:rPr>
          <w:rFonts w:ascii="Times New Roman" w:eastAsiaTheme="minorEastAsia" w:hAnsi="Times New Roman" w:cs="Times New Roman"/>
          <w:sz w:val="24"/>
          <w:szCs w:val="24"/>
          <w:lang w:val="es-ES"/>
        </w:rPr>
      </w:pPr>
      <w:r w:rsidRPr="004B7E0D">
        <w:rPr>
          <w:rFonts w:ascii="Times New Roman" w:eastAsiaTheme="minorEastAsia" w:hAnsi="Times New Roman" w:cs="Times New Roman"/>
          <w:i/>
          <w:iCs/>
          <w:sz w:val="24"/>
          <w:szCs w:val="24"/>
          <w:lang w:val="es-ES"/>
        </w:rPr>
        <w:t>Nota:</w:t>
      </w:r>
      <w:r>
        <w:rPr>
          <w:rFonts w:ascii="Times New Roman" w:eastAsiaTheme="minorEastAsia" w:hAnsi="Times New Roman" w:cs="Times New Roman"/>
          <w:b/>
          <w:bCs/>
          <w:i/>
          <w:iCs/>
          <w:sz w:val="24"/>
          <w:szCs w:val="24"/>
          <w:lang w:val="es-ES"/>
        </w:rPr>
        <w:t xml:space="preserve"> </w:t>
      </w:r>
      <w:r w:rsidR="004B7E0D" w:rsidRPr="004B7E0D">
        <w:rPr>
          <w:rFonts w:ascii="Times New Roman" w:eastAsiaTheme="minorEastAsia" w:hAnsi="Times New Roman" w:cs="Times New Roman"/>
          <w:sz w:val="24"/>
          <w:szCs w:val="24"/>
          <w:lang w:val="es-ES"/>
        </w:rPr>
        <w:t>Tomado de</w:t>
      </w:r>
      <w:r w:rsidR="004B7E0D">
        <w:rPr>
          <w:rFonts w:ascii="Times New Roman" w:eastAsiaTheme="minorEastAsia" w:hAnsi="Times New Roman" w:cs="Times New Roman"/>
          <w:sz w:val="24"/>
          <w:szCs w:val="24"/>
          <w:lang w:val="es-ES"/>
        </w:rPr>
        <w:t xml:space="preserve"> </w:t>
      </w:r>
      <w:r w:rsidR="004B7E0D">
        <w:rPr>
          <w:rFonts w:ascii="Times New Roman" w:eastAsiaTheme="minorEastAsia" w:hAnsi="Times New Roman" w:cs="Times New Roman"/>
          <w:i/>
          <w:iCs/>
          <w:sz w:val="24"/>
          <w:szCs w:val="24"/>
          <w:lang w:val="es-ES"/>
        </w:rPr>
        <w:t>Estimación del Pass-</w:t>
      </w:r>
      <w:proofErr w:type="spellStart"/>
      <w:r w:rsidR="004B7E0D">
        <w:rPr>
          <w:rFonts w:ascii="Times New Roman" w:eastAsiaTheme="minorEastAsia" w:hAnsi="Times New Roman" w:cs="Times New Roman"/>
          <w:i/>
          <w:iCs/>
          <w:sz w:val="24"/>
          <w:szCs w:val="24"/>
          <w:lang w:val="es-ES"/>
        </w:rPr>
        <w:t>Through</w:t>
      </w:r>
      <w:proofErr w:type="spellEnd"/>
      <w:r w:rsidR="004B7E0D">
        <w:rPr>
          <w:rFonts w:ascii="Times New Roman" w:eastAsiaTheme="minorEastAsia" w:hAnsi="Times New Roman" w:cs="Times New Roman"/>
          <w:i/>
          <w:iCs/>
          <w:sz w:val="24"/>
          <w:szCs w:val="24"/>
          <w:lang w:val="es-ES"/>
        </w:rPr>
        <w:t xml:space="preserve"> en Costa Rica </w:t>
      </w:r>
      <w:r w:rsidR="004B7E0D">
        <w:rPr>
          <w:rFonts w:ascii="Times New Roman" w:eastAsiaTheme="minorEastAsia" w:hAnsi="Times New Roman" w:cs="Times New Roman"/>
          <w:sz w:val="24"/>
          <w:szCs w:val="24"/>
          <w:lang w:val="es-ES"/>
        </w:rPr>
        <w:t xml:space="preserve">(p. 120) </w:t>
      </w:r>
      <w:r w:rsidR="00D71020">
        <w:rPr>
          <w:rFonts w:ascii="Times New Roman" w:eastAsiaTheme="minorEastAsia" w:hAnsi="Times New Roman" w:cs="Times New Roman"/>
          <w:sz w:val="24"/>
          <w:szCs w:val="24"/>
          <w:lang w:val="es-ES"/>
        </w:rPr>
        <w:t xml:space="preserve">por </w:t>
      </w:r>
      <w:r w:rsidR="00D71020" w:rsidRPr="00D71020">
        <w:rPr>
          <w:rFonts w:ascii="Times New Roman" w:eastAsiaTheme="minorEastAsia" w:hAnsi="Times New Roman" w:cs="Times New Roman"/>
          <w:sz w:val="24"/>
          <w:szCs w:val="24"/>
          <w:lang w:val="es-ES"/>
        </w:rPr>
        <w:t>Allan Calderón Moya</w:t>
      </w:r>
      <w:r w:rsidR="00D71020">
        <w:rPr>
          <w:rFonts w:ascii="Times New Roman" w:eastAsiaTheme="minorEastAsia" w:hAnsi="Times New Roman" w:cs="Times New Roman"/>
          <w:sz w:val="24"/>
          <w:szCs w:val="24"/>
          <w:lang w:val="es-ES"/>
        </w:rPr>
        <w:t>, 2005.</w:t>
      </w:r>
    </w:p>
    <w:p w14:paraId="3C46C391" w14:textId="549FE855" w:rsidR="00D87510" w:rsidRDefault="000C3222" w:rsidP="000C3222">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 última de las características es la </w:t>
      </w:r>
      <w:r>
        <w:rPr>
          <w:rFonts w:ascii="Times New Roman" w:eastAsiaTheme="minorEastAsia" w:hAnsi="Times New Roman" w:cs="Times New Roman"/>
          <w:b/>
          <w:bCs/>
          <w:sz w:val="24"/>
          <w:szCs w:val="24"/>
          <w:lang w:val="es-ES"/>
        </w:rPr>
        <w:t>simetría</w:t>
      </w:r>
      <w:r w:rsidR="009D6F6F">
        <w:rPr>
          <w:rFonts w:ascii="Times New Roman" w:eastAsiaTheme="minorEastAsia" w:hAnsi="Times New Roman" w:cs="Times New Roman"/>
          <w:sz w:val="24"/>
          <w:szCs w:val="24"/>
          <w:lang w:val="es-ES"/>
        </w:rPr>
        <w:t xml:space="preserve">. Esta </w:t>
      </w:r>
      <w:r w:rsidR="00D87510">
        <w:rPr>
          <w:rFonts w:ascii="Times New Roman" w:eastAsiaTheme="minorEastAsia" w:hAnsi="Times New Roman" w:cs="Times New Roman"/>
          <w:sz w:val="24"/>
          <w:szCs w:val="24"/>
          <w:lang w:val="es-ES"/>
        </w:rPr>
        <w:t>se refiere a la respuesta de los precios ante distintos tipos de choques mencionándose generalmente la depreciación y apreciación del tipo de cambio en un momento dado.</w:t>
      </w:r>
      <w:r w:rsidR="009D6F6F">
        <w:rPr>
          <w:rFonts w:ascii="Times New Roman" w:eastAsiaTheme="minorEastAsia" w:hAnsi="Times New Roman" w:cs="Times New Roman"/>
          <w:sz w:val="24"/>
          <w:szCs w:val="24"/>
          <w:lang w:val="es-ES"/>
        </w:rPr>
        <w:t xml:space="preserve"> Asumiendo que la respuesta de los precios es simétrica esta se comporta de igual forma y magnitud ante los choques antes descritos. </w:t>
      </w:r>
    </w:p>
    <w:p w14:paraId="5486BC4B" w14:textId="1AAD36D4" w:rsidR="00682ABD" w:rsidRDefault="00D87510" w:rsidP="00300F24">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Además de lo anterior este tema se ha abordado con bastante amplitud en distintos trabajos y bajo enfoques distintos</w:t>
      </w:r>
      <w:r w:rsidR="009D6F6F">
        <w:rPr>
          <w:rFonts w:ascii="Times New Roman" w:eastAsiaTheme="minorEastAsia" w:hAnsi="Times New Roman" w:cs="Times New Roman"/>
          <w:sz w:val="24"/>
          <w:szCs w:val="24"/>
          <w:lang w:val="es-ES"/>
        </w:rPr>
        <w:t xml:space="preserve">, </w:t>
      </w:r>
      <w:r w:rsidR="00EE4CDC">
        <w:rPr>
          <w:rFonts w:ascii="Times New Roman" w:eastAsiaTheme="minorEastAsia" w:hAnsi="Times New Roman" w:cs="Times New Roman"/>
          <w:sz w:val="24"/>
          <w:szCs w:val="24"/>
          <w:lang w:val="es-ES"/>
        </w:rPr>
        <w:t xml:space="preserve">autores como </w:t>
      </w:r>
      <w:sdt>
        <w:sdtPr>
          <w:rPr>
            <w:rFonts w:ascii="Times New Roman" w:eastAsiaTheme="minorEastAsia" w:hAnsi="Times New Roman" w:cs="Times New Roman"/>
            <w:sz w:val="24"/>
            <w:szCs w:val="24"/>
            <w:lang w:val="es-ES"/>
          </w:rPr>
          <w:id w:val="616875205"/>
          <w:citation/>
        </w:sdtPr>
        <w:sdtContent>
          <w:r w:rsidR="00B773D5">
            <w:rPr>
              <w:rFonts w:ascii="Times New Roman" w:eastAsiaTheme="minorEastAsia" w:hAnsi="Times New Roman" w:cs="Times New Roman"/>
              <w:sz w:val="24"/>
              <w:szCs w:val="24"/>
              <w:lang w:val="es-ES"/>
            </w:rPr>
            <w:fldChar w:fldCharType="begin"/>
          </w:r>
          <w:r w:rsidR="00B773D5">
            <w:rPr>
              <w:rFonts w:ascii="Times New Roman" w:eastAsiaTheme="minorEastAsia" w:hAnsi="Times New Roman" w:cs="Times New Roman"/>
              <w:sz w:val="24"/>
              <w:szCs w:val="24"/>
              <w:lang w:val="es-MX"/>
            </w:rPr>
            <w:instrText xml:space="preserve"> CITATION Bru16 \l 2058 </w:instrText>
          </w:r>
          <w:r w:rsidR="00B773D5">
            <w:rPr>
              <w:rFonts w:ascii="Times New Roman" w:eastAsiaTheme="minorEastAsia" w:hAnsi="Times New Roman" w:cs="Times New Roman"/>
              <w:sz w:val="24"/>
              <w:szCs w:val="24"/>
              <w:lang w:val="es-ES"/>
            </w:rPr>
            <w:fldChar w:fldCharType="separate"/>
          </w:r>
          <w:r w:rsidR="00B773D5" w:rsidRPr="00B773D5">
            <w:rPr>
              <w:rFonts w:ascii="Times New Roman" w:eastAsiaTheme="minorEastAsia" w:hAnsi="Times New Roman" w:cs="Times New Roman"/>
              <w:noProof/>
              <w:sz w:val="24"/>
              <w:szCs w:val="24"/>
              <w:lang w:val="es-MX"/>
            </w:rPr>
            <w:t>(Brufman, Trajtenberg, &amp; Donaldson, 2016)</w:t>
          </w:r>
          <w:r w:rsidR="00B773D5">
            <w:rPr>
              <w:rFonts w:ascii="Times New Roman" w:eastAsiaTheme="minorEastAsia" w:hAnsi="Times New Roman" w:cs="Times New Roman"/>
              <w:sz w:val="24"/>
              <w:szCs w:val="24"/>
              <w:lang w:val="es-ES"/>
            </w:rPr>
            <w:fldChar w:fldCharType="end"/>
          </w:r>
        </w:sdtContent>
      </w:sdt>
      <w:r w:rsidR="00EE4CDC">
        <w:rPr>
          <w:rFonts w:ascii="Times New Roman" w:eastAsiaTheme="minorEastAsia" w:hAnsi="Times New Roman" w:cs="Times New Roman"/>
          <w:sz w:val="24"/>
          <w:szCs w:val="24"/>
          <w:lang w:val="es-ES"/>
        </w:rPr>
        <w:t xml:space="preserve"> hacen referencia a los distintos enfoques con lo que se ha abordado </w:t>
      </w:r>
      <w:r w:rsidR="009D6F6F">
        <w:rPr>
          <w:rFonts w:ascii="Times New Roman" w:eastAsiaTheme="minorEastAsia" w:hAnsi="Times New Roman" w:cs="Times New Roman"/>
          <w:sz w:val="24"/>
          <w:szCs w:val="24"/>
          <w:lang w:val="es-ES"/>
        </w:rPr>
        <w:t xml:space="preserve">la </w:t>
      </w:r>
      <w:r w:rsidR="009D6F6F" w:rsidRPr="009D6F6F">
        <w:rPr>
          <w:rFonts w:ascii="Times New Roman" w:eastAsiaTheme="minorEastAsia" w:hAnsi="Times New Roman" w:cs="Times New Roman"/>
          <w:i/>
          <w:iCs/>
          <w:sz w:val="24"/>
          <w:szCs w:val="24"/>
          <w:lang w:val="es-ES"/>
        </w:rPr>
        <w:t>asimetría</w:t>
      </w:r>
      <w:r w:rsidR="00EE4CDC">
        <w:rPr>
          <w:rFonts w:ascii="Times New Roman" w:eastAsiaTheme="minorEastAsia" w:hAnsi="Times New Roman" w:cs="Times New Roman"/>
          <w:sz w:val="24"/>
          <w:szCs w:val="24"/>
          <w:lang w:val="es-ES"/>
        </w:rPr>
        <w:t xml:space="preserve"> mencionando los trabajos de</w:t>
      </w:r>
      <w:r w:rsidR="00300F24">
        <w:rPr>
          <w:rFonts w:ascii="Times New Roman" w:eastAsiaTheme="minorEastAsia" w:hAnsi="Times New Roman" w:cs="Times New Roman"/>
          <w:sz w:val="24"/>
          <w:szCs w:val="24"/>
          <w:lang w:val="es-ES"/>
        </w:rPr>
        <w:t xml:space="preserve"> </w:t>
      </w:r>
      <w:proofErr w:type="spellStart"/>
      <w:r w:rsidR="00300F24">
        <w:rPr>
          <w:rFonts w:ascii="Times New Roman" w:eastAsiaTheme="minorEastAsia" w:hAnsi="Times New Roman" w:cs="Times New Roman"/>
          <w:sz w:val="24"/>
          <w:szCs w:val="24"/>
          <w:lang w:val="es-ES"/>
        </w:rPr>
        <w:t>Goldfajn</w:t>
      </w:r>
      <w:proofErr w:type="spellEnd"/>
      <w:r w:rsidR="00300F24">
        <w:rPr>
          <w:rFonts w:ascii="Times New Roman" w:eastAsiaTheme="minorEastAsia" w:hAnsi="Times New Roman" w:cs="Times New Roman"/>
          <w:sz w:val="24"/>
          <w:szCs w:val="24"/>
          <w:lang w:val="es-ES"/>
        </w:rPr>
        <w:t xml:space="preserve"> y </w:t>
      </w:r>
      <w:proofErr w:type="spellStart"/>
      <w:r w:rsidR="00300F24">
        <w:rPr>
          <w:rFonts w:ascii="Times New Roman" w:eastAsiaTheme="minorEastAsia" w:hAnsi="Times New Roman" w:cs="Times New Roman"/>
          <w:sz w:val="24"/>
          <w:szCs w:val="24"/>
          <w:lang w:val="es-ES"/>
        </w:rPr>
        <w:t>Werlang</w:t>
      </w:r>
      <w:proofErr w:type="spellEnd"/>
      <w:r w:rsidR="00300F24">
        <w:rPr>
          <w:rFonts w:ascii="Times New Roman" w:eastAsiaTheme="minorEastAsia" w:hAnsi="Times New Roman" w:cs="Times New Roman"/>
          <w:sz w:val="24"/>
          <w:szCs w:val="24"/>
          <w:lang w:val="es-ES"/>
        </w:rPr>
        <w:t xml:space="preserve"> (2000) </w:t>
      </w:r>
      <w:r w:rsidR="00EE4CDC">
        <w:rPr>
          <w:rFonts w:ascii="Times New Roman" w:eastAsiaTheme="minorEastAsia" w:hAnsi="Times New Roman" w:cs="Times New Roman"/>
          <w:sz w:val="24"/>
          <w:szCs w:val="24"/>
          <w:lang w:val="es-ES"/>
        </w:rPr>
        <w:t xml:space="preserve">quienes afirmaban que </w:t>
      </w:r>
      <w:r w:rsidR="002A48BA">
        <w:rPr>
          <w:rFonts w:ascii="Times New Roman" w:eastAsiaTheme="minorEastAsia" w:hAnsi="Times New Roman" w:cs="Times New Roman"/>
          <w:sz w:val="24"/>
          <w:szCs w:val="24"/>
          <w:lang w:val="es-ES"/>
        </w:rPr>
        <w:t xml:space="preserve">el elemento de asimetría se encontraba en el estado de la actividad económica al momento de experimentarse una depreciación cambiaria encontrando que en periodos de expansión del ciclo económico el efecto </w:t>
      </w:r>
      <w:proofErr w:type="spellStart"/>
      <w:r w:rsidR="002A48BA">
        <w:rPr>
          <w:rFonts w:ascii="Times New Roman" w:eastAsiaTheme="minorEastAsia" w:hAnsi="Times New Roman" w:cs="Times New Roman"/>
          <w:sz w:val="24"/>
          <w:szCs w:val="24"/>
          <w:lang w:val="es-ES"/>
        </w:rPr>
        <w:t>pass-trhough</w:t>
      </w:r>
      <w:proofErr w:type="spellEnd"/>
      <w:r w:rsidR="002A48BA">
        <w:rPr>
          <w:rFonts w:ascii="Times New Roman" w:eastAsiaTheme="minorEastAsia" w:hAnsi="Times New Roman" w:cs="Times New Roman"/>
          <w:sz w:val="24"/>
          <w:szCs w:val="24"/>
          <w:lang w:val="es-ES"/>
        </w:rPr>
        <w:t xml:space="preserve"> es mayor que en periodos de contracción económica. </w:t>
      </w:r>
      <w:r w:rsidR="009D6F6F">
        <w:rPr>
          <w:rFonts w:ascii="Times New Roman" w:eastAsiaTheme="minorEastAsia" w:hAnsi="Times New Roman" w:cs="Times New Roman"/>
          <w:sz w:val="24"/>
          <w:szCs w:val="24"/>
          <w:lang w:val="es-ES"/>
        </w:rPr>
        <w:t xml:space="preserve">Otra de las fuentes de asimetría </w:t>
      </w:r>
      <w:r w:rsidR="00300F24">
        <w:rPr>
          <w:rFonts w:ascii="Times New Roman" w:eastAsiaTheme="minorEastAsia" w:hAnsi="Times New Roman" w:cs="Times New Roman"/>
          <w:sz w:val="24"/>
          <w:szCs w:val="24"/>
          <w:lang w:val="es-ES"/>
        </w:rPr>
        <w:t xml:space="preserve">es la dirección del choque cambiario que </w:t>
      </w:r>
      <w:r w:rsidR="009D6F6F">
        <w:rPr>
          <w:rFonts w:ascii="Times New Roman" w:eastAsiaTheme="minorEastAsia" w:hAnsi="Times New Roman" w:cs="Times New Roman"/>
          <w:sz w:val="24"/>
          <w:szCs w:val="24"/>
          <w:lang w:val="es-ES"/>
        </w:rPr>
        <w:t xml:space="preserve">son expuestas en los trabajos de </w:t>
      </w:r>
      <w:r w:rsidR="00300F24">
        <w:rPr>
          <w:rFonts w:ascii="Times New Roman" w:eastAsiaTheme="minorEastAsia" w:hAnsi="Times New Roman" w:cs="Times New Roman"/>
          <w:sz w:val="24"/>
          <w:szCs w:val="24"/>
          <w:lang w:val="es-ES"/>
        </w:rPr>
        <w:t xml:space="preserve">Goldberg (1995), Mann (1986) y Campa </w:t>
      </w:r>
      <w:r w:rsidR="00BD0894">
        <w:rPr>
          <w:rFonts w:ascii="Times New Roman" w:eastAsiaTheme="minorEastAsia" w:hAnsi="Times New Roman" w:cs="Times New Roman"/>
          <w:sz w:val="24"/>
          <w:szCs w:val="24"/>
          <w:lang w:val="es-ES"/>
        </w:rPr>
        <w:t>&amp;</w:t>
      </w:r>
      <w:r w:rsidR="00300F24">
        <w:rPr>
          <w:rFonts w:ascii="Times New Roman" w:eastAsiaTheme="minorEastAsia" w:hAnsi="Times New Roman" w:cs="Times New Roman"/>
          <w:sz w:val="24"/>
          <w:szCs w:val="24"/>
          <w:lang w:val="es-ES"/>
        </w:rPr>
        <w:t xml:space="preserve"> Goldberg (2002), por otro lado, </w:t>
      </w:r>
      <w:proofErr w:type="spellStart"/>
      <w:r w:rsidR="00300F24" w:rsidRPr="00300F24">
        <w:rPr>
          <w:rFonts w:ascii="Times New Roman" w:eastAsiaTheme="minorEastAsia" w:hAnsi="Times New Roman" w:cs="Times New Roman"/>
          <w:sz w:val="24"/>
          <w:szCs w:val="24"/>
          <w:lang w:val="es-ES"/>
        </w:rPr>
        <w:t>Pollard</w:t>
      </w:r>
      <w:proofErr w:type="spellEnd"/>
      <w:r w:rsidR="00300F24" w:rsidRPr="00300F24">
        <w:rPr>
          <w:rFonts w:ascii="Times New Roman" w:eastAsiaTheme="minorEastAsia" w:hAnsi="Times New Roman" w:cs="Times New Roman"/>
          <w:sz w:val="24"/>
          <w:szCs w:val="24"/>
          <w:lang w:val="es-ES"/>
        </w:rPr>
        <w:t xml:space="preserve"> y </w:t>
      </w:r>
      <w:proofErr w:type="spellStart"/>
      <w:r w:rsidR="00300F24" w:rsidRPr="00300F24">
        <w:rPr>
          <w:rFonts w:ascii="Times New Roman" w:eastAsiaTheme="minorEastAsia" w:hAnsi="Times New Roman" w:cs="Times New Roman"/>
          <w:sz w:val="24"/>
          <w:szCs w:val="24"/>
          <w:lang w:val="es-ES"/>
        </w:rPr>
        <w:lastRenderedPageBreak/>
        <w:t>Coughlin</w:t>
      </w:r>
      <w:proofErr w:type="spellEnd"/>
      <w:r w:rsidR="00300F24" w:rsidRPr="00300F24">
        <w:rPr>
          <w:rFonts w:ascii="Times New Roman" w:eastAsiaTheme="minorEastAsia" w:hAnsi="Times New Roman" w:cs="Times New Roman"/>
          <w:sz w:val="24"/>
          <w:szCs w:val="24"/>
          <w:lang w:val="es-ES"/>
        </w:rPr>
        <w:t xml:space="preserve"> (2004)</w:t>
      </w:r>
      <w:r w:rsidR="00300F24">
        <w:rPr>
          <w:rFonts w:ascii="Times New Roman" w:eastAsiaTheme="minorEastAsia" w:hAnsi="Times New Roman" w:cs="Times New Roman"/>
          <w:sz w:val="24"/>
          <w:szCs w:val="24"/>
          <w:lang w:val="es-ES"/>
        </w:rPr>
        <w:t xml:space="preserve"> centraron su enfoque de la asimetría </w:t>
      </w:r>
      <w:r w:rsidR="00BD0894">
        <w:rPr>
          <w:rFonts w:ascii="Times New Roman" w:eastAsiaTheme="minorEastAsia" w:hAnsi="Times New Roman" w:cs="Times New Roman"/>
          <w:sz w:val="24"/>
          <w:szCs w:val="24"/>
          <w:lang w:val="es-ES"/>
        </w:rPr>
        <w:t xml:space="preserve">en la dependencia del efecto </w:t>
      </w:r>
      <w:proofErr w:type="spellStart"/>
      <w:r w:rsidR="00BD0894">
        <w:rPr>
          <w:rFonts w:ascii="Times New Roman" w:eastAsiaTheme="minorEastAsia" w:hAnsi="Times New Roman" w:cs="Times New Roman"/>
          <w:sz w:val="24"/>
          <w:szCs w:val="24"/>
          <w:lang w:val="es-ES"/>
        </w:rPr>
        <w:t>pass-through</w:t>
      </w:r>
      <w:proofErr w:type="spellEnd"/>
      <w:r w:rsidR="00BD0894">
        <w:rPr>
          <w:rFonts w:ascii="Times New Roman" w:eastAsiaTheme="minorEastAsia" w:hAnsi="Times New Roman" w:cs="Times New Roman"/>
          <w:sz w:val="24"/>
          <w:szCs w:val="24"/>
          <w:lang w:val="es-ES"/>
        </w:rPr>
        <w:t xml:space="preserve"> del grado del choque cambiario que se experimente.</w:t>
      </w:r>
    </w:p>
    <w:p w14:paraId="03DE1617" w14:textId="7B3C1309" w:rsidR="00F70118" w:rsidRDefault="00290866" w:rsidP="0029086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Finalmente, uno de los mayores aportes al tema de la asimetría del efecto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es el aporte de </w:t>
      </w:r>
      <w:sdt>
        <w:sdtPr>
          <w:rPr>
            <w:rFonts w:ascii="Times New Roman" w:eastAsiaTheme="minorEastAsia" w:hAnsi="Times New Roman" w:cs="Times New Roman"/>
            <w:sz w:val="24"/>
            <w:szCs w:val="24"/>
            <w:lang w:val="es-ES"/>
          </w:rPr>
          <w:id w:val="-823886930"/>
          <w:citation/>
        </w:sdtPr>
        <w:sdtContent>
          <w:r>
            <w:rPr>
              <w:rFonts w:ascii="Times New Roman" w:eastAsiaTheme="minorEastAsia" w:hAnsi="Times New Roman" w:cs="Times New Roman"/>
              <w:sz w:val="24"/>
              <w:szCs w:val="24"/>
              <w:lang w:val="es-ES"/>
            </w:rPr>
            <w:fldChar w:fldCharType="begin"/>
          </w:r>
          <w:r>
            <w:rPr>
              <w:rFonts w:ascii="Times New Roman" w:eastAsiaTheme="minorEastAsia" w:hAnsi="Times New Roman" w:cs="Times New Roman"/>
              <w:sz w:val="24"/>
              <w:szCs w:val="24"/>
              <w:lang w:val="es-MX"/>
            </w:rPr>
            <w:instrText xml:space="preserve"> CITATION Joh00 \l 2058 </w:instrText>
          </w:r>
          <w:r>
            <w:rPr>
              <w:rFonts w:ascii="Times New Roman" w:eastAsiaTheme="minorEastAsia" w:hAnsi="Times New Roman" w:cs="Times New Roman"/>
              <w:sz w:val="24"/>
              <w:szCs w:val="24"/>
              <w:lang w:val="es-ES"/>
            </w:rPr>
            <w:fldChar w:fldCharType="separate"/>
          </w:r>
          <w:r w:rsidRPr="00765EC0">
            <w:rPr>
              <w:rFonts w:ascii="Times New Roman" w:eastAsiaTheme="minorEastAsia" w:hAnsi="Times New Roman" w:cs="Times New Roman"/>
              <w:noProof/>
              <w:sz w:val="24"/>
              <w:szCs w:val="24"/>
              <w:lang w:val="es-MX"/>
            </w:rPr>
            <w:t>(Taylor, 2000)</w:t>
          </w:r>
          <w:r>
            <w:rPr>
              <w:rFonts w:ascii="Times New Roman" w:eastAsiaTheme="minorEastAsia" w:hAnsi="Times New Roman" w:cs="Times New Roman"/>
              <w:sz w:val="24"/>
              <w:szCs w:val="24"/>
              <w:lang w:val="es-ES"/>
            </w:rPr>
            <w:fldChar w:fldCharType="end"/>
          </w:r>
        </w:sdtContent>
      </w:sdt>
      <w:r>
        <w:rPr>
          <w:rFonts w:ascii="Times New Roman" w:eastAsiaTheme="minorEastAsia" w:hAnsi="Times New Roman" w:cs="Times New Roman"/>
          <w:sz w:val="24"/>
          <w:szCs w:val="24"/>
          <w:lang w:val="es-ES"/>
        </w:rPr>
        <w:t xml:space="preserve">. </w:t>
      </w:r>
      <w:r w:rsidR="004B1626">
        <w:rPr>
          <w:rFonts w:ascii="Times New Roman" w:eastAsiaTheme="minorEastAsia" w:hAnsi="Times New Roman" w:cs="Times New Roman"/>
          <w:sz w:val="24"/>
          <w:szCs w:val="24"/>
          <w:lang w:val="es-ES"/>
        </w:rPr>
        <w:t xml:space="preserve">Dentro de su trabajo Taylor expone que la magnitud del efecto </w:t>
      </w:r>
      <w:proofErr w:type="spellStart"/>
      <w:r w:rsidR="004B1626">
        <w:rPr>
          <w:rFonts w:ascii="Times New Roman" w:eastAsiaTheme="minorEastAsia" w:hAnsi="Times New Roman" w:cs="Times New Roman"/>
          <w:sz w:val="24"/>
          <w:szCs w:val="24"/>
          <w:lang w:val="es-ES"/>
        </w:rPr>
        <w:t>pass-through</w:t>
      </w:r>
      <w:proofErr w:type="spellEnd"/>
      <w:r w:rsidR="004B1626">
        <w:rPr>
          <w:rFonts w:ascii="Times New Roman" w:eastAsiaTheme="minorEastAsia" w:hAnsi="Times New Roman" w:cs="Times New Roman"/>
          <w:sz w:val="24"/>
          <w:szCs w:val="24"/>
          <w:lang w:val="es-ES"/>
        </w:rPr>
        <w:t xml:space="preserve"> depende del contexto inflacionario en el que suceda el choque cambiario así, en periodos de inflación baja y estable el choque cambiario tendría una transmisión débil hacia los precios mientras que en un escenario de inflación alta la magnitud del choque se transmite en un grado mayor a los precios. El trabajo de Taylor es muy importante </w:t>
      </w:r>
      <w:proofErr w:type="spellStart"/>
      <w:r w:rsidR="004B1626">
        <w:rPr>
          <w:rFonts w:ascii="Times New Roman" w:eastAsiaTheme="minorEastAsia" w:hAnsi="Times New Roman" w:cs="Times New Roman"/>
          <w:sz w:val="24"/>
          <w:szCs w:val="24"/>
          <w:lang w:val="es-ES"/>
        </w:rPr>
        <w:t>por que</w:t>
      </w:r>
      <w:proofErr w:type="spellEnd"/>
      <w:r w:rsidR="004B1626">
        <w:rPr>
          <w:rFonts w:ascii="Times New Roman" w:eastAsiaTheme="minorEastAsia" w:hAnsi="Times New Roman" w:cs="Times New Roman"/>
          <w:sz w:val="24"/>
          <w:szCs w:val="24"/>
          <w:lang w:val="es-ES"/>
        </w:rPr>
        <w:t xml:space="preserve"> ayudó a cerrar el debate del por qué en la década de los años 90´s la inflación había disminuido. Para Taylor la caída </w:t>
      </w:r>
      <w:r w:rsidR="005852F7">
        <w:rPr>
          <w:rFonts w:ascii="Times New Roman" w:eastAsiaTheme="minorEastAsia" w:hAnsi="Times New Roman" w:cs="Times New Roman"/>
          <w:sz w:val="24"/>
          <w:szCs w:val="24"/>
          <w:lang w:val="es-ES"/>
        </w:rPr>
        <w:t xml:space="preserve">en la </w:t>
      </w:r>
      <w:r w:rsidR="004B1626">
        <w:rPr>
          <w:rFonts w:ascii="Times New Roman" w:eastAsiaTheme="minorEastAsia" w:hAnsi="Times New Roman" w:cs="Times New Roman"/>
          <w:sz w:val="24"/>
          <w:szCs w:val="24"/>
          <w:lang w:val="es-ES"/>
        </w:rPr>
        <w:t xml:space="preserve">inflación no estaba asociada a una caída </w:t>
      </w:r>
      <w:r w:rsidR="005852F7">
        <w:rPr>
          <w:rFonts w:ascii="Times New Roman" w:eastAsiaTheme="minorEastAsia" w:hAnsi="Times New Roman" w:cs="Times New Roman"/>
          <w:sz w:val="24"/>
          <w:szCs w:val="24"/>
          <w:lang w:val="es-ES"/>
        </w:rPr>
        <w:t xml:space="preserve">en el grado en el que las firmas eran capaces de trasladar los cambios en sus costos de producción a los precios, capacidad que regularmente es denominada como “poder de fijación de precios” </w:t>
      </w:r>
      <w:proofErr w:type="spellStart"/>
      <w:r w:rsidR="005852F7">
        <w:rPr>
          <w:rFonts w:ascii="Times New Roman" w:eastAsiaTheme="minorEastAsia" w:hAnsi="Times New Roman" w:cs="Times New Roman"/>
          <w:sz w:val="24"/>
          <w:szCs w:val="24"/>
          <w:lang w:val="es-ES"/>
        </w:rPr>
        <w:t>si no</w:t>
      </w:r>
      <w:proofErr w:type="spellEnd"/>
      <w:r w:rsidR="005852F7">
        <w:rPr>
          <w:rFonts w:ascii="Times New Roman" w:eastAsiaTheme="minorEastAsia" w:hAnsi="Times New Roman" w:cs="Times New Roman"/>
          <w:sz w:val="24"/>
          <w:szCs w:val="24"/>
          <w:lang w:val="es-ES"/>
        </w:rPr>
        <w:t xml:space="preserve"> más bien consecuencia de la caída en el nivel de inflación, en este sentido al momento de experimentarse cualquier </w:t>
      </w:r>
      <w:r w:rsidR="00994154">
        <w:rPr>
          <w:rFonts w:ascii="Times New Roman" w:eastAsiaTheme="minorEastAsia" w:hAnsi="Times New Roman" w:cs="Times New Roman"/>
          <w:sz w:val="24"/>
          <w:szCs w:val="24"/>
          <w:lang w:val="es-ES"/>
        </w:rPr>
        <w:t>choque</w:t>
      </w:r>
      <w:r w:rsidR="005852F7">
        <w:rPr>
          <w:rFonts w:ascii="Times New Roman" w:eastAsiaTheme="minorEastAsia" w:hAnsi="Times New Roman" w:cs="Times New Roman"/>
          <w:sz w:val="24"/>
          <w:szCs w:val="24"/>
          <w:lang w:val="es-ES"/>
        </w:rPr>
        <w:t xml:space="preserve"> en los costos, incluido</w:t>
      </w:r>
      <w:r w:rsidR="00994154">
        <w:rPr>
          <w:rFonts w:ascii="Times New Roman" w:eastAsiaTheme="minorEastAsia" w:hAnsi="Times New Roman" w:cs="Times New Roman"/>
          <w:sz w:val="24"/>
          <w:szCs w:val="24"/>
          <w:lang w:val="es-ES"/>
        </w:rPr>
        <w:t>s los</w:t>
      </w:r>
      <w:r w:rsidR="005852F7">
        <w:rPr>
          <w:rFonts w:ascii="Times New Roman" w:eastAsiaTheme="minorEastAsia" w:hAnsi="Times New Roman" w:cs="Times New Roman"/>
          <w:sz w:val="24"/>
          <w:szCs w:val="24"/>
          <w:lang w:val="es-ES"/>
        </w:rPr>
        <w:t xml:space="preserve"> cambiarios, </w:t>
      </w:r>
      <w:r w:rsidR="00994154">
        <w:rPr>
          <w:rFonts w:ascii="Times New Roman" w:eastAsiaTheme="minorEastAsia" w:hAnsi="Times New Roman" w:cs="Times New Roman"/>
          <w:sz w:val="24"/>
          <w:szCs w:val="24"/>
          <w:lang w:val="es-ES"/>
        </w:rPr>
        <w:t xml:space="preserve">la capacidad de transmitir el choque a los precios dependerá del estado inflacionario de la economía. </w:t>
      </w:r>
      <w:r w:rsidR="00F70118">
        <w:rPr>
          <w:rFonts w:ascii="Times New Roman" w:eastAsiaTheme="minorEastAsia" w:hAnsi="Times New Roman" w:cs="Times New Roman"/>
          <w:sz w:val="24"/>
          <w:szCs w:val="24"/>
          <w:lang w:val="es-ES"/>
        </w:rPr>
        <w:t xml:space="preserve">Para concluir, Taylor le dio especial importancia a la labor de la autoridad monetaria de mantener la inflación baja ya que la disminución del efecto traspaso es producto de </w:t>
      </w:r>
      <w:r w:rsidR="00D03101">
        <w:rPr>
          <w:rFonts w:ascii="Times New Roman" w:eastAsiaTheme="minorEastAsia" w:hAnsi="Times New Roman" w:cs="Times New Roman"/>
          <w:sz w:val="24"/>
          <w:szCs w:val="24"/>
          <w:lang w:val="es-ES"/>
        </w:rPr>
        <w:t>una política monetaria creíble</w:t>
      </w:r>
      <w:r w:rsidR="00F70118">
        <w:rPr>
          <w:rFonts w:ascii="Times New Roman" w:eastAsiaTheme="minorEastAsia" w:hAnsi="Times New Roman" w:cs="Times New Roman"/>
          <w:sz w:val="24"/>
          <w:szCs w:val="24"/>
          <w:lang w:val="es-ES"/>
        </w:rPr>
        <w:t xml:space="preserve"> y una autoridad monetaria en la que los agentes económicos tienen confianza.</w:t>
      </w:r>
    </w:p>
    <w:p w14:paraId="5914A659" w14:textId="13F9B4B7" w:rsidR="00D03101" w:rsidRPr="000B7FCC" w:rsidRDefault="00D03101" w:rsidP="000B7FCC">
      <w:pPr>
        <w:pStyle w:val="Ttulo2"/>
        <w:spacing w:line="360" w:lineRule="auto"/>
        <w:rPr>
          <w:rFonts w:ascii="Times New Roman" w:eastAsiaTheme="minorEastAsia" w:hAnsi="Times New Roman" w:cs="Times New Roman"/>
          <w:b/>
          <w:bCs/>
          <w:color w:val="auto"/>
          <w:sz w:val="24"/>
          <w:szCs w:val="24"/>
          <w:lang w:val="es-ES"/>
        </w:rPr>
      </w:pPr>
      <w:r w:rsidRPr="000B7FCC">
        <w:rPr>
          <w:rFonts w:ascii="Times New Roman" w:eastAsiaTheme="minorEastAsia" w:hAnsi="Times New Roman" w:cs="Times New Roman"/>
          <w:b/>
          <w:bCs/>
          <w:color w:val="auto"/>
          <w:sz w:val="24"/>
          <w:szCs w:val="24"/>
          <w:lang w:val="es-ES"/>
        </w:rPr>
        <w:t>1.3</w:t>
      </w:r>
      <w:r w:rsidR="000D039F" w:rsidRPr="000B7FCC">
        <w:rPr>
          <w:rFonts w:ascii="Times New Roman" w:eastAsiaTheme="minorEastAsia" w:hAnsi="Times New Roman" w:cs="Times New Roman"/>
          <w:b/>
          <w:bCs/>
          <w:color w:val="auto"/>
          <w:sz w:val="24"/>
          <w:szCs w:val="24"/>
          <w:lang w:val="es-ES"/>
        </w:rPr>
        <w:t xml:space="preserve"> Determinantes microeconómicos de </w:t>
      </w:r>
      <w:proofErr w:type="spellStart"/>
      <w:r w:rsidR="000D039F" w:rsidRPr="000B7FCC">
        <w:rPr>
          <w:rFonts w:ascii="Times New Roman" w:eastAsiaTheme="minorEastAsia" w:hAnsi="Times New Roman" w:cs="Times New Roman"/>
          <w:b/>
          <w:bCs/>
          <w:color w:val="auto"/>
          <w:sz w:val="24"/>
          <w:szCs w:val="24"/>
          <w:lang w:val="es-ES"/>
        </w:rPr>
        <w:t>pass-through</w:t>
      </w:r>
      <w:proofErr w:type="spellEnd"/>
    </w:p>
    <w:p w14:paraId="33A6BD22" w14:textId="7F58319B" w:rsidR="000D039F" w:rsidRDefault="005C0DDB" w:rsidP="0029086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En la teoría microeconómica se han identificado una serie de determinantes microeconómicos del </w:t>
      </w:r>
      <w:proofErr w:type="spellStart"/>
      <w:r>
        <w:rPr>
          <w:rFonts w:ascii="Times New Roman" w:eastAsiaTheme="minorEastAsia" w:hAnsi="Times New Roman" w:cs="Times New Roman"/>
          <w:sz w:val="24"/>
          <w:szCs w:val="24"/>
          <w:lang w:val="es-ES"/>
        </w:rPr>
        <w:t>pass-trhough</w:t>
      </w:r>
      <w:proofErr w:type="spellEnd"/>
      <w:r>
        <w:rPr>
          <w:rFonts w:ascii="Times New Roman" w:eastAsiaTheme="minorEastAsia" w:hAnsi="Times New Roman" w:cs="Times New Roman"/>
          <w:sz w:val="24"/>
          <w:szCs w:val="24"/>
          <w:lang w:val="es-ES"/>
        </w:rPr>
        <w:t>, en este sentido Miller (2003) sugiere los siguientes:</w:t>
      </w:r>
    </w:p>
    <w:p w14:paraId="3997A7F1" w14:textId="07D888E9" w:rsidR="007D18B4" w:rsidRPr="00977C24" w:rsidRDefault="00FD3D08" w:rsidP="00977C24">
      <w:pPr>
        <w:pStyle w:val="Ttulo3"/>
        <w:spacing w:line="360" w:lineRule="auto"/>
        <w:rPr>
          <w:rFonts w:ascii="Times New Roman" w:eastAsiaTheme="minorEastAsia" w:hAnsi="Times New Roman" w:cs="Times New Roman"/>
          <w:color w:val="auto"/>
          <w:lang w:val="es-ES"/>
        </w:rPr>
      </w:pPr>
      <w:r w:rsidRPr="00977C24">
        <w:rPr>
          <w:rFonts w:ascii="Times New Roman" w:eastAsiaTheme="minorEastAsia" w:hAnsi="Times New Roman" w:cs="Times New Roman"/>
          <w:b/>
          <w:bCs/>
          <w:color w:val="auto"/>
          <w:lang w:val="es-ES"/>
        </w:rPr>
        <w:t>1.3.1</w:t>
      </w:r>
      <w:r w:rsidRPr="00977C24">
        <w:rPr>
          <w:rFonts w:ascii="Times New Roman" w:eastAsiaTheme="minorEastAsia" w:hAnsi="Times New Roman" w:cs="Times New Roman"/>
          <w:color w:val="auto"/>
          <w:lang w:val="es-ES"/>
        </w:rPr>
        <w:t xml:space="preserve"> </w:t>
      </w:r>
      <w:r w:rsidRPr="00977C24">
        <w:rPr>
          <w:rFonts w:ascii="Times New Roman" w:eastAsiaTheme="minorEastAsia" w:hAnsi="Times New Roman" w:cs="Times New Roman"/>
          <w:b/>
          <w:bCs/>
          <w:color w:val="auto"/>
          <w:lang w:val="es-ES"/>
        </w:rPr>
        <w:t>Política de fijación de precios</w:t>
      </w:r>
    </w:p>
    <w:p w14:paraId="050E8892" w14:textId="44640C60" w:rsidR="007D18B4" w:rsidRDefault="00EC1D11" w:rsidP="0029086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Las empresas pueden ejercer un poder monopólico u oligopólico y discriminar precios entre productos y lugares distintos, </w:t>
      </w:r>
      <w:r w:rsidR="008F26B1">
        <w:rPr>
          <w:rFonts w:ascii="Times New Roman" w:eastAsiaTheme="minorEastAsia" w:hAnsi="Times New Roman" w:cs="Times New Roman"/>
          <w:sz w:val="24"/>
          <w:szCs w:val="24"/>
          <w:lang w:val="es-ES"/>
        </w:rPr>
        <w:t xml:space="preserve">en la medida en la cual sea mayor el poder de discriminación menor será el </w:t>
      </w:r>
      <w:proofErr w:type="spellStart"/>
      <w:r w:rsidR="008F26B1">
        <w:rPr>
          <w:rFonts w:ascii="Times New Roman" w:eastAsiaTheme="minorEastAsia" w:hAnsi="Times New Roman" w:cs="Times New Roman"/>
          <w:sz w:val="24"/>
          <w:szCs w:val="24"/>
          <w:lang w:val="es-ES"/>
        </w:rPr>
        <w:t>pass-through</w:t>
      </w:r>
      <w:proofErr w:type="spellEnd"/>
      <w:r w:rsidR="008F26B1">
        <w:rPr>
          <w:rFonts w:ascii="Times New Roman" w:eastAsiaTheme="minorEastAsia" w:hAnsi="Times New Roman" w:cs="Times New Roman"/>
          <w:sz w:val="24"/>
          <w:szCs w:val="24"/>
          <w:lang w:val="es-ES"/>
        </w:rPr>
        <w:t>.</w:t>
      </w:r>
    </w:p>
    <w:p w14:paraId="43EC2074" w14:textId="71D522EB" w:rsidR="007D18B4" w:rsidRDefault="007D18B4" w:rsidP="00290866">
      <w:pPr>
        <w:spacing w:line="360" w:lineRule="auto"/>
        <w:jc w:val="both"/>
        <w:rPr>
          <w:rFonts w:ascii="Times New Roman" w:eastAsiaTheme="minorEastAsia" w:hAnsi="Times New Roman" w:cs="Times New Roman"/>
          <w:sz w:val="24"/>
          <w:szCs w:val="24"/>
          <w:lang w:val="es-ES"/>
        </w:rPr>
      </w:pPr>
    </w:p>
    <w:p w14:paraId="18A97B2C" w14:textId="77777777" w:rsidR="006B7E86" w:rsidRDefault="006B7E86" w:rsidP="00290866">
      <w:pPr>
        <w:spacing w:line="360" w:lineRule="auto"/>
        <w:jc w:val="both"/>
        <w:rPr>
          <w:rFonts w:ascii="Times New Roman" w:eastAsiaTheme="minorEastAsia" w:hAnsi="Times New Roman" w:cs="Times New Roman"/>
          <w:sz w:val="24"/>
          <w:szCs w:val="24"/>
          <w:lang w:val="es-ES"/>
        </w:rPr>
      </w:pPr>
    </w:p>
    <w:p w14:paraId="3404FDF5" w14:textId="08FB3AC2" w:rsidR="007D18B4" w:rsidRPr="00977C24" w:rsidRDefault="007D18B4" w:rsidP="00977C24">
      <w:pPr>
        <w:pStyle w:val="Ttulo3"/>
        <w:spacing w:line="360" w:lineRule="auto"/>
        <w:rPr>
          <w:rFonts w:ascii="Times New Roman" w:eastAsiaTheme="minorEastAsia" w:hAnsi="Times New Roman" w:cs="Times New Roman"/>
          <w:b/>
          <w:bCs/>
          <w:color w:val="auto"/>
          <w:lang w:val="es-ES"/>
        </w:rPr>
      </w:pPr>
      <w:r w:rsidRPr="00977C24">
        <w:rPr>
          <w:rFonts w:ascii="Times New Roman" w:eastAsiaTheme="minorEastAsia" w:hAnsi="Times New Roman" w:cs="Times New Roman"/>
          <w:b/>
          <w:bCs/>
          <w:color w:val="auto"/>
          <w:lang w:val="es-ES"/>
        </w:rPr>
        <w:lastRenderedPageBreak/>
        <w:t>1.3.2 La existencia de costos de menú</w:t>
      </w:r>
    </w:p>
    <w:p w14:paraId="2909E73D" w14:textId="0F3B1346" w:rsidR="007D18B4" w:rsidRDefault="007D18B4" w:rsidP="0029086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Los costos de menú pueden llegar a determinar el grado del </w:t>
      </w:r>
      <w:proofErr w:type="spellStart"/>
      <w:r>
        <w:rPr>
          <w:rFonts w:ascii="Times New Roman" w:eastAsiaTheme="minorEastAsia" w:hAnsi="Times New Roman" w:cs="Times New Roman"/>
          <w:sz w:val="24"/>
          <w:szCs w:val="24"/>
          <w:lang w:val="es-ES"/>
        </w:rPr>
        <w:t>pass-th</w:t>
      </w:r>
      <w:r w:rsidR="000C7BF7">
        <w:rPr>
          <w:rFonts w:ascii="Times New Roman" w:eastAsiaTheme="minorEastAsia" w:hAnsi="Times New Roman" w:cs="Times New Roman"/>
          <w:sz w:val="24"/>
          <w:szCs w:val="24"/>
          <w:lang w:val="es-ES"/>
        </w:rPr>
        <w:t>r</w:t>
      </w:r>
      <w:r>
        <w:rPr>
          <w:rFonts w:ascii="Times New Roman" w:eastAsiaTheme="minorEastAsia" w:hAnsi="Times New Roman" w:cs="Times New Roman"/>
          <w:sz w:val="24"/>
          <w:szCs w:val="24"/>
          <w:lang w:val="es-ES"/>
        </w:rPr>
        <w:t>ough</w:t>
      </w:r>
      <w:proofErr w:type="spellEnd"/>
      <w:r>
        <w:rPr>
          <w:rFonts w:ascii="Times New Roman" w:eastAsiaTheme="minorEastAsia" w:hAnsi="Times New Roman" w:cs="Times New Roman"/>
          <w:sz w:val="24"/>
          <w:szCs w:val="24"/>
          <w:lang w:val="es-ES"/>
        </w:rPr>
        <w:t xml:space="preserve"> debido a que funcionan como una fuente de rigideces en los precios de la economía. </w:t>
      </w:r>
      <w:r w:rsidR="006B7E86">
        <w:rPr>
          <w:rFonts w:ascii="Times New Roman" w:eastAsiaTheme="minorEastAsia" w:hAnsi="Times New Roman" w:cs="Times New Roman"/>
          <w:sz w:val="24"/>
          <w:szCs w:val="24"/>
          <w:lang w:val="es-ES"/>
        </w:rPr>
        <w:t>Por ejemplo, cuando se experimentan choques cambiarios las empresas evalúan si modificar sus precios o no debido a que cambiarlos tienen un costo asociado que podrían no asumir y soportar el efecto positivo o negativo del choque cambiario en sus márgenes de ganancia.</w:t>
      </w:r>
    </w:p>
    <w:p w14:paraId="6FD08EE4" w14:textId="3086A45D" w:rsidR="000C7BF7" w:rsidRDefault="006B7E86" w:rsidP="00977C24">
      <w:pPr>
        <w:pStyle w:val="Ttulo3"/>
        <w:spacing w:line="360" w:lineRule="auto"/>
        <w:rPr>
          <w:rFonts w:ascii="Times New Roman" w:eastAsiaTheme="minorEastAsia" w:hAnsi="Times New Roman" w:cs="Times New Roman"/>
          <w:b/>
          <w:bCs/>
          <w:lang w:val="es-ES"/>
        </w:rPr>
      </w:pPr>
      <w:r w:rsidRPr="00977C24">
        <w:rPr>
          <w:rFonts w:ascii="Times New Roman" w:eastAsiaTheme="minorEastAsia" w:hAnsi="Times New Roman" w:cs="Times New Roman"/>
          <w:b/>
          <w:bCs/>
          <w:color w:val="auto"/>
          <w:lang w:val="es-ES"/>
        </w:rPr>
        <w:t>1.3.3</w:t>
      </w:r>
      <w:r w:rsidRPr="00977C24">
        <w:rPr>
          <w:rFonts w:ascii="Times New Roman" w:eastAsiaTheme="minorEastAsia" w:hAnsi="Times New Roman" w:cs="Times New Roman"/>
          <w:color w:val="auto"/>
          <w:lang w:val="es-ES"/>
        </w:rPr>
        <w:t xml:space="preserve"> </w:t>
      </w:r>
      <w:r w:rsidR="000C7BF7" w:rsidRPr="00977C24">
        <w:rPr>
          <w:rFonts w:ascii="Times New Roman" w:eastAsiaTheme="minorEastAsia" w:hAnsi="Times New Roman" w:cs="Times New Roman"/>
          <w:b/>
          <w:bCs/>
          <w:color w:val="auto"/>
          <w:lang w:val="es-ES"/>
        </w:rPr>
        <w:t>Sustitución de productos importados y nacionales</w:t>
      </w:r>
    </w:p>
    <w:p w14:paraId="385C475F" w14:textId="6CE76F8B" w:rsidR="000C7BF7" w:rsidRDefault="000C7BF7" w:rsidP="00446EE8">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Al momento de ocurrir un choque </w:t>
      </w:r>
      <w:r w:rsidR="00445DCC">
        <w:rPr>
          <w:rFonts w:ascii="Times New Roman" w:eastAsiaTheme="minorEastAsia" w:hAnsi="Times New Roman" w:cs="Times New Roman"/>
          <w:sz w:val="24"/>
          <w:szCs w:val="24"/>
          <w:lang w:val="es-ES"/>
        </w:rPr>
        <w:t>cambiario,</w:t>
      </w:r>
      <w:r>
        <w:rPr>
          <w:rFonts w:ascii="Times New Roman" w:eastAsiaTheme="minorEastAsia" w:hAnsi="Times New Roman" w:cs="Times New Roman"/>
          <w:sz w:val="24"/>
          <w:szCs w:val="24"/>
          <w:lang w:val="es-ES"/>
        </w:rPr>
        <w:t xml:space="preserve"> por ejemplo, una de depreciación los agentes económicos </w:t>
      </w:r>
      <w:r w:rsidR="00445DCC">
        <w:rPr>
          <w:rFonts w:ascii="Times New Roman" w:eastAsiaTheme="minorEastAsia" w:hAnsi="Times New Roman" w:cs="Times New Roman"/>
          <w:sz w:val="24"/>
          <w:szCs w:val="24"/>
          <w:lang w:val="es-ES"/>
        </w:rPr>
        <w:t>evalúan</w:t>
      </w:r>
      <w:r>
        <w:rPr>
          <w:rFonts w:ascii="Times New Roman" w:eastAsiaTheme="minorEastAsia" w:hAnsi="Times New Roman" w:cs="Times New Roman"/>
          <w:sz w:val="24"/>
          <w:szCs w:val="24"/>
          <w:lang w:val="es-ES"/>
        </w:rPr>
        <w:t xml:space="preserve"> si continuar importando bienes es una decisión racional o</w:t>
      </w:r>
      <w:r w:rsidR="00445DCC">
        <w:rPr>
          <w:rFonts w:ascii="Times New Roman" w:eastAsiaTheme="minorEastAsia" w:hAnsi="Times New Roman" w:cs="Times New Roman"/>
          <w:sz w:val="24"/>
          <w:szCs w:val="24"/>
          <w:lang w:val="es-ES"/>
        </w:rPr>
        <w:t xml:space="preserve"> la</w:t>
      </w:r>
      <w:r>
        <w:rPr>
          <w:rFonts w:ascii="Times New Roman" w:eastAsiaTheme="minorEastAsia" w:hAnsi="Times New Roman" w:cs="Times New Roman"/>
          <w:sz w:val="24"/>
          <w:szCs w:val="24"/>
          <w:lang w:val="es-ES"/>
        </w:rPr>
        <w:t xml:space="preserve"> mejor</w:t>
      </w:r>
      <w:r w:rsidR="00445DCC">
        <w:rPr>
          <w:rFonts w:ascii="Times New Roman" w:eastAsiaTheme="minorEastAsia" w:hAnsi="Times New Roman" w:cs="Times New Roman"/>
          <w:sz w:val="24"/>
          <w:szCs w:val="24"/>
          <w:lang w:val="es-ES"/>
        </w:rPr>
        <w:t xml:space="preserve"> alternativa es</w:t>
      </w:r>
      <w:r>
        <w:rPr>
          <w:rFonts w:ascii="Times New Roman" w:eastAsiaTheme="minorEastAsia" w:hAnsi="Times New Roman" w:cs="Times New Roman"/>
          <w:sz w:val="24"/>
          <w:szCs w:val="24"/>
          <w:lang w:val="es-ES"/>
        </w:rPr>
        <w:t xml:space="preserve"> sustitu</w:t>
      </w:r>
      <w:r w:rsidR="00445DCC">
        <w:rPr>
          <w:rFonts w:ascii="Times New Roman" w:eastAsiaTheme="minorEastAsia" w:hAnsi="Times New Roman" w:cs="Times New Roman"/>
          <w:sz w:val="24"/>
          <w:szCs w:val="24"/>
          <w:lang w:val="es-ES"/>
        </w:rPr>
        <w:t>ir</w:t>
      </w:r>
      <w:r>
        <w:rPr>
          <w:rFonts w:ascii="Times New Roman" w:eastAsiaTheme="minorEastAsia" w:hAnsi="Times New Roman" w:cs="Times New Roman"/>
          <w:sz w:val="24"/>
          <w:szCs w:val="24"/>
          <w:lang w:val="es-ES"/>
        </w:rPr>
        <w:t xml:space="preserve"> las importaciones por bienes domésticos. Si la sustitución es alta el grado del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w:t>
      </w:r>
      <w:r w:rsidR="000B0C5D">
        <w:rPr>
          <w:rFonts w:ascii="Times New Roman" w:eastAsiaTheme="minorEastAsia" w:hAnsi="Times New Roman" w:cs="Times New Roman"/>
          <w:sz w:val="24"/>
          <w:szCs w:val="24"/>
          <w:lang w:val="es-ES"/>
        </w:rPr>
        <w:t>será pequeño,</w:t>
      </w:r>
      <w:r>
        <w:rPr>
          <w:rFonts w:ascii="Times New Roman" w:eastAsiaTheme="minorEastAsia" w:hAnsi="Times New Roman" w:cs="Times New Roman"/>
          <w:sz w:val="24"/>
          <w:szCs w:val="24"/>
          <w:lang w:val="es-ES"/>
        </w:rPr>
        <w:t xml:space="preserve"> por el </w:t>
      </w:r>
      <w:r w:rsidR="00B43044">
        <w:rPr>
          <w:rFonts w:ascii="Times New Roman" w:eastAsiaTheme="minorEastAsia" w:hAnsi="Times New Roman" w:cs="Times New Roman"/>
          <w:sz w:val="24"/>
          <w:szCs w:val="24"/>
          <w:lang w:val="es-ES"/>
        </w:rPr>
        <w:t>contrario, si la sustitución es baja el efecto del choque será mayor.</w:t>
      </w:r>
    </w:p>
    <w:p w14:paraId="2F28AB2B" w14:textId="539FECDA" w:rsidR="009B0BBF" w:rsidRPr="009B0BBF" w:rsidRDefault="009B0BBF" w:rsidP="009B0BBF">
      <w:pPr>
        <w:pStyle w:val="Ttulo3"/>
        <w:spacing w:line="360" w:lineRule="auto"/>
        <w:rPr>
          <w:rFonts w:ascii="Times New Roman" w:eastAsiaTheme="minorEastAsia" w:hAnsi="Times New Roman" w:cs="Times New Roman"/>
          <w:b/>
          <w:bCs/>
          <w:color w:val="auto"/>
          <w:lang w:val="es-ES"/>
        </w:rPr>
      </w:pPr>
      <w:r w:rsidRPr="009B0BBF">
        <w:rPr>
          <w:rFonts w:ascii="Times New Roman" w:eastAsiaTheme="minorEastAsia" w:hAnsi="Times New Roman" w:cs="Times New Roman"/>
          <w:b/>
          <w:bCs/>
          <w:color w:val="auto"/>
          <w:lang w:val="es-ES"/>
        </w:rPr>
        <w:t>1.3.4 Penetración de importaciones</w:t>
      </w:r>
    </w:p>
    <w:p w14:paraId="30BA5975" w14:textId="2800E7AA" w:rsidR="00B43044" w:rsidRDefault="009B0BBF"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Si las importaciones como porcentaje de la demanda agregada</w:t>
      </w:r>
      <w:r w:rsidR="00114106">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sz w:val="24"/>
          <w:szCs w:val="24"/>
          <w:lang w:val="es-ES"/>
        </w:rPr>
        <w:t xml:space="preserve">se </w:t>
      </w:r>
      <w:r w:rsidR="00445DCC">
        <w:rPr>
          <w:rFonts w:ascii="Times New Roman" w:eastAsiaTheme="minorEastAsia" w:hAnsi="Times New Roman" w:cs="Times New Roman"/>
          <w:sz w:val="24"/>
          <w:szCs w:val="24"/>
          <w:lang w:val="es-ES"/>
        </w:rPr>
        <w:t>consideran</w:t>
      </w:r>
      <w:r>
        <w:rPr>
          <w:rFonts w:ascii="Times New Roman" w:eastAsiaTheme="minorEastAsia" w:hAnsi="Times New Roman" w:cs="Times New Roman"/>
          <w:sz w:val="24"/>
          <w:szCs w:val="24"/>
          <w:lang w:val="es-ES"/>
        </w:rPr>
        <w:t xml:space="preserve"> como una variable proxy de la penetración de las importaciones </w:t>
      </w:r>
      <w:r w:rsidR="00445DCC">
        <w:rPr>
          <w:rFonts w:ascii="Times New Roman" w:eastAsiaTheme="minorEastAsia" w:hAnsi="Times New Roman" w:cs="Times New Roman"/>
          <w:sz w:val="24"/>
          <w:szCs w:val="24"/>
          <w:lang w:val="es-ES"/>
        </w:rPr>
        <w:t>en las</w:t>
      </w:r>
      <w:r>
        <w:rPr>
          <w:rFonts w:ascii="Times New Roman" w:eastAsiaTheme="minorEastAsia" w:hAnsi="Times New Roman" w:cs="Times New Roman"/>
          <w:sz w:val="24"/>
          <w:szCs w:val="24"/>
          <w:lang w:val="es-ES"/>
        </w:rPr>
        <w:t xml:space="preserve"> </w:t>
      </w:r>
      <w:r w:rsidR="00445DCC">
        <w:rPr>
          <w:rFonts w:ascii="Times New Roman" w:eastAsiaTheme="minorEastAsia" w:hAnsi="Times New Roman" w:cs="Times New Roman"/>
          <w:sz w:val="24"/>
          <w:szCs w:val="24"/>
          <w:lang w:val="es-ES"/>
        </w:rPr>
        <w:t>empresas</w:t>
      </w:r>
      <w:r>
        <w:rPr>
          <w:rFonts w:ascii="Times New Roman" w:eastAsiaTheme="minorEastAsia" w:hAnsi="Times New Roman" w:cs="Times New Roman"/>
          <w:sz w:val="24"/>
          <w:szCs w:val="24"/>
          <w:lang w:val="es-ES"/>
        </w:rPr>
        <w:t xml:space="preserve">, aquellos países con una penetración mayor tendrán un mayor </w:t>
      </w:r>
      <w:proofErr w:type="spellStart"/>
      <w:r>
        <w:rPr>
          <w:rFonts w:ascii="Times New Roman" w:eastAsiaTheme="minorEastAsia" w:hAnsi="Times New Roman" w:cs="Times New Roman"/>
          <w:sz w:val="24"/>
          <w:szCs w:val="24"/>
          <w:lang w:val="es-ES"/>
        </w:rPr>
        <w:t>pss-t</w:t>
      </w:r>
      <w:r w:rsidR="007C3D6F">
        <w:rPr>
          <w:rFonts w:ascii="Times New Roman" w:eastAsiaTheme="minorEastAsia" w:hAnsi="Times New Roman" w:cs="Times New Roman"/>
          <w:sz w:val="24"/>
          <w:szCs w:val="24"/>
          <w:lang w:val="es-ES"/>
        </w:rPr>
        <w:t>hr</w:t>
      </w:r>
      <w:r>
        <w:rPr>
          <w:rFonts w:ascii="Times New Roman" w:eastAsiaTheme="minorEastAsia" w:hAnsi="Times New Roman" w:cs="Times New Roman"/>
          <w:sz w:val="24"/>
          <w:szCs w:val="24"/>
          <w:lang w:val="es-ES"/>
        </w:rPr>
        <w:t>ough</w:t>
      </w:r>
      <w:proofErr w:type="spellEnd"/>
      <w:r w:rsidR="00114106">
        <w:rPr>
          <w:rFonts w:ascii="Times New Roman" w:eastAsiaTheme="minorEastAsia" w:hAnsi="Times New Roman" w:cs="Times New Roman"/>
          <w:sz w:val="24"/>
          <w:szCs w:val="24"/>
          <w:lang w:val="es-ES"/>
        </w:rPr>
        <w:t>.</w:t>
      </w:r>
    </w:p>
    <w:p w14:paraId="581DF4E8" w14:textId="534D10DC" w:rsidR="00114106" w:rsidRPr="00114106" w:rsidRDefault="00114106" w:rsidP="00114106">
      <w:pPr>
        <w:pStyle w:val="Ttulo3"/>
        <w:spacing w:line="360" w:lineRule="auto"/>
        <w:rPr>
          <w:rFonts w:ascii="Times New Roman" w:eastAsiaTheme="minorEastAsia" w:hAnsi="Times New Roman" w:cs="Times New Roman"/>
          <w:b/>
          <w:bCs/>
          <w:color w:val="auto"/>
          <w:lang w:val="es-ES"/>
        </w:rPr>
      </w:pPr>
      <w:r w:rsidRPr="00114106">
        <w:rPr>
          <w:rFonts w:ascii="Times New Roman" w:eastAsiaTheme="minorEastAsia" w:hAnsi="Times New Roman" w:cs="Times New Roman"/>
          <w:b/>
          <w:bCs/>
          <w:color w:val="auto"/>
          <w:lang w:val="es-ES"/>
        </w:rPr>
        <w:t>1.3.5 Composición de la canasta de precios al consumidor</w:t>
      </w:r>
    </w:p>
    <w:p w14:paraId="656651D6" w14:textId="36C6F321" w:rsidR="00114106" w:rsidRDefault="00114106"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Si dentro de la composición de la canasta </w:t>
      </w:r>
      <w:r w:rsidR="00445DCC">
        <w:rPr>
          <w:rFonts w:ascii="Times New Roman" w:eastAsiaTheme="minorEastAsia" w:hAnsi="Times New Roman" w:cs="Times New Roman"/>
          <w:sz w:val="24"/>
          <w:szCs w:val="24"/>
          <w:lang w:val="es-ES"/>
        </w:rPr>
        <w:t>de consumo para la medición del Índice de Precios al Consumidor (IPC)</w:t>
      </w:r>
      <w:r>
        <w:rPr>
          <w:rFonts w:ascii="Times New Roman" w:eastAsiaTheme="minorEastAsia" w:hAnsi="Times New Roman" w:cs="Times New Roman"/>
          <w:sz w:val="24"/>
          <w:szCs w:val="24"/>
          <w:lang w:val="es-ES"/>
        </w:rPr>
        <w:t xml:space="preserve"> </w:t>
      </w:r>
      <w:r w:rsidR="007C3D6F">
        <w:rPr>
          <w:rFonts w:ascii="Times New Roman" w:eastAsiaTheme="minorEastAsia" w:hAnsi="Times New Roman" w:cs="Times New Roman"/>
          <w:sz w:val="24"/>
          <w:szCs w:val="24"/>
          <w:lang w:val="es-ES"/>
        </w:rPr>
        <w:t xml:space="preserve">los bienes importados tienen una importancia relevante el </w:t>
      </w:r>
      <w:proofErr w:type="spellStart"/>
      <w:r w:rsidR="007C3D6F">
        <w:rPr>
          <w:rFonts w:ascii="Times New Roman" w:eastAsiaTheme="minorEastAsia" w:hAnsi="Times New Roman" w:cs="Times New Roman"/>
          <w:sz w:val="24"/>
          <w:szCs w:val="24"/>
          <w:lang w:val="es-ES"/>
        </w:rPr>
        <w:t>pass-through</w:t>
      </w:r>
      <w:proofErr w:type="spellEnd"/>
      <w:r w:rsidR="007C3D6F">
        <w:rPr>
          <w:rFonts w:ascii="Times New Roman" w:eastAsiaTheme="minorEastAsia" w:hAnsi="Times New Roman" w:cs="Times New Roman"/>
          <w:sz w:val="24"/>
          <w:szCs w:val="24"/>
          <w:lang w:val="es-ES"/>
        </w:rPr>
        <w:t xml:space="preserve"> será mayor.</w:t>
      </w:r>
    </w:p>
    <w:p w14:paraId="2E2BAB04" w14:textId="0F288699" w:rsidR="007C3D6F" w:rsidRPr="007C3D6F" w:rsidRDefault="007C3D6F" w:rsidP="007C3D6F">
      <w:pPr>
        <w:pStyle w:val="Ttulo3"/>
        <w:spacing w:line="360" w:lineRule="auto"/>
        <w:rPr>
          <w:rFonts w:ascii="Times New Roman" w:eastAsiaTheme="minorEastAsia" w:hAnsi="Times New Roman" w:cs="Times New Roman"/>
          <w:b/>
          <w:bCs/>
          <w:color w:val="auto"/>
          <w:lang w:val="es-ES"/>
        </w:rPr>
      </w:pPr>
      <w:r w:rsidRPr="007C3D6F">
        <w:rPr>
          <w:rFonts w:ascii="Times New Roman" w:eastAsiaTheme="minorEastAsia" w:hAnsi="Times New Roman" w:cs="Times New Roman"/>
          <w:b/>
          <w:bCs/>
          <w:color w:val="auto"/>
          <w:lang w:val="es-ES"/>
        </w:rPr>
        <w:t>1.3.6 Naturaleza temporal del ajuste cambiario</w:t>
      </w:r>
    </w:p>
    <w:p w14:paraId="30E11E3C" w14:textId="758CF039" w:rsidR="00BE0715" w:rsidRDefault="007C3D6F"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En la medida en la cual el choque cambiario sea transitorio los productores se verán reacios a modificar los precios debido a los </w:t>
      </w:r>
      <w:r w:rsidR="00BE0715">
        <w:rPr>
          <w:rFonts w:ascii="Times New Roman" w:eastAsiaTheme="minorEastAsia" w:hAnsi="Times New Roman" w:cs="Times New Roman"/>
          <w:sz w:val="24"/>
          <w:szCs w:val="24"/>
          <w:lang w:val="es-ES"/>
        </w:rPr>
        <w:t>costos</w:t>
      </w:r>
      <w:r>
        <w:rPr>
          <w:rFonts w:ascii="Times New Roman" w:eastAsiaTheme="minorEastAsia" w:hAnsi="Times New Roman" w:cs="Times New Roman"/>
          <w:sz w:val="24"/>
          <w:szCs w:val="24"/>
          <w:lang w:val="es-ES"/>
        </w:rPr>
        <w:t xml:space="preserve"> de </w:t>
      </w:r>
      <w:r w:rsidR="00BE0715">
        <w:rPr>
          <w:rFonts w:ascii="Times New Roman" w:eastAsiaTheme="minorEastAsia" w:hAnsi="Times New Roman" w:cs="Times New Roman"/>
          <w:sz w:val="24"/>
          <w:szCs w:val="24"/>
          <w:lang w:val="es-ES"/>
        </w:rPr>
        <w:t>menú,</w:t>
      </w:r>
      <w:r>
        <w:rPr>
          <w:rFonts w:ascii="Times New Roman" w:eastAsiaTheme="minorEastAsia" w:hAnsi="Times New Roman" w:cs="Times New Roman"/>
          <w:sz w:val="24"/>
          <w:szCs w:val="24"/>
          <w:lang w:val="es-ES"/>
        </w:rPr>
        <w:t xml:space="preserve"> pero si observan que el ajuste no es transitorio entonces van a modificar sus precios </w:t>
      </w:r>
      <w:r w:rsidR="00BE0715">
        <w:rPr>
          <w:rFonts w:ascii="Times New Roman" w:eastAsiaTheme="minorEastAsia" w:hAnsi="Times New Roman" w:cs="Times New Roman"/>
          <w:sz w:val="24"/>
          <w:szCs w:val="24"/>
          <w:lang w:val="es-ES"/>
        </w:rPr>
        <w:t xml:space="preserve">y de esta manera </w:t>
      </w:r>
      <w:r w:rsidR="00D61943">
        <w:rPr>
          <w:rFonts w:ascii="Times New Roman" w:eastAsiaTheme="minorEastAsia" w:hAnsi="Times New Roman" w:cs="Times New Roman"/>
          <w:sz w:val="24"/>
          <w:szCs w:val="24"/>
          <w:lang w:val="es-ES"/>
        </w:rPr>
        <w:t>materializar</w:t>
      </w:r>
      <w:r w:rsidR="00BE0715">
        <w:rPr>
          <w:rFonts w:ascii="Times New Roman" w:eastAsiaTheme="minorEastAsia" w:hAnsi="Times New Roman" w:cs="Times New Roman"/>
          <w:sz w:val="24"/>
          <w:szCs w:val="24"/>
          <w:lang w:val="es-ES"/>
        </w:rPr>
        <w:t xml:space="preserve"> el </w:t>
      </w:r>
      <w:proofErr w:type="spellStart"/>
      <w:r w:rsidR="00BE0715">
        <w:rPr>
          <w:rFonts w:ascii="Times New Roman" w:eastAsiaTheme="minorEastAsia" w:hAnsi="Times New Roman" w:cs="Times New Roman"/>
          <w:sz w:val="24"/>
          <w:szCs w:val="24"/>
          <w:lang w:val="es-ES"/>
        </w:rPr>
        <w:t>pass-through</w:t>
      </w:r>
      <w:proofErr w:type="spellEnd"/>
      <w:r w:rsidR="00BE0715">
        <w:rPr>
          <w:rFonts w:ascii="Times New Roman" w:eastAsiaTheme="minorEastAsia" w:hAnsi="Times New Roman" w:cs="Times New Roman"/>
          <w:sz w:val="24"/>
          <w:szCs w:val="24"/>
          <w:lang w:val="es-ES"/>
        </w:rPr>
        <w:t>.</w:t>
      </w:r>
    </w:p>
    <w:p w14:paraId="5DB9B66E" w14:textId="2AD85351" w:rsidR="00BE0715" w:rsidRPr="000B7FCC" w:rsidRDefault="00F12261" w:rsidP="000B7FCC">
      <w:pPr>
        <w:pStyle w:val="Ttulo2"/>
        <w:spacing w:line="360" w:lineRule="auto"/>
        <w:rPr>
          <w:rFonts w:ascii="Times New Roman" w:eastAsiaTheme="minorEastAsia" w:hAnsi="Times New Roman" w:cs="Times New Roman"/>
          <w:b/>
          <w:bCs/>
          <w:color w:val="auto"/>
          <w:sz w:val="24"/>
          <w:szCs w:val="24"/>
          <w:lang w:val="es-ES"/>
        </w:rPr>
      </w:pPr>
      <w:r w:rsidRPr="000B7FCC">
        <w:rPr>
          <w:rFonts w:ascii="Times New Roman" w:eastAsiaTheme="minorEastAsia" w:hAnsi="Times New Roman" w:cs="Times New Roman"/>
          <w:b/>
          <w:bCs/>
          <w:color w:val="auto"/>
          <w:sz w:val="24"/>
          <w:szCs w:val="24"/>
          <w:lang w:val="es-ES"/>
        </w:rPr>
        <w:t xml:space="preserve">1.4 Determinantes macroeconómicos del </w:t>
      </w:r>
      <w:proofErr w:type="spellStart"/>
      <w:r w:rsidRPr="000B7FCC">
        <w:rPr>
          <w:rFonts w:ascii="Times New Roman" w:eastAsiaTheme="minorEastAsia" w:hAnsi="Times New Roman" w:cs="Times New Roman"/>
          <w:b/>
          <w:bCs/>
          <w:color w:val="auto"/>
          <w:sz w:val="24"/>
          <w:szCs w:val="24"/>
          <w:lang w:val="es-ES"/>
        </w:rPr>
        <w:t>pass-through</w:t>
      </w:r>
      <w:proofErr w:type="spellEnd"/>
    </w:p>
    <w:p w14:paraId="13D178F5" w14:textId="457930FF" w:rsidR="00BE0715" w:rsidRDefault="00DA7301"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En lo referente a este tema e</w:t>
      </w:r>
      <w:r w:rsidR="003B181A">
        <w:rPr>
          <w:rFonts w:ascii="Times New Roman" w:eastAsiaTheme="minorEastAsia" w:hAnsi="Times New Roman" w:cs="Times New Roman"/>
          <w:sz w:val="24"/>
          <w:szCs w:val="24"/>
          <w:lang w:val="es-ES"/>
        </w:rPr>
        <w:t xml:space="preserve">l </w:t>
      </w:r>
      <w:r>
        <w:rPr>
          <w:rFonts w:ascii="Times New Roman" w:eastAsiaTheme="minorEastAsia" w:hAnsi="Times New Roman" w:cs="Times New Roman"/>
          <w:sz w:val="24"/>
          <w:szCs w:val="24"/>
          <w:lang w:val="es-ES"/>
        </w:rPr>
        <w:t xml:space="preserve">Banco de Guatemala (2005) </w:t>
      </w:r>
      <w:r w:rsidR="00D61943">
        <w:rPr>
          <w:rFonts w:ascii="Times New Roman" w:eastAsiaTheme="minorEastAsia" w:hAnsi="Times New Roman" w:cs="Times New Roman"/>
          <w:sz w:val="24"/>
          <w:szCs w:val="24"/>
          <w:lang w:val="es-ES"/>
        </w:rPr>
        <w:t xml:space="preserve">provee </w:t>
      </w:r>
      <w:r>
        <w:rPr>
          <w:rFonts w:ascii="Times New Roman" w:eastAsiaTheme="minorEastAsia" w:hAnsi="Times New Roman" w:cs="Times New Roman"/>
          <w:sz w:val="24"/>
          <w:szCs w:val="24"/>
          <w:lang w:val="es-ES"/>
        </w:rPr>
        <w:t>una descripción del conjunto de variable macroec</w:t>
      </w:r>
      <w:r w:rsidR="001853CA">
        <w:rPr>
          <w:rFonts w:ascii="Times New Roman" w:eastAsiaTheme="minorEastAsia" w:hAnsi="Times New Roman" w:cs="Times New Roman"/>
          <w:sz w:val="24"/>
          <w:szCs w:val="24"/>
          <w:lang w:val="es-ES"/>
        </w:rPr>
        <w:t xml:space="preserve">onómicas que determinan el coeficiente del </w:t>
      </w:r>
      <w:proofErr w:type="spellStart"/>
      <w:r w:rsidR="001853CA">
        <w:rPr>
          <w:rFonts w:ascii="Times New Roman" w:eastAsiaTheme="minorEastAsia" w:hAnsi="Times New Roman" w:cs="Times New Roman"/>
          <w:sz w:val="24"/>
          <w:szCs w:val="24"/>
          <w:lang w:val="es-ES"/>
        </w:rPr>
        <w:t>pass-through</w:t>
      </w:r>
      <w:proofErr w:type="spellEnd"/>
      <w:r w:rsidR="001853CA">
        <w:rPr>
          <w:rFonts w:ascii="Times New Roman" w:eastAsiaTheme="minorEastAsia" w:hAnsi="Times New Roman" w:cs="Times New Roman"/>
          <w:sz w:val="24"/>
          <w:szCs w:val="24"/>
          <w:lang w:val="es-ES"/>
        </w:rPr>
        <w:t>.</w:t>
      </w:r>
    </w:p>
    <w:p w14:paraId="3BCA5E1F" w14:textId="5D89A0C1" w:rsidR="001853CA" w:rsidRDefault="001853CA" w:rsidP="009B0BBF">
      <w:pPr>
        <w:spacing w:line="360" w:lineRule="auto"/>
        <w:jc w:val="both"/>
        <w:rPr>
          <w:rFonts w:ascii="Times New Roman" w:eastAsiaTheme="minorEastAsia" w:hAnsi="Times New Roman" w:cs="Times New Roman"/>
          <w:sz w:val="24"/>
          <w:szCs w:val="24"/>
          <w:lang w:val="es-ES"/>
        </w:rPr>
      </w:pPr>
    </w:p>
    <w:p w14:paraId="7E00A4CF" w14:textId="79BF955A" w:rsidR="00601425" w:rsidRPr="00601425" w:rsidRDefault="001853CA" w:rsidP="00601425">
      <w:pPr>
        <w:pStyle w:val="Ttulo3"/>
        <w:spacing w:line="360" w:lineRule="auto"/>
        <w:rPr>
          <w:rFonts w:ascii="Times New Roman" w:eastAsiaTheme="minorEastAsia" w:hAnsi="Times New Roman" w:cs="Times New Roman"/>
          <w:b/>
          <w:bCs/>
          <w:color w:val="auto"/>
          <w:lang w:val="es-ES"/>
        </w:rPr>
      </w:pPr>
      <w:r w:rsidRPr="001853CA">
        <w:rPr>
          <w:rFonts w:ascii="Times New Roman" w:eastAsiaTheme="minorEastAsia" w:hAnsi="Times New Roman" w:cs="Times New Roman"/>
          <w:b/>
          <w:bCs/>
          <w:color w:val="auto"/>
          <w:lang w:val="es-ES"/>
        </w:rPr>
        <w:lastRenderedPageBreak/>
        <w:t xml:space="preserve">1.4.1 </w:t>
      </w:r>
      <w:r w:rsidR="00601425">
        <w:rPr>
          <w:rFonts w:ascii="Times New Roman" w:eastAsiaTheme="minorEastAsia" w:hAnsi="Times New Roman" w:cs="Times New Roman"/>
          <w:b/>
          <w:bCs/>
          <w:color w:val="auto"/>
          <w:lang w:val="es-ES"/>
        </w:rPr>
        <w:t>Objetivo de inflación fijado por el Banco Central</w:t>
      </w:r>
    </w:p>
    <w:p w14:paraId="64216B52" w14:textId="12A1F25A" w:rsidR="00D61943" w:rsidRDefault="00D61943"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Dentro del contexto del Esquema de Metas Explicitas de Inflación, el ritmo de la inflación está supeditado al comportamiento de la política monetaria y las expectativas de inflación de los agentes económicos. En este sentido si sucede una depreciación cambiaria en el corto plazo puede observarse un aumento en la inflación, pero debido a que la meta de inflación fijada por el Banco Central es creíble la inflación tendrá a ubicarse nuevamente en la meta establecida.</w:t>
      </w:r>
    </w:p>
    <w:p w14:paraId="600EF054" w14:textId="5BACEF62" w:rsidR="001853CA" w:rsidRPr="006348C5" w:rsidRDefault="006348C5" w:rsidP="006348C5">
      <w:pPr>
        <w:pStyle w:val="Ttulo3"/>
        <w:spacing w:line="360" w:lineRule="auto"/>
        <w:rPr>
          <w:rFonts w:ascii="Times New Roman" w:eastAsiaTheme="minorEastAsia" w:hAnsi="Times New Roman" w:cs="Times New Roman"/>
          <w:b/>
          <w:bCs/>
          <w:color w:val="auto"/>
          <w:lang w:val="es-ES"/>
        </w:rPr>
      </w:pPr>
      <w:r w:rsidRPr="006348C5">
        <w:rPr>
          <w:rFonts w:ascii="Times New Roman" w:eastAsiaTheme="minorEastAsia" w:hAnsi="Times New Roman" w:cs="Times New Roman"/>
          <w:b/>
          <w:bCs/>
          <w:color w:val="auto"/>
          <w:lang w:val="es-ES"/>
        </w:rPr>
        <w:t>1.4.2 Credibilidad del Banco Central</w:t>
      </w:r>
    </w:p>
    <w:p w14:paraId="3EB43FC8" w14:textId="12493AA3" w:rsidR="001853CA" w:rsidRDefault="00BF69E2"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Si el Banco Central a lo largo del tiempo ha construido credibilidad mediante la consecución de la meta de inflación el choque cambiario no afectará de manera significativa a los precios. Los agentes económicos pueden confiar en que la autoridad monetaria actuará en función de la consecución de la meta de inflación y en consecuencia sus expectativas no se van a desanclar de ella.</w:t>
      </w:r>
    </w:p>
    <w:p w14:paraId="713D4451" w14:textId="0D378913" w:rsidR="00200FC7" w:rsidRPr="00200FC7" w:rsidRDefault="00200FC7" w:rsidP="00200FC7">
      <w:pPr>
        <w:pStyle w:val="Ttulo3"/>
        <w:spacing w:line="360" w:lineRule="auto"/>
        <w:rPr>
          <w:rFonts w:ascii="Times New Roman" w:eastAsiaTheme="minorEastAsia" w:hAnsi="Times New Roman" w:cs="Times New Roman"/>
          <w:b/>
          <w:bCs/>
          <w:color w:val="auto"/>
          <w:lang w:val="es-ES"/>
        </w:rPr>
      </w:pPr>
      <w:r w:rsidRPr="00200FC7">
        <w:rPr>
          <w:rFonts w:ascii="Times New Roman" w:eastAsiaTheme="minorEastAsia" w:hAnsi="Times New Roman" w:cs="Times New Roman"/>
          <w:b/>
          <w:bCs/>
          <w:color w:val="auto"/>
          <w:lang w:val="es-ES"/>
        </w:rPr>
        <w:t>1.4.3 Ambiente inflacionario</w:t>
      </w:r>
    </w:p>
    <w:p w14:paraId="34692178" w14:textId="7BD4285F" w:rsidR="006348C5" w:rsidRDefault="00200FC7"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El ambiente inflacionario tiene una incidencia directa sobre el coeficiente del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En escenarios de inflación alta las empresas tienden a cambiar sus precios con una frecuencia mayor que en escenarios de inflación baja</w:t>
      </w:r>
      <w:r w:rsidR="00B27094">
        <w:rPr>
          <w:rFonts w:ascii="Times New Roman" w:eastAsiaTheme="minorEastAsia" w:hAnsi="Times New Roman" w:cs="Times New Roman"/>
          <w:sz w:val="24"/>
          <w:szCs w:val="24"/>
          <w:lang w:val="es-ES"/>
        </w:rPr>
        <w:t xml:space="preserve"> por lo que el efecto traspaso será mayor cuando la inflación sea alta.</w:t>
      </w:r>
    </w:p>
    <w:p w14:paraId="151DBCC6" w14:textId="055897DF" w:rsidR="00B27094" w:rsidRPr="00B27094" w:rsidRDefault="00B27094" w:rsidP="00B27094">
      <w:pPr>
        <w:pStyle w:val="Ttulo3"/>
        <w:spacing w:line="360" w:lineRule="auto"/>
        <w:rPr>
          <w:rFonts w:ascii="Times New Roman" w:eastAsiaTheme="minorEastAsia" w:hAnsi="Times New Roman" w:cs="Times New Roman"/>
          <w:b/>
          <w:bCs/>
          <w:color w:val="auto"/>
          <w:lang w:val="es-ES"/>
        </w:rPr>
      </w:pPr>
      <w:r w:rsidRPr="00B27094">
        <w:rPr>
          <w:rFonts w:ascii="Times New Roman" w:eastAsiaTheme="minorEastAsia" w:hAnsi="Times New Roman" w:cs="Times New Roman"/>
          <w:b/>
          <w:bCs/>
          <w:color w:val="auto"/>
          <w:lang w:val="es-ES"/>
        </w:rPr>
        <w:t>1.4.4 El ciclo económico</w:t>
      </w:r>
    </w:p>
    <w:p w14:paraId="6CF35131" w14:textId="015A2575" w:rsidR="006348C5" w:rsidRDefault="00B27094"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Cuando las empresas incrementan sus ventas ante un aumento en la demanda de sus bienes tienen una facilidad mayor de transmitir cualquier choque en sus costos </w:t>
      </w:r>
      <w:r w:rsidR="00235EC5">
        <w:rPr>
          <w:rFonts w:ascii="Times New Roman" w:eastAsiaTheme="minorEastAsia" w:hAnsi="Times New Roman" w:cs="Times New Roman"/>
          <w:sz w:val="24"/>
          <w:szCs w:val="24"/>
          <w:lang w:val="es-ES"/>
        </w:rPr>
        <w:t>a los precios, mientras que en un escenario de recesión (caída de la demanda) pierden capacidad de trasladar el choque en los costos a los precios.</w:t>
      </w:r>
    </w:p>
    <w:p w14:paraId="7A5BA45C" w14:textId="5A30574E" w:rsidR="00235EC5" w:rsidRPr="00235EC5" w:rsidRDefault="00235EC5" w:rsidP="00235EC5">
      <w:pPr>
        <w:pStyle w:val="Ttulo3"/>
        <w:spacing w:line="360" w:lineRule="auto"/>
        <w:rPr>
          <w:rFonts w:ascii="Times New Roman" w:eastAsiaTheme="minorEastAsia" w:hAnsi="Times New Roman" w:cs="Times New Roman"/>
          <w:b/>
          <w:bCs/>
          <w:color w:val="auto"/>
          <w:lang w:val="es-ES"/>
        </w:rPr>
      </w:pPr>
      <w:r w:rsidRPr="00235EC5">
        <w:rPr>
          <w:rFonts w:ascii="Times New Roman" w:eastAsiaTheme="minorEastAsia" w:hAnsi="Times New Roman" w:cs="Times New Roman"/>
          <w:b/>
          <w:bCs/>
          <w:color w:val="auto"/>
          <w:lang w:val="es-ES"/>
        </w:rPr>
        <w:t>1.4.5 El grado de apertura económica</w:t>
      </w:r>
    </w:p>
    <w:p w14:paraId="4A399B3C" w14:textId="279FF070" w:rsidR="00235EC5" w:rsidRDefault="00235EC5"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 mayor apertura económica puede traer consigo una mayor dependencia de los bienes importados y por ende una situación más vulnerable ante choques cambiarios. De esta manera, si la economía es altamente dependiente de los bienes importados el efecto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será mayor.</w:t>
      </w:r>
    </w:p>
    <w:p w14:paraId="0BF59795" w14:textId="67C4DC3C" w:rsidR="008C2F46" w:rsidRPr="008C2F46" w:rsidRDefault="000B7FCC" w:rsidP="008C2F46">
      <w:pPr>
        <w:pStyle w:val="Ttulo2"/>
        <w:spacing w:line="360" w:lineRule="auto"/>
        <w:rPr>
          <w:rFonts w:ascii="Times New Roman" w:eastAsiaTheme="minorEastAsia" w:hAnsi="Times New Roman" w:cs="Times New Roman"/>
          <w:b/>
          <w:bCs/>
          <w:color w:val="auto"/>
          <w:sz w:val="24"/>
          <w:szCs w:val="24"/>
          <w:lang w:val="es-ES"/>
        </w:rPr>
      </w:pPr>
      <w:r w:rsidRPr="000B7FCC">
        <w:rPr>
          <w:rFonts w:ascii="Times New Roman" w:eastAsiaTheme="minorEastAsia" w:hAnsi="Times New Roman" w:cs="Times New Roman"/>
          <w:b/>
          <w:bCs/>
          <w:color w:val="auto"/>
          <w:sz w:val="24"/>
          <w:szCs w:val="24"/>
          <w:lang w:val="es-ES"/>
        </w:rPr>
        <w:lastRenderedPageBreak/>
        <w:t>1.5 Política monetaria y tipo de cambio en Guatemala</w:t>
      </w:r>
    </w:p>
    <w:p w14:paraId="70F0BE49" w14:textId="4B972AC4" w:rsidR="008A5E2D" w:rsidRDefault="001D1582"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D</w:t>
      </w:r>
      <w:r w:rsidR="005D2A05">
        <w:rPr>
          <w:rFonts w:ascii="Times New Roman" w:eastAsiaTheme="minorEastAsia" w:hAnsi="Times New Roman" w:cs="Times New Roman"/>
          <w:sz w:val="24"/>
          <w:szCs w:val="24"/>
          <w:lang w:val="es-ES"/>
        </w:rPr>
        <w:t xml:space="preserve">urante los años 90’s </w:t>
      </w:r>
      <w:r>
        <w:rPr>
          <w:rFonts w:ascii="Times New Roman" w:eastAsiaTheme="minorEastAsia" w:hAnsi="Times New Roman" w:cs="Times New Roman"/>
          <w:sz w:val="24"/>
          <w:szCs w:val="24"/>
          <w:lang w:val="es-ES"/>
        </w:rPr>
        <w:t xml:space="preserve">Guatemala </w:t>
      </w:r>
      <w:r w:rsidR="005D2A05">
        <w:rPr>
          <w:rFonts w:ascii="Times New Roman" w:eastAsiaTheme="minorEastAsia" w:hAnsi="Times New Roman" w:cs="Times New Roman"/>
          <w:sz w:val="24"/>
          <w:szCs w:val="24"/>
          <w:lang w:val="es-ES"/>
        </w:rPr>
        <w:t xml:space="preserve">basaba su política monetaria en el esquema de agregados monetarios el cual </w:t>
      </w:r>
      <w:r>
        <w:rPr>
          <w:rFonts w:ascii="Times New Roman" w:eastAsiaTheme="minorEastAsia" w:hAnsi="Times New Roman" w:cs="Times New Roman"/>
          <w:sz w:val="24"/>
          <w:szCs w:val="24"/>
          <w:lang w:val="es-ES"/>
        </w:rPr>
        <w:t>a su vez se</w:t>
      </w:r>
      <w:r w:rsidR="005D2A05">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sz w:val="24"/>
          <w:szCs w:val="24"/>
          <w:lang w:val="es-ES"/>
        </w:rPr>
        <w:t>fundamentaba</w:t>
      </w:r>
      <w:r w:rsidR="005D2A05">
        <w:rPr>
          <w:rFonts w:ascii="Times New Roman" w:eastAsiaTheme="minorEastAsia" w:hAnsi="Times New Roman" w:cs="Times New Roman"/>
          <w:sz w:val="24"/>
          <w:szCs w:val="24"/>
          <w:lang w:val="es-ES"/>
        </w:rPr>
        <w:t xml:space="preserve"> en la teoría cuantitativa del dinero</w:t>
      </w:r>
      <w:r w:rsidR="005D2A05">
        <w:rPr>
          <w:rStyle w:val="Refdenotaalpie"/>
          <w:rFonts w:ascii="Times New Roman" w:eastAsiaTheme="minorEastAsia" w:hAnsi="Times New Roman" w:cs="Times New Roman"/>
          <w:sz w:val="24"/>
          <w:szCs w:val="24"/>
          <w:lang w:val="es-ES"/>
        </w:rPr>
        <w:footnoteReference w:id="3"/>
      </w:r>
      <w:r>
        <w:rPr>
          <w:rFonts w:ascii="Times New Roman" w:eastAsiaTheme="minorEastAsia" w:hAnsi="Times New Roman" w:cs="Times New Roman"/>
          <w:sz w:val="24"/>
          <w:szCs w:val="24"/>
          <w:lang w:val="es-ES"/>
        </w:rPr>
        <w:t xml:space="preserve">, por lo que el Banco de Guatemala se concentraba en la administración de la Emisión Monetaria para alcanzar el nivel de inflación interna </w:t>
      </w:r>
      <w:r w:rsidR="008A5E2D">
        <w:rPr>
          <w:rFonts w:ascii="Times New Roman" w:eastAsiaTheme="minorEastAsia" w:hAnsi="Times New Roman" w:cs="Times New Roman"/>
          <w:sz w:val="24"/>
          <w:szCs w:val="24"/>
          <w:lang w:val="es-ES"/>
        </w:rPr>
        <w:t xml:space="preserve">establecido con antelación, </w:t>
      </w:r>
      <w:r w:rsidR="008A5E2D" w:rsidRPr="001144C1">
        <w:rPr>
          <w:rFonts w:ascii="Times New Roman" w:eastAsiaTheme="minorEastAsia" w:hAnsi="Times New Roman" w:cs="Times New Roman"/>
          <w:sz w:val="24"/>
          <w:szCs w:val="24"/>
          <w:lang w:val="es-ES"/>
        </w:rPr>
        <w:t xml:space="preserve">aunque es importante mencionar que </w:t>
      </w:r>
      <w:r w:rsidR="002C1342" w:rsidRPr="001144C1">
        <w:rPr>
          <w:rFonts w:ascii="Times New Roman" w:eastAsiaTheme="minorEastAsia" w:hAnsi="Times New Roman" w:cs="Times New Roman"/>
          <w:sz w:val="24"/>
          <w:szCs w:val="24"/>
          <w:lang w:val="es-ES"/>
        </w:rPr>
        <w:t>el establecimiento de la meta de inflación no implicaba un compromiso institucional por parte del Banco de Guatemala</w:t>
      </w:r>
      <w:r w:rsidR="001144C1" w:rsidRPr="001144C1">
        <w:rPr>
          <w:rFonts w:ascii="Times New Roman" w:eastAsiaTheme="minorEastAsia" w:hAnsi="Times New Roman" w:cs="Times New Roman"/>
          <w:sz w:val="24"/>
          <w:szCs w:val="24"/>
          <w:lang w:val="es-ES"/>
        </w:rPr>
        <w:t xml:space="preserve"> </w:t>
      </w:r>
      <w:sdt>
        <w:sdtPr>
          <w:rPr>
            <w:rFonts w:ascii="Times New Roman" w:eastAsiaTheme="minorEastAsia" w:hAnsi="Times New Roman" w:cs="Times New Roman"/>
            <w:sz w:val="24"/>
            <w:szCs w:val="24"/>
            <w:lang w:val="es-ES"/>
          </w:rPr>
          <w:id w:val="1404027394"/>
          <w:citation/>
        </w:sdtPr>
        <w:sdtContent>
          <w:r w:rsidR="001144C1" w:rsidRPr="001144C1">
            <w:rPr>
              <w:rFonts w:ascii="Times New Roman" w:eastAsiaTheme="minorEastAsia" w:hAnsi="Times New Roman" w:cs="Times New Roman"/>
              <w:sz w:val="24"/>
              <w:szCs w:val="24"/>
              <w:lang w:val="es-ES"/>
            </w:rPr>
            <w:fldChar w:fldCharType="begin"/>
          </w:r>
          <w:r w:rsidR="008E651C">
            <w:rPr>
              <w:rFonts w:ascii="Times New Roman" w:eastAsiaTheme="minorEastAsia" w:hAnsi="Times New Roman" w:cs="Times New Roman"/>
              <w:sz w:val="24"/>
              <w:szCs w:val="24"/>
              <w:lang w:val="es-MX"/>
            </w:rPr>
            <w:instrText xml:space="preserve">CITATION Cas19 \l 2058 </w:instrText>
          </w:r>
          <w:r w:rsidR="001144C1" w:rsidRPr="001144C1">
            <w:rPr>
              <w:rFonts w:ascii="Times New Roman" w:eastAsiaTheme="minorEastAsia" w:hAnsi="Times New Roman" w:cs="Times New Roman"/>
              <w:sz w:val="24"/>
              <w:szCs w:val="24"/>
              <w:lang w:val="es-ES"/>
            </w:rPr>
            <w:fldChar w:fldCharType="separate"/>
          </w:r>
          <w:r w:rsidR="008E651C" w:rsidRPr="008E651C">
            <w:rPr>
              <w:rFonts w:ascii="Times New Roman" w:eastAsiaTheme="minorEastAsia" w:hAnsi="Times New Roman" w:cs="Times New Roman"/>
              <w:noProof/>
              <w:sz w:val="24"/>
              <w:szCs w:val="24"/>
              <w:lang w:val="es-MX"/>
            </w:rPr>
            <w:t>(Ortiz Cardona, Castañeda Fuentes, Castillo Maldonado, Galindo Gonzáles, &amp; Gutiérrez Morales, 2019)</w:t>
          </w:r>
          <w:r w:rsidR="001144C1" w:rsidRPr="001144C1">
            <w:rPr>
              <w:rFonts w:ascii="Times New Roman" w:eastAsiaTheme="minorEastAsia" w:hAnsi="Times New Roman" w:cs="Times New Roman"/>
              <w:sz w:val="24"/>
              <w:szCs w:val="24"/>
              <w:lang w:val="es-ES"/>
            </w:rPr>
            <w:fldChar w:fldCharType="end"/>
          </w:r>
        </w:sdtContent>
      </w:sdt>
      <w:r w:rsidR="002C1342" w:rsidRPr="001144C1">
        <w:rPr>
          <w:rFonts w:ascii="Times New Roman" w:eastAsiaTheme="minorEastAsia" w:hAnsi="Times New Roman" w:cs="Times New Roman"/>
          <w:sz w:val="24"/>
          <w:szCs w:val="24"/>
          <w:lang w:val="es-ES"/>
        </w:rPr>
        <w:t>.</w:t>
      </w:r>
    </w:p>
    <w:p w14:paraId="733EA83C" w14:textId="6A6A081F" w:rsidR="00710C25" w:rsidRDefault="00003FCB" w:rsidP="009B0BBF">
      <w:pPr>
        <w:spacing w:line="360" w:lineRule="auto"/>
        <w:jc w:val="both"/>
        <w:rPr>
          <w:rFonts w:ascii="Times New Roman" w:eastAsiaTheme="minorEastAsia" w:hAnsi="Times New Roman" w:cs="Times New Roman"/>
          <w:noProof/>
          <w:sz w:val="24"/>
          <w:szCs w:val="24"/>
          <w:lang w:val="es-MX"/>
        </w:rPr>
      </w:pPr>
      <w:r>
        <w:rPr>
          <w:rFonts w:ascii="Times New Roman" w:eastAsiaTheme="minorEastAsia" w:hAnsi="Times New Roman" w:cs="Times New Roman"/>
          <w:sz w:val="24"/>
          <w:szCs w:val="24"/>
          <w:lang w:val="es-ES"/>
        </w:rPr>
        <w:t>La implementación de este esquema</w:t>
      </w:r>
      <w:r w:rsidR="00EA282A">
        <w:rPr>
          <w:rFonts w:ascii="Times New Roman" w:eastAsiaTheme="minorEastAsia" w:hAnsi="Times New Roman" w:cs="Times New Roman"/>
          <w:sz w:val="24"/>
          <w:szCs w:val="24"/>
          <w:lang w:val="es-ES"/>
        </w:rPr>
        <w:t xml:space="preserve"> fue acompaño de dos reformas financieras relevantes sucedidas en el año de 1989. Estas consistían en la liberalización del tipo de cambio</w:t>
      </w:r>
      <w:r w:rsidR="005916E7">
        <w:rPr>
          <w:rStyle w:val="Refdenotaalpie"/>
          <w:rFonts w:ascii="Times New Roman" w:eastAsiaTheme="minorEastAsia" w:hAnsi="Times New Roman" w:cs="Times New Roman"/>
          <w:sz w:val="24"/>
          <w:szCs w:val="24"/>
          <w:lang w:val="es-ES"/>
        </w:rPr>
        <w:footnoteReference w:id="4"/>
      </w:r>
      <w:r w:rsidR="00EA282A">
        <w:rPr>
          <w:rFonts w:ascii="Times New Roman" w:eastAsiaTheme="minorEastAsia" w:hAnsi="Times New Roman" w:cs="Times New Roman"/>
          <w:sz w:val="24"/>
          <w:szCs w:val="24"/>
          <w:lang w:val="es-ES"/>
        </w:rPr>
        <w:t xml:space="preserve"> </w:t>
      </w:r>
      <w:r w:rsidR="00593C1A">
        <w:rPr>
          <w:rFonts w:ascii="Times New Roman" w:eastAsiaTheme="minorEastAsia" w:hAnsi="Times New Roman" w:cs="Times New Roman"/>
          <w:sz w:val="24"/>
          <w:szCs w:val="24"/>
          <w:lang w:val="es-ES"/>
        </w:rPr>
        <w:t xml:space="preserve">Guerra Borges (2004) y las </w:t>
      </w:r>
      <w:r w:rsidR="001144C1">
        <w:rPr>
          <w:rFonts w:ascii="Times New Roman" w:eastAsiaTheme="minorEastAsia" w:hAnsi="Times New Roman" w:cs="Times New Roman"/>
          <w:sz w:val="24"/>
          <w:szCs w:val="24"/>
          <w:lang w:val="es-ES"/>
        </w:rPr>
        <w:t xml:space="preserve">tasas de interés </w:t>
      </w:r>
      <w:r w:rsidR="001144C1" w:rsidRPr="001144C1">
        <w:rPr>
          <w:rFonts w:ascii="Times New Roman" w:eastAsiaTheme="minorEastAsia" w:hAnsi="Times New Roman" w:cs="Times New Roman"/>
          <w:noProof/>
          <w:sz w:val="24"/>
          <w:szCs w:val="24"/>
          <w:lang w:val="es-MX"/>
        </w:rPr>
        <w:t>Marroquín Fernandez &amp; Herrera Velásquez</w:t>
      </w:r>
      <w:r w:rsidR="001144C1">
        <w:rPr>
          <w:rFonts w:ascii="Times New Roman" w:eastAsiaTheme="minorEastAsia" w:hAnsi="Times New Roman" w:cs="Times New Roman"/>
          <w:noProof/>
          <w:sz w:val="24"/>
          <w:szCs w:val="24"/>
          <w:lang w:val="es-MX"/>
        </w:rPr>
        <w:t xml:space="preserve"> (2010)</w:t>
      </w:r>
      <w:r w:rsidR="00903A2A">
        <w:rPr>
          <w:rFonts w:ascii="Times New Roman" w:eastAsiaTheme="minorEastAsia" w:hAnsi="Times New Roman" w:cs="Times New Roman"/>
          <w:noProof/>
          <w:sz w:val="24"/>
          <w:szCs w:val="24"/>
          <w:lang w:val="es-MX"/>
        </w:rPr>
        <w:t>. En concordancia con lo anterior</w:t>
      </w:r>
      <w:r w:rsidR="002B1CAB">
        <w:rPr>
          <w:rFonts w:ascii="Times New Roman" w:eastAsiaTheme="minorEastAsia" w:hAnsi="Times New Roman" w:cs="Times New Roman"/>
          <w:noProof/>
          <w:sz w:val="24"/>
          <w:szCs w:val="24"/>
          <w:lang w:val="es-MX"/>
        </w:rPr>
        <w:t xml:space="preserve"> mas la reducción del uso del</w:t>
      </w:r>
      <w:r w:rsidR="008E651C">
        <w:rPr>
          <w:rFonts w:ascii="Times New Roman" w:eastAsiaTheme="minorEastAsia" w:hAnsi="Times New Roman" w:cs="Times New Roman"/>
          <w:noProof/>
          <w:sz w:val="24"/>
          <w:szCs w:val="24"/>
          <w:lang w:val="es-MX"/>
        </w:rPr>
        <w:t xml:space="preserve"> encaje</w:t>
      </w:r>
      <w:r w:rsidR="002B1CAB">
        <w:rPr>
          <w:rFonts w:ascii="Times New Roman" w:eastAsiaTheme="minorEastAsia" w:hAnsi="Times New Roman" w:cs="Times New Roman"/>
          <w:noProof/>
          <w:sz w:val="24"/>
          <w:szCs w:val="24"/>
          <w:lang w:val="es-MX"/>
        </w:rPr>
        <w:t xml:space="preserve"> bancario como instrumento de control monetario</w:t>
      </w:r>
      <w:r w:rsidR="00903A2A">
        <w:rPr>
          <w:rFonts w:ascii="Times New Roman" w:eastAsiaTheme="minorEastAsia" w:hAnsi="Times New Roman" w:cs="Times New Roman"/>
          <w:noProof/>
          <w:sz w:val="24"/>
          <w:szCs w:val="24"/>
          <w:lang w:val="es-MX"/>
        </w:rPr>
        <w:t xml:space="preserve"> </w:t>
      </w:r>
      <w:r w:rsidR="008E651C">
        <w:rPr>
          <w:rFonts w:ascii="Times New Roman" w:eastAsiaTheme="minorEastAsia" w:hAnsi="Times New Roman" w:cs="Times New Roman"/>
          <w:noProof/>
          <w:sz w:val="24"/>
          <w:szCs w:val="24"/>
          <w:lang w:val="es-MX"/>
        </w:rPr>
        <w:t>Ortiz Cardona</w:t>
      </w:r>
      <w:r w:rsidR="00903A2A">
        <w:rPr>
          <w:rFonts w:ascii="Times New Roman" w:eastAsiaTheme="minorEastAsia" w:hAnsi="Times New Roman" w:cs="Times New Roman"/>
          <w:noProof/>
          <w:sz w:val="24"/>
          <w:szCs w:val="24"/>
          <w:lang w:val="es-MX"/>
        </w:rPr>
        <w:t xml:space="preserve"> et. al. (2019) </w:t>
      </w:r>
      <w:r w:rsidR="00A937FA">
        <w:rPr>
          <w:rFonts w:ascii="Times New Roman" w:eastAsiaTheme="minorEastAsia" w:hAnsi="Times New Roman" w:cs="Times New Roman"/>
          <w:noProof/>
          <w:sz w:val="24"/>
          <w:szCs w:val="24"/>
          <w:lang w:val="es-MX"/>
        </w:rPr>
        <w:t>señalan que</w:t>
      </w:r>
      <w:r w:rsidR="00710C25">
        <w:rPr>
          <w:rFonts w:ascii="Times New Roman" w:eastAsiaTheme="minorEastAsia" w:hAnsi="Times New Roman" w:cs="Times New Roman"/>
          <w:noProof/>
          <w:sz w:val="24"/>
          <w:szCs w:val="24"/>
          <w:lang w:val="es-MX"/>
        </w:rPr>
        <w:t>:</w:t>
      </w:r>
      <w:r w:rsidR="00A937FA">
        <w:rPr>
          <w:rFonts w:ascii="Times New Roman" w:eastAsiaTheme="minorEastAsia" w:hAnsi="Times New Roman" w:cs="Times New Roman"/>
          <w:noProof/>
          <w:sz w:val="24"/>
          <w:szCs w:val="24"/>
          <w:lang w:val="es-MX"/>
        </w:rPr>
        <w:t xml:space="preserve"> </w:t>
      </w:r>
    </w:p>
    <w:p w14:paraId="0FA113D8" w14:textId="3B34199F" w:rsidR="006348C5" w:rsidRDefault="00A937FA" w:rsidP="00710C25">
      <w:pPr>
        <w:spacing w:line="480" w:lineRule="auto"/>
        <w:ind w:left="708"/>
        <w:jc w:val="both"/>
        <w:rPr>
          <w:rFonts w:ascii="Times New Roman" w:eastAsiaTheme="minorEastAsia" w:hAnsi="Times New Roman" w:cs="Times New Roman"/>
          <w:sz w:val="24"/>
          <w:szCs w:val="24"/>
          <w:lang w:val="es-ES"/>
        </w:rPr>
      </w:pPr>
      <w:r>
        <w:rPr>
          <w:rFonts w:ascii="Times New Roman" w:eastAsiaTheme="minorEastAsia" w:hAnsi="Times New Roman" w:cs="Times New Roman"/>
          <w:noProof/>
          <w:sz w:val="24"/>
          <w:szCs w:val="24"/>
          <w:lang w:val="es-MX"/>
        </w:rPr>
        <w:t>“</w:t>
      </w:r>
      <w:r w:rsidR="001A7652" w:rsidRPr="001A7652">
        <w:rPr>
          <w:rFonts w:ascii="Times New Roman" w:eastAsiaTheme="minorEastAsia" w:hAnsi="Times New Roman" w:cs="Times New Roman"/>
          <w:noProof/>
          <w:sz w:val="24"/>
          <w:szCs w:val="24"/>
          <w:lang w:val="es-MX"/>
        </w:rPr>
        <w:t>Estas reformas financieras y operativas contribuyeron a aumentar el grado de endogeneidad en la determinación de los agregados monetarios ya que los mismos dejaron de ser función solamente de factores de oferta (bajo el control del Banco de Guatemala) y pasaron a ser determinados conjuntamente por factores de oferta y de demanda. Por lo tanto, la relación entre la emisión monetaria y la inflación, la cual denotaba un coeficiente de correlación superior a 80% en las dos décadas previas a la reforma financiera, se redujo durante la década de los noventa.</w:t>
      </w:r>
      <w:r w:rsidR="00710C25">
        <w:rPr>
          <w:rFonts w:ascii="Times New Roman" w:eastAsiaTheme="minorEastAsia" w:hAnsi="Times New Roman" w:cs="Times New Roman"/>
          <w:noProof/>
          <w:sz w:val="24"/>
          <w:szCs w:val="24"/>
          <w:lang w:val="es-MX"/>
        </w:rPr>
        <w:t>”</w:t>
      </w:r>
      <w:r w:rsidR="001A7652">
        <w:rPr>
          <w:rFonts w:ascii="Times New Roman" w:eastAsiaTheme="minorEastAsia" w:hAnsi="Times New Roman" w:cs="Times New Roman"/>
          <w:noProof/>
          <w:sz w:val="24"/>
          <w:szCs w:val="24"/>
          <w:lang w:val="es-MX"/>
        </w:rPr>
        <w:t xml:space="preserve"> </w:t>
      </w:r>
      <w:r>
        <w:rPr>
          <w:rFonts w:ascii="Times New Roman" w:eastAsiaTheme="minorEastAsia" w:hAnsi="Times New Roman" w:cs="Times New Roman"/>
          <w:noProof/>
          <w:sz w:val="24"/>
          <w:szCs w:val="24"/>
          <w:lang w:val="es-MX"/>
        </w:rPr>
        <w:t>(P. 5)</w:t>
      </w:r>
      <w:r w:rsidR="001A7652">
        <w:rPr>
          <w:rFonts w:ascii="Times New Roman" w:eastAsiaTheme="minorEastAsia" w:hAnsi="Times New Roman" w:cs="Times New Roman"/>
          <w:noProof/>
          <w:sz w:val="24"/>
          <w:szCs w:val="24"/>
          <w:lang w:val="es-MX"/>
        </w:rPr>
        <w:t xml:space="preserve"> </w:t>
      </w:r>
      <w:r w:rsidR="00704A6A">
        <w:rPr>
          <w:rStyle w:val="Refdenotaalpie"/>
          <w:rFonts w:ascii="Times New Roman" w:eastAsiaTheme="minorEastAsia" w:hAnsi="Times New Roman" w:cs="Times New Roman"/>
          <w:noProof/>
          <w:sz w:val="24"/>
          <w:szCs w:val="24"/>
          <w:lang w:val="es-MX"/>
        </w:rPr>
        <w:footnoteReference w:id="5"/>
      </w:r>
    </w:p>
    <w:p w14:paraId="6C11154D" w14:textId="5B412B80" w:rsidR="00C439D4" w:rsidRDefault="008B2E32"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lastRenderedPageBreak/>
        <w:t xml:space="preserve">El rompimiento en la relación entre el agregado monetario y la inflación es un hecho relevante puesto que dificulta al Banco Central </w:t>
      </w:r>
      <w:r w:rsidR="00971981">
        <w:rPr>
          <w:rFonts w:ascii="Times New Roman" w:eastAsiaTheme="minorEastAsia" w:hAnsi="Times New Roman" w:cs="Times New Roman"/>
          <w:sz w:val="24"/>
          <w:szCs w:val="24"/>
          <w:lang w:val="es-ES"/>
        </w:rPr>
        <w:t>incidir sobre</w:t>
      </w:r>
      <w:r>
        <w:rPr>
          <w:rFonts w:ascii="Times New Roman" w:eastAsiaTheme="minorEastAsia" w:hAnsi="Times New Roman" w:cs="Times New Roman"/>
          <w:sz w:val="24"/>
          <w:szCs w:val="24"/>
          <w:lang w:val="es-ES"/>
        </w:rPr>
        <w:t xml:space="preserve"> </w:t>
      </w:r>
      <w:r w:rsidR="00971981">
        <w:rPr>
          <w:rFonts w:ascii="Times New Roman" w:eastAsiaTheme="minorEastAsia" w:hAnsi="Times New Roman" w:cs="Times New Roman"/>
          <w:sz w:val="24"/>
          <w:szCs w:val="24"/>
          <w:lang w:val="es-ES"/>
        </w:rPr>
        <w:t>la</w:t>
      </w:r>
      <w:r>
        <w:rPr>
          <w:rFonts w:ascii="Times New Roman" w:eastAsiaTheme="minorEastAsia" w:hAnsi="Times New Roman" w:cs="Times New Roman"/>
          <w:sz w:val="24"/>
          <w:szCs w:val="24"/>
          <w:lang w:val="es-ES"/>
        </w:rPr>
        <w:t xml:space="preserve"> inflación haciendo que la política monetaria pierda eficacia. Bajo este contexto se hace necesario cambiar el rumbo de la política monetaria y buscar alternativas de ancla nominal</w:t>
      </w:r>
      <w:r w:rsidR="001F042B">
        <w:rPr>
          <w:rStyle w:val="Refdenotaalpie"/>
          <w:rFonts w:ascii="Times New Roman" w:eastAsiaTheme="minorEastAsia" w:hAnsi="Times New Roman" w:cs="Times New Roman"/>
          <w:sz w:val="24"/>
          <w:szCs w:val="24"/>
          <w:lang w:val="es-ES"/>
        </w:rPr>
        <w:footnoteReference w:id="6"/>
      </w:r>
      <w:r w:rsidR="001F042B">
        <w:rPr>
          <w:rFonts w:ascii="Times New Roman" w:eastAsiaTheme="minorEastAsia" w:hAnsi="Times New Roman" w:cs="Times New Roman"/>
          <w:sz w:val="24"/>
          <w:szCs w:val="24"/>
          <w:lang w:val="es-ES"/>
        </w:rPr>
        <w:t xml:space="preserve"> para la implementación de una política monetaria eficiente.</w:t>
      </w:r>
    </w:p>
    <w:p w14:paraId="5EFA81FF" w14:textId="2627DD7E" w:rsidR="00E312FD" w:rsidRDefault="00E413DE"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En función a lo anterior</w:t>
      </w:r>
      <w:r w:rsidR="00E312FD">
        <w:rPr>
          <w:rFonts w:ascii="Times New Roman" w:eastAsiaTheme="minorEastAsia" w:hAnsi="Times New Roman" w:cs="Times New Roman"/>
          <w:sz w:val="24"/>
          <w:szCs w:val="24"/>
          <w:lang w:val="es-ES"/>
        </w:rPr>
        <w:t xml:space="preserve"> el Banco de Guatemala se vio obligado a transitar al Esquema de Metas Explicitas de Inflación (EMEI) por lo que a inicios de la década de los 2000’s </w:t>
      </w:r>
      <w:r w:rsidR="007A62A2">
        <w:rPr>
          <w:rFonts w:ascii="Times New Roman" w:eastAsiaTheme="minorEastAsia" w:hAnsi="Times New Roman" w:cs="Times New Roman"/>
          <w:sz w:val="24"/>
          <w:szCs w:val="24"/>
          <w:lang w:val="es-ES"/>
        </w:rPr>
        <w:t xml:space="preserve">hasta el año 2004 </w:t>
      </w:r>
      <w:r>
        <w:rPr>
          <w:rFonts w:ascii="Times New Roman" w:eastAsiaTheme="minorEastAsia" w:hAnsi="Times New Roman" w:cs="Times New Roman"/>
          <w:sz w:val="24"/>
          <w:szCs w:val="24"/>
          <w:lang w:val="es-ES"/>
        </w:rPr>
        <w:t xml:space="preserve">se llevó a cabo una serie de medidas macroeconómicas y legislativas que entre otros aspectos modificaron la ley orgánica del Banco de Guatemala y </w:t>
      </w:r>
      <w:r w:rsidR="00971981">
        <w:rPr>
          <w:rFonts w:ascii="Times New Roman" w:eastAsiaTheme="minorEastAsia" w:hAnsi="Times New Roman" w:cs="Times New Roman"/>
          <w:sz w:val="24"/>
          <w:szCs w:val="24"/>
          <w:lang w:val="es-ES"/>
        </w:rPr>
        <w:t>fijaron</w:t>
      </w:r>
      <w:r>
        <w:rPr>
          <w:rFonts w:ascii="Times New Roman" w:eastAsiaTheme="minorEastAsia" w:hAnsi="Times New Roman" w:cs="Times New Roman"/>
          <w:sz w:val="24"/>
          <w:szCs w:val="24"/>
          <w:lang w:val="es-ES"/>
        </w:rPr>
        <w:t xml:space="preserve"> </w:t>
      </w:r>
      <w:r w:rsidR="006504FD">
        <w:rPr>
          <w:rFonts w:ascii="Times New Roman" w:eastAsiaTheme="minorEastAsia" w:hAnsi="Times New Roman" w:cs="Times New Roman"/>
          <w:sz w:val="24"/>
          <w:szCs w:val="24"/>
          <w:lang w:val="es-ES"/>
        </w:rPr>
        <w:t xml:space="preserve">la estabilidad en el nivel general de precios como </w:t>
      </w:r>
      <w:r w:rsidR="007A62A2">
        <w:rPr>
          <w:rFonts w:ascii="Times New Roman" w:eastAsiaTheme="minorEastAsia" w:hAnsi="Times New Roman" w:cs="Times New Roman"/>
          <w:sz w:val="24"/>
          <w:szCs w:val="24"/>
          <w:lang w:val="es-ES"/>
        </w:rPr>
        <w:t>el principal objetivo</w:t>
      </w:r>
      <w:r w:rsidR="006504FD">
        <w:rPr>
          <w:rFonts w:ascii="Times New Roman" w:eastAsiaTheme="minorEastAsia" w:hAnsi="Times New Roman" w:cs="Times New Roman"/>
          <w:sz w:val="24"/>
          <w:szCs w:val="24"/>
          <w:lang w:val="es-ES"/>
        </w:rPr>
        <w:t xml:space="preserve"> a conseguir</w:t>
      </w:r>
      <w:r w:rsidR="006E4612">
        <w:rPr>
          <w:rFonts w:ascii="Times New Roman" w:eastAsiaTheme="minorEastAsia" w:hAnsi="Times New Roman" w:cs="Times New Roman"/>
          <w:sz w:val="24"/>
          <w:szCs w:val="24"/>
          <w:lang w:val="es-ES"/>
        </w:rPr>
        <w:t>.</w:t>
      </w:r>
    </w:p>
    <w:p w14:paraId="05A94E84" w14:textId="7F7330C4" w:rsidR="006E4612" w:rsidRDefault="006E4612"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El artículo 3 de la Ley Orgánica del Banco de Guatemala señala:</w:t>
      </w:r>
    </w:p>
    <w:p w14:paraId="0E831DB8" w14:textId="399961B8" w:rsidR="00971981" w:rsidRDefault="006504FD" w:rsidP="005836E6">
      <w:pPr>
        <w:spacing w:line="480" w:lineRule="auto"/>
        <w:ind w:left="708"/>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w:t>
      </w:r>
      <w:r w:rsidRPr="006504FD">
        <w:rPr>
          <w:rFonts w:ascii="Times New Roman" w:eastAsiaTheme="minorEastAsia" w:hAnsi="Times New Roman" w:cs="Times New Roman"/>
          <w:sz w:val="24"/>
          <w:szCs w:val="24"/>
          <w:lang w:val="es-ES"/>
        </w:rPr>
        <w:t>El Banco de Guatemala tiene como</w:t>
      </w:r>
      <w:r>
        <w:rPr>
          <w:rFonts w:ascii="Times New Roman" w:eastAsiaTheme="minorEastAsia" w:hAnsi="Times New Roman" w:cs="Times New Roman"/>
          <w:sz w:val="24"/>
          <w:szCs w:val="24"/>
          <w:lang w:val="es-ES"/>
        </w:rPr>
        <w:t xml:space="preserve"> </w:t>
      </w:r>
      <w:r w:rsidRPr="006504FD">
        <w:rPr>
          <w:rFonts w:ascii="Times New Roman" w:eastAsiaTheme="minorEastAsia" w:hAnsi="Times New Roman" w:cs="Times New Roman"/>
          <w:sz w:val="24"/>
          <w:szCs w:val="24"/>
          <w:lang w:val="es-ES"/>
        </w:rPr>
        <w:t>objetivo fundamental, contribuir a la creación y mantenimiento de las condiciones más</w:t>
      </w:r>
      <w:r>
        <w:rPr>
          <w:rFonts w:ascii="Times New Roman" w:eastAsiaTheme="minorEastAsia" w:hAnsi="Times New Roman" w:cs="Times New Roman"/>
          <w:sz w:val="24"/>
          <w:szCs w:val="24"/>
          <w:lang w:val="es-ES"/>
        </w:rPr>
        <w:t xml:space="preserve"> </w:t>
      </w:r>
      <w:r w:rsidRPr="006504FD">
        <w:rPr>
          <w:rFonts w:ascii="Times New Roman" w:eastAsiaTheme="minorEastAsia" w:hAnsi="Times New Roman" w:cs="Times New Roman"/>
          <w:sz w:val="24"/>
          <w:szCs w:val="24"/>
          <w:lang w:val="es-ES"/>
        </w:rPr>
        <w:t>favorables al desarrollo ordenado de la economía nacional, para lo cual, propiciará las</w:t>
      </w:r>
      <w:r>
        <w:rPr>
          <w:rFonts w:ascii="Times New Roman" w:eastAsiaTheme="minorEastAsia" w:hAnsi="Times New Roman" w:cs="Times New Roman"/>
          <w:sz w:val="24"/>
          <w:szCs w:val="24"/>
          <w:lang w:val="es-ES"/>
        </w:rPr>
        <w:t xml:space="preserve"> </w:t>
      </w:r>
      <w:r w:rsidRPr="006504FD">
        <w:rPr>
          <w:rFonts w:ascii="Times New Roman" w:eastAsiaTheme="minorEastAsia" w:hAnsi="Times New Roman" w:cs="Times New Roman"/>
          <w:sz w:val="24"/>
          <w:szCs w:val="24"/>
          <w:lang w:val="es-ES"/>
        </w:rPr>
        <w:t>condiciones monetarias, cambiarias y crediticias que promuevan la estabilidad en el</w:t>
      </w:r>
      <w:r>
        <w:rPr>
          <w:rFonts w:ascii="Times New Roman" w:eastAsiaTheme="minorEastAsia" w:hAnsi="Times New Roman" w:cs="Times New Roman"/>
          <w:sz w:val="24"/>
          <w:szCs w:val="24"/>
          <w:lang w:val="es-ES"/>
        </w:rPr>
        <w:t xml:space="preserve"> </w:t>
      </w:r>
      <w:r w:rsidRPr="006504FD">
        <w:rPr>
          <w:rFonts w:ascii="Times New Roman" w:eastAsiaTheme="minorEastAsia" w:hAnsi="Times New Roman" w:cs="Times New Roman"/>
          <w:sz w:val="24"/>
          <w:szCs w:val="24"/>
          <w:lang w:val="es-ES"/>
        </w:rPr>
        <w:t>nivel general de precios.</w:t>
      </w:r>
      <w:r>
        <w:rPr>
          <w:rFonts w:ascii="Times New Roman" w:eastAsiaTheme="minorEastAsia" w:hAnsi="Times New Roman" w:cs="Times New Roman"/>
          <w:sz w:val="24"/>
          <w:szCs w:val="24"/>
          <w:lang w:val="es-ES"/>
        </w:rPr>
        <w:t xml:space="preserve">” </w:t>
      </w:r>
      <w:r w:rsidR="00971981">
        <w:rPr>
          <w:rFonts w:ascii="Times New Roman" w:eastAsiaTheme="minorEastAsia" w:hAnsi="Times New Roman" w:cs="Times New Roman"/>
          <w:sz w:val="24"/>
          <w:szCs w:val="24"/>
          <w:lang w:val="es-ES"/>
        </w:rPr>
        <w:t>Ley Orgánica del Banco de Guatemala (2002)</w:t>
      </w:r>
      <w:r w:rsidR="005836E6">
        <w:rPr>
          <w:rFonts w:ascii="Times New Roman" w:eastAsiaTheme="minorEastAsia" w:hAnsi="Times New Roman" w:cs="Times New Roman"/>
          <w:sz w:val="24"/>
          <w:szCs w:val="24"/>
          <w:lang w:val="es-ES"/>
        </w:rPr>
        <w:t>.</w:t>
      </w:r>
    </w:p>
    <w:p w14:paraId="20719419" w14:textId="04071AF5" w:rsidR="001853CA" w:rsidRDefault="005836E6" w:rsidP="00D847DB">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Autores como </w:t>
      </w:r>
      <w:proofErr w:type="spellStart"/>
      <w:r>
        <w:rPr>
          <w:rFonts w:ascii="Times New Roman" w:eastAsiaTheme="minorEastAsia" w:hAnsi="Times New Roman" w:cs="Times New Roman"/>
          <w:sz w:val="24"/>
          <w:szCs w:val="24"/>
          <w:lang w:val="es-ES"/>
        </w:rPr>
        <w:t>Mishkin</w:t>
      </w:r>
      <w:proofErr w:type="spellEnd"/>
      <w:r>
        <w:rPr>
          <w:rFonts w:ascii="Times New Roman" w:eastAsiaTheme="minorEastAsia" w:hAnsi="Times New Roman" w:cs="Times New Roman"/>
          <w:sz w:val="24"/>
          <w:szCs w:val="24"/>
          <w:lang w:val="es-ES"/>
        </w:rPr>
        <w:t xml:space="preserve"> (2007) indican que además de establecer </w:t>
      </w:r>
      <w:r w:rsidR="007A62A2">
        <w:rPr>
          <w:rFonts w:ascii="Times New Roman" w:eastAsiaTheme="minorEastAsia" w:hAnsi="Times New Roman" w:cs="Times New Roman"/>
          <w:sz w:val="24"/>
          <w:szCs w:val="24"/>
          <w:lang w:val="es-ES"/>
        </w:rPr>
        <w:t>la inflación como ancla nominal</w:t>
      </w:r>
      <w:r>
        <w:rPr>
          <w:rFonts w:ascii="Times New Roman" w:eastAsiaTheme="minorEastAsia" w:hAnsi="Times New Roman" w:cs="Times New Roman"/>
          <w:sz w:val="24"/>
          <w:szCs w:val="24"/>
          <w:lang w:val="es-ES"/>
        </w:rPr>
        <w:t xml:space="preserve"> </w:t>
      </w:r>
      <w:r w:rsidR="007A62A2">
        <w:rPr>
          <w:rFonts w:ascii="Times New Roman" w:eastAsiaTheme="minorEastAsia" w:hAnsi="Times New Roman" w:cs="Times New Roman"/>
          <w:sz w:val="24"/>
          <w:szCs w:val="24"/>
          <w:lang w:val="es-ES"/>
        </w:rPr>
        <w:t>el Banco Central debe</w:t>
      </w:r>
      <w:r>
        <w:rPr>
          <w:rFonts w:ascii="Times New Roman" w:eastAsiaTheme="minorEastAsia" w:hAnsi="Times New Roman" w:cs="Times New Roman"/>
          <w:sz w:val="24"/>
          <w:szCs w:val="24"/>
          <w:lang w:val="es-ES"/>
        </w:rPr>
        <w:t xml:space="preserve"> </w:t>
      </w:r>
      <w:r w:rsidR="007A62A2">
        <w:rPr>
          <w:rFonts w:ascii="Times New Roman" w:eastAsiaTheme="minorEastAsia" w:hAnsi="Times New Roman" w:cs="Times New Roman"/>
          <w:sz w:val="24"/>
          <w:szCs w:val="24"/>
          <w:lang w:val="es-ES"/>
        </w:rPr>
        <w:t>anunciar la meta de inflación para el mediano plazo además de establecer mecanismos de transparencia y rendición de cuentas, elementos que se adoptaron por parte del Banco de Guatemala en el periodo de transición</w:t>
      </w:r>
      <w:r w:rsidR="00D847DB">
        <w:rPr>
          <w:rFonts w:ascii="Times New Roman" w:eastAsiaTheme="minorEastAsia" w:hAnsi="Times New Roman" w:cs="Times New Roman"/>
          <w:sz w:val="24"/>
          <w:szCs w:val="24"/>
          <w:lang w:val="es-ES"/>
        </w:rPr>
        <w:t>.</w:t>
      </w:r>
    </w:p>
    <w:p w14:paraId="1FA1D4EA" w14:textId="15121724" w:rsidR="00D847DB" w:rsidRDefault="008E651C" w:rsidP="00D847DB">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Ortiz Cardona</w:t>
      </w:r>
      <w:r w:rsidR="00D847DB">
        <w:rPr>
          <w:rFonts w:ascii="Times New Roman" w:eastAsiaTheme="minorEastAsia" w:hAnsi="Times New Roman" w:cs="Times New Roman"/>
          <w:sz w:val="24"/>
          <w:szCs w:val="24"/>
          <w:lang w:val="es-ES"/>
        </w:rPr>
        <w:t xml:space="preserve"> et. al. (2019) señalan al respecto:</w:t>
      </w:r>
    </w:p>
    <w:p w14:paraId="0C08FAC8" w14:textId="1289F5E1" w:rsidR="00D847DB" w:rsidRDefault="00D847DB" w:rsidP="00D847DB">
      <w:pPr>
        <w:spacing w:line="480" w:lineRule="auto"/>
        <w:ind w:left="708"/>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w:t>
      </w:r>
      <w:r w:rsidR="00DE4C6A" w:rsidRPr="00DE4C6A">
        <w:rPr>
          <w:rFonts w:ascii="Times New Roman" w:eastAsiaTheme="minorEastAsia" w:hAnsi="Times New Roman" w:cs="Times New Roman"/>
          <w:sz w:val="24"/>
          <w:szCs w:val="24"/>
          <w:lang w:val="es-ES"/>
        </w:rPr>
        <w:t xml:space="preserve">Las reformas efectuadas a la Ley Orgánica del Banco de Guatemala introdujeron las bases para la constitución de un EMEI en el país. En primer lugar, se define con </w:t>
      </w:r>
      <w:r w:rsidR="00DE4C6A" w:rsidRPr="00DE4C6A">
        <w:rPr>
          <w:rFonts w:ascii="Times New Roman" w:eastAsiaTheme="minorEastAsia" w:hAnsi="Times New Roman" w:cs="Times New Roman"/>
          <w:sz w:val="24"/>
          <w:szCs w:val="24"/>
          <w:lang w:val="es-ES"/>
        </w:rPr>
        <w:lastRenderedPageBreak/>
        <w:t>claridad el objetivo fundamental del banco central: la consecución de estabilidad en el nivel general de precios. En segundo lugar, se otorga al banco central autonomía operativa en la selección y gestión de los instrumentos que considere más apropiados para el logro de su objetivo fundamental. Finalmente, se propicia un mayor grado de transparencia de la política monetaria y se establece un mecanismo de rendición de cuentas sobre el actuar del banco central.</w:t>
      </w:r>
      <w:r>
        <w:rPr>
          <w:rFonts w:ascii="Times New Roman" w:eastAsiaTheme="minorEastAsia" w:hAnsi="Times New Roman" w:cs="Times New Roman"/>
          <w:sz w:val="24"/>
          <w:szCs w:val="24"/>
          <w:lang w:val="es-ES"/>
        </w:rPr>
        <w:t>” (P. 6)</w:t>
      </w:r>
    </w:p>
    <w:p w14:paraId="7CCBA401" w14:textId="2C7D1792" w:rsidR="00114106" w:rsidRDefault="00BA7C75" w:rsidP="00E7484C">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Finalmente,</w:t>
      </w:r>
      <w:r w:rsidR="00FD5A02">
        <w:rPr>
          <w:rFonts w:ascii="Times New Roman" w:eastAsiaTheme="minorEastAsia" w:hAnsi="Times New Roman" w:cs="Times New Roman"/>
          <w:sz w:val="24"/>
          <w:szCs w:val="24"/>
          <w:lang w:val="es-ES"/>
        </w:rPr>
        <w:t xml:space="preserve"> luego del periodo de transición el </w:t>
      </w:r>
      <w:r w:rsidR="00E7484C">
        <w:rPr>
          <w:rFonts w:ascii="Times New Roman" w:eastAsiaTheme="minorEastAsia" w:hAnsi="Times New Roman" w:cs="Times New Roman"/>
          <w:sz w:val="24"/>
          <w:szCs w:val="24"/>
          <w:lang w:val="es-ES"/>
        </w:rPr>
        <w:t>EMEI se implementó oficialmente en Guatemala desde el año 2005 y desde entonces ha estado vigente</w:t>
      </w:r>
      <w:r w:rsidR="003257C9">
        <w:rPr>
          <w:rFonts w:ascii="Times New Roman" w:eastAsiaTheme="minorEastAsia" w:hAnsi="Times New Roman" w:cs="Times New Roman"/>
          <w:sz w:val="24"/>
          <w:szCs w:val="24"/>
          <w:lang w:val="es-ES"/>
        </w:rPr>
        <w:t xml:space="preserve"> teniendo como meta de inflación desde el año 2011 un 4% </w:t>
      </w:r>
      <m:oMath>
        <m:r>
          <w:rPr>
            <w:rFonts w:ascii="Cambria Math" w:eastAsiaTheme="minorEastAsia" w:hAnsi="Cambria Math" w:cs="Times New Roman"/>
            <w:sz w:val="24"/>
            <w:szCs w:val="24"/>
            <w:lang w:val="es-ES"/>
          </w:rPr>
          <m:t>±</m:t>
        </m:r>
      </m:oMath>
      <w:r w:rsidR="003257C9">
        <w:rPr>
          <w:rFonts w:ascii="Times New Roman" w:eastAsiaTheme="minorEastAsia" w:hAnsi="Times New Roman" w:cs="Times New Roman"/>
          <w:sz w:val="24"/>
          <w:szCs w:val="24"/>
          <w:lang w:val="es-ES"/>
        </w:rPr>
        <w:t xml:space="preserve"> 1% como constata la Resolución de Junta Monetaria 171-2011.</w:t>
      </w:r>
    </w:p>
    <w:p w14:paraId="669ADC61" w14:textId="65ABC104" w:rsidR="00E7484C" w:rsidRPr="008D687C" w:rsidRDefault="008D687C" w:rsidP="008D687C">
      <w:pPr>
        <w:pStyle w:val="Descripcin"/>
        <w:rPr>
          <w:rFonts w:ascii="Times New Roman" w:eastAsiaTheme="minorEastAsia" w:hAnsi="Times New Roman" w:cs="Times New Roman"/>
          <w:color w:val="FFFFFF" w:themeColor="background1"/>
          <w:sz w:val="24"/>
          <w:szCs w:val="24"/>
          <w:lang w:val="es-ES"/>
        </w:rPr>
      </w:pPr>
      <w:r w:rsidRPr="008D687C">
        <w:rPr>
          <w:rFonts w:ascii="Times New Roman" w:hAnsi="Times New Roman" w:cs="Times New Roman"/>
          <w:b/>
          <w:bCs/>
          <w:i w:val="0"/>
          <w:iCs w:val="0"/>
          <w:color w:val="auto"/>
          <w:sz w:val="24"/>
          <w:szCs w:val="24"/>
        </w:rPr>
        <w:t xml:space="preserve">Figura </w:t>
      </w:r>
      <w:r w:rsidRPr="008D687C">
        <w:rPr>
          <w:rFonts w:ascii="Times New Roman" w:hAnsi="Times New Roman" w:cs="Times New Roman"/>
          <w:b/>
          <w:bCs/>
          <w:i w:val="0"/>
          <w:iCs w:val="0"/>
          <w:color w:val="auto"/>
          <w:sz w:val="24"/>
          <w:szCs w:val="24"/>
        </w:rPr>
        <w:fldChar w:fldCharType="begin"/>
      </w:r>
      <w:r w:rsidRPr="008D687C">
        <w:rPr>
          <w:rFonts w:ascii="Times New Roman" w:hAnsi="Times New Roman" w:cs="Times New Roman"/>
          <w:b/>
          <w:bCs/>
          <w:i w:val="0"/>
          <w:iCs w:val="0"/>
          <w:color w:val="auto"/>
          <w:sz w:val="24"/>
          <w:szCs w:val="24"/>
        </w:rPr>
        <w:instrText xml:space="preserve"> SEQ Figura \* ARABIC </w:instrText>
      </w:r>
      <w:r w:rsidRPr="008D687C">
        <w:rPr>
          <w:rFonts w:ascii="Times New Roman" w:hAnsi="Times New Roman" w:cs="Times New Roman"/>
          <w:b/>
          <w:bCs/>
          <w:i w:val="0"/>
          <w:iCs w:val="0"/>
          <w:color w:val="auto"/>
          <w:sz w:val="24"/>
          <w:szCs w:val="24"/>
        </w:rPr>
        <w:fldChar w:fldCharType="separate"/>
      </w:r>
      <w:r w:rsidR="00D066D9">
        <w:rPr>
          <w:rFonts w:ascii="Times New Roman" w:hAnsi="Times New Roman" w:cs="Times New Roman"/>
          <w:b/>
          <w:bCs/>
          <w:i w:val="0"/>
          <w:iCs w:val="0"/>
          <w:noProof/>
          <w:color w:val="auto"/>
          <w:sz w:val="24"/>
          <w:szCs w:val="24"/>
        </w:rPr>
        <w:t>2</w:t>
      </w:r>
      <w:r w:rsidRPr="008D687C">
        <w:rPr>
          <w:rFonts w:ascii="Times New Roman" w:hAnsi="Times New Roman" w:cs="Times New Roman"/>
          <w:b/>
          <w:bCs/>
          <w:i w:val="0"/>
          <w:iCs w:val="0"/>
          <w:color w:val="auto"/>
          <w:sz w:val="24"/>
          <w:szCs w:val="24"/>
        </w:rPr>
        <w:fldChar w:fldCharType="end"/>
      </w:r>
      <w:r w:rsidRPr="008D687C">
        <w:rPr>
          <w:color w:val="FFFFFF" w:themeColor="background1"/>
        </w:rPr>
        <w:t xml:space="preserve"> Evolución de la inflación bajo los esquemas de agregados monetarios y metas de inflación</w:t>
      </w:r>
    </w:p>
    <w:p w14:paraId="0EAD43A6" w14:textId="77777777" w:rsidR="008D687C" w:rsidRPr="008D687C" w:rsidRDefault="008D687C" w:rsidP="008D687C">
      <w:pPr>
        <w:pStyle w:val="Descripcin"/>
        <w:rPr>
          <w:rFonts w:ascii="Times New Roman" w:eastAsiaTheme="minorEastAsia" w:hAnsi="Times New Roman" w:cs="Times New Roman"/>
          <w:i w:val="0"/>
          <w:iCs w:val="0"/>
          <w:color w:val="auto"/>
          <w:sz w:val="24"/>
          <w:szCs w:val="24"/>
          <w:lang w:val="es-ES"/>
        </w:rPr>
      </w:pPr>
      <w:r w:rsidRPr="008D687C">
        <w:rPr>
          <w:rFonts w:ascii="Times New Roman" w:hAnsi="Times New Roman" w:cs="Times New Roman"/>
          <w:i w:val="0"/>
          <w:iCs w:val="0"/>
          <w:color w:val="auto"/>
          <w:sz w:val="24"/>
          <w:szCs w:val="24"/>
        </w:rPr>
        <w:t>Evolución de la inflación bajo los esquemas de agregados monetarios y metas de inflación</w:t>
      </w:r>
    </w:p>
    <w:p w14:paraId="5114B7DD" w14:textId="4A373BA8" w:rsidR="00D847DB" w:rsidRDefault="001003BE" w:rsidP="00FB440B">
      <w:pPr>
        <w:spacing w:line="240" w:lineRule="auto"/>
        <w:jc w:val="center"/>
        <w:rPr>
          <w:rFonts w:ascii="Times New Roman" w:eastAsiaTheme="minorEastAsia" w:hAnsi="Times New Roman" w:cs="Times New Roman"/>
          <w:sz w:val="24"/>
          <w:szCs w:val="24"/>
          <w:lang w:val="es-ES"/>
        </w:rPr>
      </w:pPr>
      <w:r w:rsidRPr="001003BE">
        <w:rPr>
          <w:rFonts w:ascii="Times New Roman" w:eastAsiaTheme="minorEastAsia" w:hAnsi="Times New Roman" w:cs="Times New Roman"/>
          <w:noProof/>
          <w:sz w:val="24"/>
          <w:szCs w:val="24"/>
          <w:lang w:val="es-ES"/>
        </w:rPr>
        <w:drawing>
          <wp:inline distT="0" distB="0" distL="0" distR="0" wp14:anchorId="0719CFE2" wp14:editId="12A3CB14">
            <wp:extent cx="5612130" cy="297751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977515"/>
                    </a:xfrm>
                    <a:prstGeom prst="rect">
                      <a:avLst/>
                    </a:prstGeom>
                    <a:noFill/>
                    <a:ln>
                      <a:noFill/>
                    </a:ln>
                  </pic:spPr>
                </pic:pic>
              </a:graphicData>
            </a:graphic>
          </wp:inline>
        </w:drawing>
      </w:r>
    </w:p>
    <w:p w14:paraId="093995CF" w14:textId="77D4A914" w:rsidR="00D847DB" w:rsidRPr="000C7BF7" w:rsidRDefault="00FB440B" w:rsidP="00BA7C75">
      <w:pPr>
        <w:spacing w:line="240" w:lineRule="auto"/>
        <w:jc w:val="both"/>
        <w:rPr>
          <w:rFonts w:ascii="Times New Roman" w:eastAsiaTheme="minorEastAsia" w:hAnsi="Times New Roman" w:cs="Times New Roman"/>
          <w:sz w:val="24"/>
          <w:szCs w:val="24"/>
          <w:lang w:val="es-ES"/>
        </w:rPr>
      </w:pPr>
      <w:r w:rsidRPr="004B7E0D">
        <w:rPr>
          <w:rFonts w:ascii="Times New Roman" w:eastAsiaTheme="minorEastAsia" w:hAnsi="Times New Roman" w:cs="Times New Roman"/>
          <w:i/>
          <w:iCs/>
          <w:sz w:val="24"/>
          <w:szCs w:val="24"/>
          <w:lang w:val="es-ES"/>
        </w:rPr>
        <w:t>Nota:</w:t>
      </w:r>
      <w:r>
        <w:rPr>
          <w:rFonts w:ascii="Times New Roman" w:eastAsiaTheme="minorEastAsia" w:hAnsi="Times New Roman" w:cs="Times New Roman"/>
          <w:sz w:val="24"/>
          <w:szCs w:val="24"/>
          <w:lang w:val="es-ES"/>
        </w:rPr>
        <w:t xml:space="preserve"> </w:t>
      </w:r>
      <w:r w:rsidRPr="00FB440B">
        <w:rPr>
          <w:rFonts w:ascii="Times New Roman" w:eastAsiaTheme="minorEastAsia" w:hAnsi="Times New Roman" w:cs="Times New Roman"/>
          <w:sz w:val="24"/>
          <w:szCs w:val="24"/>
          <w:lang w:val="es-ES"/>
        </w:rPr>
        <w:t>E</w:t>
      </w:r>
      <w:r>
        <w:rPr>
          <w:rFonts w:ascii="Times New Roman" w:eastAsiaTheme="minorEastAsia" w:hAnsi="Times New Roman" w:cs="Times New Roman"/>
          <w:sz w:val="24"/>
          <w:szCs w:val="24"/>
          <w:lang w:val="es-ES"/>
        </w:rPr>
        <w:t>l gráfico muestra el comportamiento de la inflación bajo los distintos esquemas de política monetaria desde el año 1989 hasta el 2022</w:t>
      </w:r>
      <w:r w:rsidR="00994743">
        <w:rPr>
          <w:rFonts w:ascii="Times New Roman" w:eastAsiaTheme="minorEastAsia" w:hAnsi="Times New Roman" w:cs="Times New Roman"/>
          <w:sz w:val="24"/>
          <w:szCs w:val="24"/>
          <w:lang w:val="es-ES"/>
        </w:rPr>
        <w:t xml:space="preserve"> ajustada por una línea de tendencia obtenida mediante regresión local</w:t>
      </w:r>
      <w:r>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b/>
          <w:bCs/>
          <w:i/>
          <w:iCs/>
          <w:sz w:val="24"/>
          <w:szCs w:val="24"/>
          <w:lang w:val="es-ES"/>
        </w:rPr>
        <w:t xml:space="preserve"> </w:t>
      </w:r>
      <w:r>
        <w:rPr>
          <w:rFonts w:ascii="Times New Roman" w:eastAsiaTheme="minorEastAsia" w:hAnsi="Times New Roman" w:cs="Times New Roman"/>
          <w:sz w:val="24"/>
          <w:szCs w:val="24"/>
          <w:lang w:val="es-ES"/>
        </w:rPr>
        <w:t>Elaboración propia.</w:t>
      </w:r>
    </w:p>
    <w:p w14:paraId="771E6195" w14:textId="77777777" w:rsidR="00446EE8" w:rsidRPr="00814661" w:rsidRDefault="00446EE8" w:rsidP="00446EE8">
      <w:pPr>
        <w:spacing w:line="360" w:lineRule="auto"/>
        <w:jc w:val="both"/>
        <w:rPr>
          <w:rFonts w:ascii="Times New Roman" w:eastAsiaTheme="minorEastAsia" w:hAnsi="Times New Roman" w:cs="Times New Roman"/>
          <w:sz w:val="24"/>
          <w:szCs w:val="24"/>
        </w:rPr>
      </w:pPr>
    </w:p>
    <w:p w14:paraId="4E22C05B" w14:textId="59099DE2" w:rsidR="00446EE8" w:rsidRDefault="00303214" w:rsidP="00A23F2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Cómo se evidencia en el gráfico la reducción en la inflación a sido notoria </w:t>
      </w:r>
      <w:r w:rsidR="00C13F4D">
        <w:rPr>
          <w:rFonts w:ascii="Times New Roman" w:hAnsi="Times New Roman" w:cs="Times New Roman"/>
          <w:sz w:val="24"/>
          <w:szCs w:val="24"/>
        </w:rPr>
        <w:t>desde su pico máximo en enero de 1991</w:t>
      </w:r>
      <w:r w:rsidR="00C13F4D">
        <w:rPr>
          <w:rStyle w:val="Refdenotaalpie"/>
          <w:rFonts w:ascii="Times New Roman" w:hAnsi="Times New Roman" w:cs="Times New Roman"/>
          <w:sz w:val="24"/>
          <w:szCs w:val="24"/>
        </w:rPr>
        <w:footnoteReference w:id="7"/>
      </w:r>
      <w:r w:rsidR="00C13F4D">
        <w:rPr>
          <w:rFonts w:ascii="Times New Roman" w:hAnsi="Times New Roman" w:cs="Times New Roman"/>
          <w:sz w:val="24"/>
          <w:szCs w:val="24"/>
        </w:rPr>
        <w:t xml:space="preserve"> y muestra un comportamiento similar a una serie estacionaria luego de unos años de implementado el EMEI.</w:t>
      </w:r>
    </w:p>
    <w:p w14:paraId="60FADAB7" w14:textId="397E0DBD" w:rsidR="0072166C" w:rsidRDefault="0072166C" w:rsidP="0072166C">
      <w:pPr>
        <w:pStyle w:val="Descripcin"/>
      </w:pPr>
      <w:r w:rsidRPr="0072166C">
        <w:rPr>
          <w:rFonts w:ascii="Times New Roman" w:hAnsi="Times New Roman" w:cs="Times New Roman"/>
          <w:b/>
          <w:bCs/>
          <w:i w:val="0"/>
          <w:iCs w:val="0"/>
          <w:color w:val="auto"/>
          <w:sz w:val="24"/>
          <w:szCs w:val="24"/>
        </w:rPr>
        <w:t xml:space="preserve">Tabla </w:t>
      </w:r>
      <w:r w:rsidRPr="0072166C">
        <w:rPr>
          <w:rFonts w:ascii="Times New Roman" w:hAnsi="Times New Roman" w:cs="Times New Roman"/>
          <w:b/>
          <w:bCs/>
          <w:i w:val="0"/>
          <w:iCs w:val="0"/>
          <w:color w:val="auto"/>
          <w:sz w:val="24"/>
          <w:szCs w:val="24"/>
        </w:rPr>
        <w:fldChar w:fldCharType="begin"/>
      </w:r>
      <w:r w:rsidRPr="0072166C">
        <w:rPr>
          <w:rFonts w:ascii="Times New Roman" w:hAnsi="Times New Roman" w:cs="Times New Roman"/>
          <w:b/>
          <w:bCs/>
          <w:i w:val="0"/>
          <w:iCs w:val="0"/>
          <w:color w:val="auto"/>
          <w:sz w:val="24"/>
          <w:szCs w:val="24"/>
        </w:rPr>
        <w:instrText xml:space="preserve"> SEQ Tabla \* ARABIC </w:instrText>
      </w:r>
      <w:r w:rsidRPr="0072166C">
        <w:rPr>
          <w:rFonts w:ascii="Times New Roman" w:hAnsi="Times New Roman" w:cs="Times New Roman"/>
          <w:b/>
          <w:bCs/>
          <w:i w:val="0"/>
          <w:iCs w:val="0"/>
          <w:color w:val="auto"/>
          <w:sz w:val="24"/>
          <w:szCs w:val="24"/>
        </w:rPr>
        <w:fldChar w:fldCharType="separate"/>
      </w:r>
      <w:r w:rsidRPr="0072166C">
        <w:rPr>
          <w:rFonts w:ascii="Times New Roman" w:hAnsi="Times New Roman" w:cs="Times New Roman"/>
          <w:b/>
          <w:bCs/>
          <w:i w:val="0"/>
          <w:iCs w:val="0"/>
          <w:noProof/>
          <w:color w:val="auto"/>
          <w:sz w:val="24"/>
          <w:szCs w:val="24"/>
        </w:rPr>
        <w:t>1</w:t>
      </w:r>
      <w:r w:rsidRPr="0072166C">
        <w:rPr>
          <w:rFonts w:ascii="Times New Roman" w:hAnsi="Times New Roman" w:cs="Times New Roman"/>
          <w:b/>
          <w:bCs/>
          <w:i w:val="0"/>
          <w:iCs w:val="0"/>
          <w:color w:val="auto"/>
          <w:sz w:val="24"/>
          <w:szCs w:val="24"/>
        </w:rPr>
        <w:fldChar w:fldCharType="end"/>
      </w:r>
      <w:r>
        <w:t xml:space="preserve"> </w:t>
      </w:r>
      <w:r w:rsidRPr="0072166C">
        <w:rPr>
          <w:color w:val="FFFFFF" w:themeColor="background1"/>
        </w:rPr>
        <w:t>Inflación Media según el esquema de Política Monetaria</w:t>
      </w:r>
    </w:p>
    <w:p w14:paraId="33E1E229" w14:textId="5D8DDD48" w:rsidR="0072166C" w:rsidRPr="0072166C" w:rsidRDefault="0072166C" w:rsidP="0072166C">
      <w:pPr>
        <w:pStyle w:val="Descripcin"/>
        <w:rPr>
          <w:rFonts w:ascii="Times New Roman" w:hAnsi="Times New Roman" w:cs="Times New Roman"/>
          <w:i w:val="0"/>
          <w:iCs w:val="0"/>
          <w:color w:val="auto"/>
          <w:sz w:val="36"/>
          <w:szCs w:val="36"/>
        </w:rPr>
      </w:pPr>
      <w:r w:rsidRPr="0072166C">
        <w:rPr>
          <w:rFonts w:ascii="Times New Roman" w:hAnsi="Times New Roman" w:cs="Times New Roman"/>
          <w:i w:val="0"/>
          <w:iCs w:val="0"/>
          <w:color w:val="auto"/>
          <w:sz w:val="24"/>
          <w:szCs w:val="24"/>
        </w:rPr>
        <w:t>Inflación Media según el esquema de Política Monetaria</w:t>
      </w:r>
    </w:p>
    <w:tbl>
      <w:tblPr>
        <w:tblW w:w="7655" w:type="dxa"/>
        <w:jc w:val="center"/>
        <w:tblCellMar>
          <w:left w:w="70" w:type="dxa"/>
          <w:right w:w="70" w:type="dxa"/>
        </w:tblCellMar>
        <w:tblLook w:val="04A0" w:firstRow="1" w:lastRow="0" w:firstColumn="1" w:lastColumn="0" w:noHBand="0" w:noVBand="1"/>
      </w:tblPr>
      <w:tblGrid>
        <w:gridCol w:w="5387"/>
        <w:gridCol w:w="2268"/>
      </w:tblGrid>
      <w:tr w:rsidR="00C804CD" w:rsidRPr="00C804CD" w14:paraId="180D17B5" w14:textId="77777777" w:rsidTr="00E80E8D">
        <w:trPr>
          <w:trHeight w:val="315"/>
          <w:jc w:val="center"/>
        </w:trPr>
        <w:tc>
          <w:tcPr>
            <w:tcW w:w="5387" w:type="dxa"/>
            <w:tcBorders>
              <w:top w:val="single" w:sz="4" w:space="0" w:color="auto"/>
              <w:left w:val="nil"/>
              <w:bottom w:val="single" w:sz="4" w:space="0" w:color="auto"/>
              <w:right w:val="nil"/>
            </w:tcBorders>
            <w:shd w:val="clear" w:color="auto" w:fill="auto"/>
            <w:noWrap/>
            <w:vAlign w:val="bottom"/>
            <w:hideMark/>
          </w:tcPr>
          <w:p w14:paraId="11F4E865" w14:textId="77777777" w:rsidR="00C804CD" w:rsidRPr="00C804CD" w:rsidRDefault="00C804CD" w:rsidP="00C804CD">
            <w:pPr>
              <w:spacing w:after="0" w:line="240" w:lineRule="auto"/>
              <w:jc w:val="center"/>
              <w:rPr>
                <w:rFonts w:ascii="Times New Roman" w:eastAsia="Times New Roman" w:hAnsi="Times New Roman" w:cs="Times New Roman"/>
                <w:b/>
                <w:bCs/>
                <w:color w:val="000000"/>
                <w:sz w:val="24"/>
                <w:szCs w:val="24"/>
                <w:lang w:eastAsia="es-GT"/>
              </w:rPr>
            </w:pPr>
            <w:r w:rsidRPr="00C804CD">
              <w:rPr>
                <w:rFonts w:ascii="Times New Roman" w:eastAsia="Times New Roman" w:hAnsi="Times New Roman" w:cs="Times New Roman"/>
                <w:b/>
                <w:bCs/>
                <w:color w:val="000000"/>
                <w:sz w:val="24"/>
                <w:szCs w:val="24"/>
                <w:lang w:eastAsia="es-GT"/>
              </w:rPr>
              <w:t>Esquema de política monetaria</w:t>
            </w:r>
          </w:p>
        </w:tc>
        <w:tc>
          <w:tcPr>
            <w:tcW w:w="2268" w:type="dxa"/>
            <w:tcBorders>
              <w:top w:val="single" w:sz="4" w:space="0" w:color="auto"/>
              <w:left w:val="nil"/>
              <w:bottom w:val="single" w:sz="4" w:space="0" w:color="auto"/>
              <w:right w:val="nil"/>
            </w:tcBorders>
            <w:shd w:val="clear" w:color="auto" w:fill="auto"/>
            <w:noWrap/>
            <w:vAlign w:val="bottom"/>
            <w:hideMark/>
          </w:tcPr>
          <w:p w14:paraId="7B84285B" w14:textId="77777777" w:rsidR="00C804CD" w:rsidRPr="00C804CD" w:rsidRDefault="00C804CD" w:rsidP="00C804CD">
            <w:pPr>
              <w:spacing w:after="0" w:line="240" w:lineRule="auto"/>
              <w:jc w:val="center"/>
              <w:rPr>
                <w:rFonts w:ascii="Times New Roman" w:eastAsia="Times New Roman" w:hAnsi="Times New Roman" w:cs="Times New Roman"/>
                <w:b/>
                <w:bCs/>
                <w:color w:val="000000"/>
                <w:sz w:val="24"/>
                <w:szCs w:val="24"/>
                <w:lang w:eastAsia="es-GT"/>
              </w:rPr>
            </w:pPr>
            <w:r w:rsidRPr="00C804CD">
              <w:rPr>
                <w:rFonts w:ascii="Times New Roman" w:eastAsia="Times New Roman" w:hAnsi="Times New Roman" w:cs="Times New Roman"/>
                <w:b/>
                <w:bCs/>
                <w:color w:val="000000"/>
                <w:sz w:val="24"/>
                <w:szCs w:val="24"/>
                <w:lang w:eastAsia="es-GT"/>
              </w:rPr>
              <w:t>Media de inflación</w:t>
            </w:r>
          </w:p>
        </w:tc>
      </w:tr>
      <w:tr w:rsidR="00C804CD" w:rsidRPr="00C804CD" w14:paraId="64337AC4" w14:textId="77777777" w:rsidTr="00E80E8D">
        <w:trPr>
          <w:trHeight w:val="315"/>
          <w:jc w:val="center"/>
        </w:trPr>
        <w:tc>
          <w:tcPr>
            <w:tcW w:w="5387" w:type="dxa"/>
            <w:tcBorders>
              <w:top w:val="nil"/>
              <w:left w:val="nil"/>
              <w:bottom w:val="nil"/>
              <w:right w:val="nil"/>
            </w:tcBorders>
            <w:shd w:val="clear" w:color="auto" w:fill="auto"/>
            <w:noWrap/>
            <w:vAlign w:val="bottom"/>
            <w:hideMark/>
          </w:tcPr>
          <w:p w14:paraId="49533CEA" w14:textId="77777777" w:rsidR="00C804CD" w:rsidRPr="00C804CD" w:rsidRDefault="00C804CD" w:rsidP="00C804CD">
            <w:pPr>
              <w:spacing w:after="0" w:line="240" w:lineRule="auto"/>
              <w:rPr>
                <w:rFonts w:ascii="Times New Roman" w:eastAsia="Times New Roman" w:hAnsi="Times New Roman" w:cs="Times New Roman"/>
                <w:color w:val="000000"/>
                <w:sz w:val="24"/>
                <w:szCs w:val="24"/>
                <w:lang w:eastAsia="es-GT"/>
              </w:rPr>
            </w:pPr>
            <w:r w:rsidRPr="00C804CD">
              <w:rPr>
                <w:rFonts w:ascii="Times New Roman" w:eastAsia="Times New Roman" w:hAnsi="Times New Roman" w:cs="Times New Roman"/>
                <w:color w:val="000000"/>
                <w:sz w:val="24"/>
                <w:szCs w:val="24"/>
                <w:lang w:eastAsia="es-GT"/>
              </w:rPr>
              <w:t>Agregados Monetarios (todo el periodo)</w:t>
            </w:r>
          </w:p>
        </w:tc>
        <w:tc>
          <w:tcPr>
            <w:tcW w:w="2268" w:type="dxa"/>
            <w:tcBorders>
              <w:top w:val="nil"/>
              <w:left w:val="nil"/>
              <w:bottom w:val="nil"/>
              <w:right w:val="nil"/>
            </w:tcBorders>
            <w:shd w:val="clear" w:color="auto" w:fill="auto"/>
            <w:noWrap/>
            <w:vAlign w:val="bottom"/>
            <w:hideMark/>
          </w:tcPr>
          <w:p w14:paraId="1954C5C3" w14:textId="77777777" w:rsidR="00C804CD" w:rsidRPr="00C804CD" w:rsidRDefault="00C804CD" w:rsidP="00C804CD">
            <w:pPr>
              <w:spacing w:after="0" w:line="240" w:lineRule="auto"/>
              <w:jc w:val="right"/>
              <w:rPr>
                <w:rFonts w:ascii="Times New Roman" w:eastAsia="Times New Roman" w:hAnsi="Times New Roman" w:cs="Times New Roman"/>
                <w:color w:val="000000"/>
                <w:sz w:val="24"/>
                <w:szCs w:val="24"/>
                <w:lang w:eastAsia="es-GT"/>
              </w:rPr>
            </w:pPr>
            <w:r w:rsidRPr="00C804CD">
              <w:rPr>
                <w:rFonts w:ascii="Times New Roman" w:eastAsia="Times New Roman" w:hAnsi="Times New Roman" w:cs="Times New Roman"/>
                <w:color w:val="000000"/>
                <w:sz w:val="24"/>
                <w:szCs w:val="24"/>
                <w:lang w:eastAsia="es-GT"/>
              </w:rPr>
              <w:t>12.61%</w:t>
            </w:r>
          </w:p>
        </w:tc>
      </w:tr>
      <w:tr w:rsidR="00C804CD" w:rsidRPr="00C804CD" w14:paraId="2AB64F4A" w14:textId="77777777" w:rsidTr="00E80E8D">
        <w:trPr>
          <w:trHeight w:val="315"/>
          <w:jc w:val="center"/>
        </w:trPr>
        <w:tc>
          <w:tcPr>
            <w:tcW w:w="5387" w:type="dxa"/>
            <w:tcBorders>
              <w:top w:val="nil"/>
              <w:left w:val="nil"/>
              <w:bottom w:val="nil"/>
              <w:right w:val="nil"/>
            </w:tcBorders>
            <w:shd w:val="clear" w:color="auto" w:fill="auto"/>
            <w:noWrap/>
            <w:vAlign w:val="bottom"/>
            <w:hideMark/>
          </w:tcPr>
          <w:p w14:paraId="25F9A27F" w14:textId="77777777" w:rsidR="00C804CD" w:rsidRPr="00C804CD" w:rsidRDefault="00C804CD" w:rsidP="00C804CD">
            <w:pPr>
              <w:spacing w:after="0" w:line="240" w:lineRule="auto"/>
              <w:rPr>
                <w:rFonts w:ascii="Times New Roman" w:eastAsia="Times New Roman" w:hAnsi="Times New Roman" w:cs="Times New Roman"/>
                <w:color w:val="000000"/>
                <w:sz w:val="24"/>
                <w:szCs w:val="24"/>
                <w:lang w:eastAsia="es-GT"/>
              </w:rPr>
            </w:pPr>
            <w:r w:rsidRPr="00C804CD">
              <w:rPr>
                <w:rFonts w:ascii="Times New Roman" w:eastAsia="Times New Roman" w:hAnsi="Times New Roman" w:cs="Times New Roman"/>
                <w:color w:val="000000"/>
                <w:sz w:val="24"/>
                <w:szCs w:val="24"/>
                <w:lang w:eastAsia="es-GT"/>
              </w:rPr>
              <w:t>Agregados Monetarios (enero 1992 - diciembre 2004)</w:t>
            </w:r>
          </w:p>
        </w:tc>
        <w:tc>
          <w:tcPr>
            <w:tcW w:w="2268" w:type="dxa"/>
            <w:tcBorders>
              <w:top w:val="nil"/>
              <w:left w:val="nil"/>
              <w:bottom w:val="nil"/>
              <w:right w:val="nil"/>
            </w:tcBorders>
            <w:shd w:val="clear" w:color="auto" w:fill="auto"/>
            <w:noWrap/>
            <w:vAlign w:val="bottom"/>
            <w:hideMark/>
          </w:tcPr>
          <w:p w14:paraId="74DBAE30" w14:textId="77777777" w:rsidR="00C804CD" w:rsidRPr="00C804CD" w:rsidRDefault="00C804CD" w:rsidP="00C804CD">
            <w:pPr>
              <w:spacing w:after="0" w:line="240" w:lineRule="auto"/>
              <w:jc w:val="right"/>
              <w:rPr>
                <w:rFonts w:ascii="Times New Roman" w:eastAsia="Times New Roman" w:hAnsi="Times New Roman" w:cs="Times New Roman"/>
                <w:color w:val="000000"/>
                <w:sz w:val="24"/>
                <w:szCs w:val="24"/>
                <w:lang w:eastAsia="es-GT"/>
              </w:rPr>
            </w:pPr>
            <w:r w:rsidRPr="00C804CD">
              <w:rPr>
                <w:rFonts w:ascii="Times New Roman" w:eastAsia="Times New Roman" w:hAnsi="Times New Roman" w:cs="Times New Roman"/>
                <w:color w:val="000000"/>
                <w:sz w:val="24"/>
                <w:szCs w:val="24"/>
                <w:lang w:eastAsia="es-GT"/>
              </w:rPr>
              <w:t>8.56%</w:t>
            </w:r>
          </w:p>
        </w:tc>
      </w:tr>
      <w:tr w:rsidR="00C804CD" w:rsidRPr="00C804CD" w14:paraId="758C63AF" w14:textId="77777777" w:rsidTr="00E80E8D">
        <w:trPr>
          <w:trHeight w:val="315"/>
          <w:jc w:val="center"/>
        </w:trPr>
        <w:tc>
          <w:tcPr>
            <w:tcW w:w="5387" w:type="dxa"/>
            <w:tcBorders>
              <w:top w:val="nil"/>
              <w:left w:val="nil"/>
              <w:bottom w:val="single" w:sz="4" w:space="0" w:color="auto"/>
              <w:right w:val="nil"/>
            </w:tcBorders>
            <w:shd w:val="clear" w:color="auto" w:fill="auto"/>
            <w:noWrap/>
            <w:vAlign w:val="bottom"/>
            <w:hideMark/>
          </w:tcPr>
          <w:p w14:paraId="2F0C9A6F" w14:textId="77777777" w:rsidR="00C804CD" w:rsidRPr="00C804CD" w:rsidRDefault="00C804CD" w:rsidP="00C804CD">
            <w:pPr>
              <w:spacing w:after="0" w:line="240" w:lineRule="auto"/>
              <w:rPr>
                <w:rFonts w:ascii="Times New Roman" w:eastAsia="Times New Roman" w:hAnsi="Times New Roman" w:cs="Times New Roman"/>
                <w:color w:val="000000"/>
                <w:sz w:val="24"/>
                <w:szCs w:val="24"/>
                <w:lang w:eastAsia="es-GT"/>
              </w:rPr>
            </w:pPr>
            <w:r w:rsidRPr="00C804CD">
              <w:rPr>
                <w:rFonts w:ascii="Times New Roman" w:eastAsia="Times New Roman" w:hAnsi="Times New Roman" w:cs="Times New Roman"/>
                <w:color w:val="000000"/>
                <w:sz w:val="24"/>
                <w:szCs w:val="24"/>
                <w:lang w:eastAsia="es-GT"/>
              </w:rPr>
              <w:t>Metas Explicitas de Inflación</w:t>
            </w:r>
          </w:p>
        </w:tc>
        <w:tc>
          <w:tcPr>
            <w:tcW w:w="2268" w:type="dxa"/>
            <w:tcBorders>
              <w:top w:val="nil"/>
              <w:left w:val="nil"/>
              <w:bottom w:val="single" w:sz="4" w:space="0" w:color="auto"/>
              <w:right w:val="nil"/>
            </w:tcBorders>
            <w:shd w:val="clear" w:color="auto" w:fill="auto"/>
            <w:noWrap/>
            <w:vAlign w:val="bottom"/>
            <w:hideMark/>
          </w:tcPr>
          <w:p w14:paraId="118D51EB" w14:textId="77777777" w:rsidR="00C804CD" w:rsidRPr="00C804CD" w:rsidRDefault="00C804CD" w:rsidP="00C804CD">
            <w:pPr>
              <w:spacing w:after="0" w:line="240" w:lineRule="auto"/>
              <w:jc w:val="right"/>
              <w:rPr>
                <w:rFonts w:ascii="Times New Roman" w:eastAsia="Times New Roman" w:hAnsi="Times New Roman" w:cs="Times New Roman"/>
                <w:color w:val="000000"/>
                <w:sz w:val="24"/>
                <w:szCs w:val="24"/>
                <w:lang w:eastAsia="es-GT"/>
              </w:rPr>
            </w:pPr>
            <w:r w:rsidRPr="00C804CD">
              <w:rPr>
                <w:rFonts w:ascii="Times New Roman" w:eastAsia="Times New Roman" w:hAnsi="Times New Roman" w:cs="Times New Roman"/>
                <w:color w:val="000000"/>
                <w:sz w:val="24"/>
                <w:szCs w:val="24"/>
                <w:lang w:eastAsia="es-GT"/>
              </w:rPr>
              <w:t>4.91%</w:t>
            </w:r>
          </w:p>
        </w:tc>
      </w:tr>
    </w:tbl>
    <w:p w14:paraId="26F64360" w14:textId="413235A5" w:rsidR="005B22D8" w:rsidRDefault="0055059C" w:rsidP="0055059C">
      <w:pPr>
        <w:spacing w:line="360" w:lineRule="auto"/>
        <w:ind w:left="567" w:right="616"/>
        <w:jc w:val="both"/>
        <w:rPr>
          <w:rFonts w:ascii="Times New Roman" w:hAnsi="Times New Roman" w:cs="Times New Roman"/>
          <w:sz w:val="24"/>
          <w:szCs w:val="24"/>
        </w:rPr>
      </w:pPr>
      <w:r>
        <w:rPr>
          <w:rFonts w:ascii="Times New Roman" w:hAnsi="Times New Roman" w:cs="Times New Roman"/>
          <w:i/>
          <w:iCs/>
          <w:sz w:val="24"/>
          <w:szCs w:val="24"/>
        </w:rPr>
        <w:t>Nota:</w:t>
      </w:r>
      <w:r>
        <w:rPr>
          <w:rFonts w:ascii="Times New Roman" w:hAnsi="Times New Roman" w:cs="Times New Roman"/>
          <w:sz w:val="24"/>
          <w:szCs w:val="24"/>
        </w:rPr>
        <w:t xml:space="preserve"> La tabla muestra la inflación media de Guatemala bajo los distintos esquemas de Política monetaria implementados. Elaboración propia.</w:t>
      </w:r>
    </w:p>
    <w:p w14:paraId="3E40C785" w14:textId="6FAF1820" w:rsidR="0055059C" w:rsidRDefault="0055059C" w:rsidP="00A23F2B">
      <w:pPr>
        <w:spacing w:line="360" w:lineRule="auto"/>
        <w:jc w:val="both"/>
        <w:rPr>
          <w:rFonts w:ascii="Times New Roman" w:hAnsi="Times New Roman" w:cs="Times New Roman"/>
          <w:sz w:val="24"/>
          <w:szCs w:val="24"/>
        </w:rPr>
      </w:pPr>
    </w:p>
    <w:p w14:paraId="7D303B01" w14:textId="3E549AA9" w:rsidR="008C62A4" w:rsidRDefault="008C62A4" w:rsidP="00A23F2B">
      <w:pPr>
        <w:spacing w:line="360" w:lineRule="auto"/>
        <w:jc w:val="both"/>
        <w:rPr>
          <w:rFonts w:ascii="Times New Roman" w:hAnsi="Times New Roman" w:cs="Times New Roman"/>
          <w:sz w:val="24"/>
          <w:szCs w:val="24"/>
        </w:rPr>
      </w:pPr>
    </w:p>
    <w:p w14:paraId="4EBE24A1" w14:textId="2B3D80C2" w:rsidR="008C62A4" w:rsidRDefault="008C62A4" w:rsidP="00A23F2B">
      <w:pPr>
        <w:spacing w:line="360" w:lineRule="auto"/>
        <w:jc w:val="both"/>
        <w:rPr>
          <w:rFonts w:ascii="Times New Roman" w:hAnsi="Times New Roman" w:cs="Times New Roman"/>
          <w:sz w:val="24"/>
          <w:szCs w:val="24"/>
        </w:rPr>
      </w:pPr>
    </w:p>
    <w:p w14:paraId="22A2438F" w14:textId="1E8BFA38" w:rsidR="008C62A4" w:rsidRDefault="008C62A4" w:rsidP="00A23F2B">
      <w:pPr>
        <w:spacing w:line="360" w:lineRule="auto"/>
        <w:jc w:val="both"/>
        <w:rPr>
          <w:rFonts w:ascii="Times New Roman" w:hAnsi="Times New Roman" w:cs="Times New Roman"/>
          <w:sz w:val="24"/>
          <w:szCs w:val="24"/>
        </w:rPr>
      </w:pPr>
    </w:p>
    <w:p w14:paraId="7E5C0F41" w14:textId="77777777" w:rsidR="0055059C" w:rsidRPr="0055059C" w:rsidRDefault="0055059C" w:rsidP="00A23F2B">
      <w:pPr>
        <w:spacing w:line="360" w:lineRule="auto"/>
        <w:jc w:val="both"/>
        <w:rPr>
          <w:rFonts w:ascii="Times New Roman" w:hAnsi="Times New Roman" w:cs="Times New Roman"/>
          <w:sz w:val="24"/>
          <w:szCs w:val="24"/>
        </w:rPr>
      </w:pPr>
    </w:p>
    <w:sectPr w:rsidR="0055059C" w:rsidRPr="0055059C" w:rsidSect="00905A9D">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53286" w14:textId="77777777" w:rsidR="00944B7F" w:rsidRDefault="00944B7F" w:rsidP="00BF0CF5">
      <w:pPr>
        <w:spacing w:after="0" w:line="240" w:lineRule="auto"/>
      </w:pPr>
      <w:r>
        <w:separator/>
      </w:r>
    </w:p>
  </w:endnote>
  <w:endnote w:type="continuationSeparator" w:id="0">
    <w:p w14:paraId="7D42AAAE" w14:textId="77777777" w:rsidR="00944B7F" w:rsidRDefault="00944B7F" w:rsidP="00BF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18710" w14:textId="77777777" w:rsidR="00944B7F" w:rsidRDefault="00944B7F" w:rsidP="00BF0CF5">
      <w:pPr>
        <w:spacing w:after="0" w:line="240" w:lineRule="auto"/>
      </w:pPr>
      <w:r>
        <w:separator/>
      </w:r>
    </w:p>
  </w:footnote>
  <w:footnote w:type="continuationSeparator" w:id="0">
    <w:p w14:paraId="5EA55CFF" w14:textId="77777777" w:rsidR="00944B7F" w:rsidRDefault="00944B7F" w:rsidP="00BF0CF5">
      <w:pPr>
        <w:spacing w:after="0" w:line="240" w:lineRule="auto"/>
      </w:pPr>
      <w:r>
        <w:continuationSeparator/>
      </w:r>
    </w:p>
  </w:footnote>
  <w:footnote w:id="1">
    <w:p w14:paraId="322F571B" w14:textId="0A8FD686" w:rsidR="00BF0CF5" w:rsidRPr="001546FB" w:rsidRDefault="00BF0CF5" w:rsidP="001546FB">
      <w:pPr>
        <w:pStyle w:val="Textonotapie"/>
        <w:jc w:val="both"/>
        <w:rPr>
          <w:rFonts w:ascii="Times New Roman" w:hAnsi="Times New Roman" w:cs="Times New Roman"/>
        </w:rPr>
      </w:pPr>
      <w:r w:rsidRPr="001546FB">
        <w:rPr>
          <w:rStyle w:val="Refdenotaalpie"/>
          <w:rFonts w:ascii="Times New Roman" w:hAnsi="Times New Roman" w:cs="Times New Roman"/>
        </w:rPr>
        <w:footnoteRef/>
      </w:r>
      <w:r w:rsidRPr="001546FB">
        <w:rPr>
          <w:rFonts w:ascii="Times New Roman" w:hAnsi="Times New Roman" w:cs="Times New Roman"/>
        </w:rPr>
        <w:t xml:space="preserve"> Goldberg y </w:t>
      </w:r>
      <w:proofErr w:type="spellStart"/>
      <w:r w:rsidRPr="001546FB">
        <w:rPr>
          <w:rFonts w:ascii="Times New Roman" w:hAnsi="Times New Roman" w:cs="Times New Roman"/>
        </w:rPr>
        <w:t>Knetter</w:t>
      </w:r>
      <w:proofErr w:type="spellEnd"/>
      <w:r w:rsidR="001546FB" w:rsidRPr="001546FB">
        <w:rPr>
          <w:rFonts w:ascii="Times New Roman" w:hAnsi="Times New Roman" w:cs="Times New Roman"/>
        </w:rPr>
        <w:t xml:space="preserve"> en “</w:t>
      </w:r>
      <w:proofErr w:type="spellStart"/>
      <w:r w:rsidR="001546FB" w:rsidRPr="001546FB">
        <w:rPr>
          <w:rFonts w:ascii="Times New Roman" w:hAnsi="Times New Roman" w:cs="Times New Roman"/>
        </w:rPr>
        <w:t>Goods</w:t>
      </w:r>
      <w:proofErr w:type="spellEnd"/>
      <w:r w:rsidR="001546FB" w:rsidRPr="001546FB">
        <w:rPr>
          <w:rFonts w:ascii="Times New Roman" w:hAnsi="Times New Roman" w:cs="Times New Roman"/>
        </w:rPr>
        <w:t xml:space="preserve"> </w:t>
      </w:r>
      <w:proofErr w:type="spellStart"/>
      <w:r w:rsidR="001546FB" w:rsidRPr="001546FB">
        <w:rPr>
          <w:rFonts w:ascii="Times New Roman" w:hAnsi="Times New Roman" w:cs="Times New Roman"/>
        </w:rPr>
        <w:t>Prices</w:t>
      </w:r>
      <w:proofErr w:type="spellEnd"/>
      <w:r w:rsidR="001546FB" w:rsidRPr="001546FB">
        <w:rPr>
          <w:rFonts w:ascii="Times New Roman" w:hAnsi="Times New Roman" w:cs="Times New Roman"/>
        </w:rPr>
        <w:t xml:space="preserve"> and Exchange Rates: </w:t>
      </w:r>
      <w:proofErr w:type="spellStart"/>
      <w:proofErr w:type="gramStart"/>
      <w:r w:rsidR="001546FB" w:rsidRPr="001546FB">
        <w:rPr>
          <w:rFonts w:ascii="Times New Roman" w:hAnsi="Times New Roman" w:cs="Times New Roman"/>
        </w:rPr>
        <w:t>What</w:t>
      </w:r>
      <w:proofErr w:type="spellEnd"/>
      <w:r w:rsidR="001546FB" w:rsidRPr="001546FB">
        <w:rPr>
          <w:rFonts w:ascii="Times New Roman" w:hAnsi="Times New Roman" w:cs="Times New Roman"/>
        </w:rPr>
        <w:t xml:space="preserve"> </w:t>
      </w:r>
      <w:proofErr w:type="spellStart"/>
      <w:r w:rsidR="001546FB" w:rsidRPr="001546FB">
        <w:rPr>
          <w:rFonts w:ascii="Times New Roman" w:hAnsi="Times New Roman" w:cs="Times New Roman"/>
        </w:rPr>
        <w:t>Have</w:t>
      </w:r>
      <w:proofErr w:type="spellEnd"/>
      <w:r w:rsidR="001546FB" w:rsidRPr="001546FB">
        <w:rPr>
          <w:rFonts w:ascii="Times New Roman" w:hAnsi="Times New Roman" w:cs="Times New Roman"/>
        </w:rPr>
        <w:t xml:space="preserve"> </w:t>
      </w:r>
      <w:proofErr w:type="spellStart"/>
      <w:r w:rsidR="001546FB" w:rsidRPr="001546FB">
        <w:rPr>
          <w:rFonts w:ascii="Times New Roman" w:hAnsi="Times New Roman" w:cs="Times New Roman"/>
        </w:rPr>
        <w:t>We</w:t>
      </w:r>
      <w:proofErr w:type="spellEnd"/>
      <w:r w:rsidR="001546FB" w:rsidRPr="001546FB">
        <w:rPr>
          <w:rFonts w:ascii="Times New Roman" w:hAnsi="Times New Roman" w:cs="Times New Roman"/>
        </w:rPr>
        <w:t xml:space="preserve"> </w:t>
      </w:r>
      <w:proofErr w:type="spellStart"/>
      <w:r w:rsidR="001546FB" w:rsidRPr="001546FB">
        <w:rPr>
          <w:rFonts w:ascii="Times New Roman" w:hAnsi="Times New Roman" w:cs="Times New Roman"/>
        </w:rPr>
        <w:t>Learned</w:t>
      </w:r>
      <w:proofErr w:type="spellEnd"/>
      <w:r w:rsidR="001546FB" w:rsidRPr="001546FB">
        <w:rPr>
          <w:rFonts w:ascii="Times New Roman" w:hAnsi="Times New Roman" w:cs="Times New Roman"/>
        </w:rPr>
        <w:t>?</w:t>
      </w:r>
      <w:proofErr w:type="gramEnd"/>
      <w:r w:rsidR="001546FB" w:rsidRPr="001546FB">
        <w:rPr>
          <w:rFonts w:ascii="Times New Roman" w:hAnsi="Times New Roman" w:cs="Times New Roman"/>
        </w:rPr>
        <w:t>” presentan una variante del modelo que considera costos de transacción y barreras al comercio que tiene como resultado un diferencial de precios en ambos países.</w:t>
      </w:r>
    </w:p>
  </w:footnote>
  <w:footnote w:id="2">
    <w:p w14:paraId="140AEC75" w14:textId="435300CB" w:rsidR="004A0D37" w:rsidRPr="004A0D37" w:rsidRDefault="004A0D37">
      <w:pPr>
        <w:pStyle w:val="Textonotapie"/>
        <w:rPr>
          <w:rFonts w:ascii="Times New Roman" w:hAnsi="Times New Roman" w:cs="Times New Roman"/>
          <w:lang w:val="es-ES"/>
        </w:rPr>
      </w:pPr>
      <w:r w:rsidRPr="004A0D37">
        <w:rPr>
          <w:rStyle w:val="Refdenotaalpie"/>
          <w:rFonts w:ascii="Times New Roman" w:hAnsi="Times New Roman" w:cs="Times New Roman"/>
        </w:rPr>
        <w:footnoteRef/>
      </w:r>
      <w:r w:rsidRPr="004A0D37">
        <w:rPr>
          <w:rFonts w:ascii="Times New Roman" w:hAnsi="Times New Roman" w:cs="Times New Roman"/>
        </w:rPr>
        <w:t xml:space="preserve"> </w:t>
      </w:r>
      <w:r w:rsidRPr="004A0D37">
        <w:rPr>
          <w:rFonts w:ascii="Times New Roman" w:hAnsi="Times New Roman" w:cs="Times New Roman"/>
          <w:lang w:val="es-ES"/>
        </w:rPr>
        <w:t>Puede ser una depreciación o apreciación cambiaria.</w:t>
      </w:r>
    </w:p>
  </w:footnote>
  <w:footnote w:id="3">
    <w:p w14:paraId="310AA9B2" w14:textId="0B55DB8F" w:rsidR="005D2A05" w:rsidRPr="005D2A05" w:rsidRDefault="005D2A05" w:rsidP="00500991">
      <w:pPr>
        <w:pStyle w:val="Textonotapie"/>
        <w:jc w:val="both"/>
        <w:rPr>
          <w:lang w:val="es-MX"/>
        </w:rPr>
      </w:pPr>
      <w:r>
        <w:rPr>
          <w:rStyle w:val="Refdenotaalpie"/>
        </w:rPr>
        <w:footnoteRef/>
      </w:r>
      <w:r>
        <w:t xml:space="preserve"> </w:t>
      </w:r>
      <w:r w:rsidRPr="00500991">
        <w:rPr>
          <w:rFonts w:ascii="Times New Roman" w:hAnsi="Times New Roman" w:cs="Times New Roman"/>
          <w:lang w:val="es-MX"/>
        </w:rPr>
        <w:t xml:space="preserve">La teoría cuantitativa del dinero </w:t>
      </w:r>
      <w:r w:rsidR="00500991" w:rsidRPr="00500991">
        <w:rPr>
          <w:rFonts w:ascii="Times New Roman" w:hAnsi="Times New Roman" w:cs="Times New Roman"/>
          <w:lang w:val="es-MX"/>
        </w:rPr>
        <w:t xml:space="preserve">establece una igualdad fundamental MV = PQ donde M es un agregado monetario, V la velocidad de circulación del dinero, P el nivel general de precios y Q el PIB de un país. Si se conoce </w:t>
      </w:r>
      <w:r w:rsidR="00BA7C75" w:rsidRPr="00500991">
        <w:rPr>
          <w:rFonts w:ascii="Times New Roman" w:hAnsi="Times New Roman" w:cs="Times New Roman"/>
          <w:lang w:val="es-MX"/>
        </w:rPr>
        <w:t>cuál</w:t>
      </w:r>
      <w:r w:rsidR="00500991" w:rsidRPr="00500991">
        <w:rPr>
          <w:rFonts w:ascii="Times New Roman" w:hAnsi="Times New Roman" w:cs="Times New Roman"/>
          <w:lang w:val="es-MX"/>
        </w:rPr>
        <w:t xml:space="preserve"> será el valor del PIB y la velocidad de circulación del dinero es posible ver el efecto que tienen variaciones en el agregado monetario sobre el nivel general de precios.</w:t>
      </w:r>
      <w:r w:rsidR="001D1582">
        <w:rPr>
          <w:rFonts w:ascii="Times New Roman" w:hAnsi="Times New Roman" w:cs="Times New Roman"/>
          <w:lang w:val="es-MX"/>
        </w:rPr>
        <w:t xml:space="preserve"> Por lo que el nivel de inflación dado estaría supeditado a la evolución del agregado monetario.</w:t>
      </w:r>
    </w:p>
  </w:footnote>
  <w:footnote w:id="4">
    <w:p w14:paraId="3D2F5DEF" w14:textId="2921287F" w:rsidR="005916E7" w:rsidRPr="005916E7" w:rsidRDefault="005916E7" w:rsidP="005916E7">
      <w:pPr>
        <w:pStyle w:val="Textonotapie"/>
        <w:jc w:val="both"/>
        <w:rPr>
          <w:rFonts w:ascii="Times New Roman" w:hAnsi="Times New Roman" w:cs="Times New Roman"/>
          <w:lang w:val="es-MX"/>
        </w:rPr>
      </w:pPr>
      <w:r>
        <w:rPr>
          <w:rStyle w:val="Refdenotaalpie"/>
        </w:rPr>
        <w:footnoteRef/>
      </w:r>
      <w:r>
        <w:t xml:space="preserve"> </w:t>
      </w:r>
      <w:r w:rsidRPr="005916E7">
        <w:rPr>
          <w:rFonts w:ascii="Times New Roman" w:hAnsi="Times New Roman" w:cs="Times New Roman"/>
          <w:lang w:val="es-MX"/>
        </w:rPr>
        <w:t>Libera</w:t>
      </w:r>
      <w:r w:rsidR="008B2E32">
        <w:rPr>
          <w:rFonts w:ascii="Times New Roman" w:hAnsi="Times New Roman" w:cs="Times New Roman"/>
          <w:lang w:val="es-MX"/>
        </w:rPr>
        <w:t>r</w:t>
      </w:r>
      <w:r w:rsidRPr="005916E7">
        <w:rPr>
          <w:rFonts w:ascii="Times New Roman" w:hAnsi="Times New Roman" w:cs="Times New Roman"/>
          <w:lang w:val="es-MX"/>
        </w:rPr>
        <w:t xml:space="preserve"> el tipo de cambio es fundamental para la consecución de una política monetaria independiente ya que el Banco Central deja de “defender” constantemente el tipo de cambio y puede concentrase en la manipulación del agregado monetario de su elección para hacer política monetaria. </w:t>
      </w:r>
    </w:p>
  </w:footnote>
  <w:footnote w:id="5">
    <w:p w14:paraId="79CB1CF1" w14:textId="6006A8FE" w:rsidR="00704A6A" w:rsidRPr="008F26B1" w:rsidRDefault="00704A6A">
      <w:pPr>
        <w:pStyle w:val="Textonotapie"/>
        <w:rPr>
          <w:rFonts w:ascii="Times New Roman" w:hAnsi="Times New Roman" w:cs="Times New Roman"/>
          <w:lang w:val="es-MX"/>
        </w:rPr>
      </w:pPr>
      <w:r w:rsidRPr="008F26B1">
        <w:rPr>
          <w:rStyle w:val="Refdenotaalpie"/>
          <w:rFonts w:ascii="Times New Roman" w:hAnsi="Times New Roman" w:cs="Times New Roman"/>
        </w:rPr>
        <w:footnoteRef/>
      </w:r>
      <w:r w:rsidR="008F26B1" w:rsidRPr="008F26B1">
        <w:rPr>
          <w:rFonts w:ascii="Times New Roman" w:hAnsi="Times New Roman" w:cs="Times New Roman"/>
        </w:rPr>
        <w:t xml:space="preserve"> La ruptura en la relación existente entre el agregado monetario y la inflación sucedió en varios países como lo ilustra Frederic </w:t>
      </w:r>
      <w:proofErr w:type="spellStart"/>
      <w:r w:rsidR="008F26B1" w:rsidRPr="008F26B1">
        <w:rPr>
          <w:rFonts w:ascii="Times New Roman" w:hAnsi="Times New Roman" w:cs="Times New Roman"/>
        </w:rPr>
        <w:t>Mishkin</w:t>
      </w:r>
      <w:proofErr w:type="spellEnd"/>
      <w:r w:rsidR="008F26B1" w:rsidRPr="008F26B1">
        <w:rPr>
          <w:rFonts w:ascii="Times New Roman" w:hAnsi="Times New Roman" w:cs="Times New Roman"/>
        </w:rPr>
        <w:t xml:space="preserve"> en </w:t>
      </w:r>
      <w:proofErr w:type="spellStart"/>
      <w:r w:rsidR="008F26B1" w:rsidRPr="008F26B1">
        <w:rPr>
          <w:rFonts w:ascii="Times New Roman" w:hAnsi="Times New Roman" w:cs="Times New Roman"/>
          <w:i/>
          <w:iCs/>
        </w:rPr>
        <w:t>Monetary</w:t>
      </w:r>
      <w:proofErr w:type="spellEnd"/>
      <w:r w:rsidR="008F26B1" w:rsidRPr="008F26B1">
        <w:rPr>
          <w:rFonts w:ascii="Times New Roman" w:hAnsi="Times New Roman" w:cs="Times New Roman"/>
          <w:i/>
          <w:iCs/>
        </w:rPr>
        <w:t xml:space="preserve"> </w:t>
      </w:r>
      <w:proofErr w:type="spellStart"/>
      <w:r w:rsidR="008F26B1" w:rsidRPr="008F26B1">
        <w:rPr>
          <w:rFonts w:ascii="Times New Roman" w:hAnsi="Times New Roman" w:cs="Times New Roman"/>
          <w:i/>
          <w:iCs/>
        </w:rPr>
        <w:t>Policy</w:t>
      </w:r>
      <w:proofErr w:type="spellEnd"/>
      <w:r w:rsidR="008F26B1" w:rsidRPr="008F26B1">
        <w:rPr>
          <w:rFonts w:ascii="Times New Roman" w:hAnsi="Times New Roman" w:cs="Times New Roman"/>
          <w:i/>
          <w:iCs/>
        </w:rPr>
        <w:t xml:space="preserve"> </w:t>
      </w:r>
      <w:proofErr w:type="spellStart"/>
      <w:r w:rsidR="008F26B1" w:rsidRPr="008F26B1">
        <w:rPr>
          <w:rFonts w:ascii="Times New Roman" w:hAnsi="Times New Roman" w:cs="Times New Roman"/>
          <w:i/>
          <w:iCs/>
        </w:rPr>
        <w:t>Strategy</w:t>
      </w:r>
      <w:proofErr w:type="spellEnd"/>
      <w:r w:rsidR="008F26B1">
        <w:rPr>
          <w:rFonts w:ascii="Times New Roman" w:hAnsi="Times New Roman" w:cs="Times New Roman"/>
          <w:i/>
          <w:iCs/>
        </w:rPr>
        <w:t>.</w:t>
      </w:r>
    </w:p>
  </w:footnote>
  <w:footnote w:id="6">
    <w:p w14:paraId="2AB43564" w14:textId="5EA2BB96" w:rsidR="001F042B" w:rsidRPr="001F042B" w:rsidRDefault="001F042B" w:rsidP="001F042B">
      <w:pPr>
        <w:pStyle w:val="Textonotapie"/>
        <w:jc w:val="both"/>
        <w:rPr>
          <w:lang w:val="es-MX"/>
        </w:rPr>
      </w:pPr>
      <w:r>
        <w:rPr>
          <w:rStyle w:val="Refdenotaalpie"/>
        </w:rPr>
        <w:footnoteRef/>
      </w:r>
      <w:r>
        <w:t xml:space="preserve"> </w:t>
      </w:r>
      <w:r w:rsidRPr="001F042B">
        <w:rPr>
          <w:rFonts w:ascii="Times New Roman" w:hAnsi="Times New Roman" w:cs="Times New Roman"/>
        </w:rPr>
        <w:t xml:space="preserve">Frederic </w:t>
      </w:r>
      <w:proofErr w:type="spellStart"/>
      <w:r w:rsidRPr="001F042B">
        <w:rPr>
          <w:rFonts w:ascii="Times New Roman" w:hAnsi="Times New Roman" w:cs="Times New Roman"/>
        </w:rPr>
        <w:t>Mishkin</w:t>
      </w:r>
      <w:proofErr w:type="spellEnd"/>
      <w:r w:rsidRPr="001F042B">
        <w:rPr>
          <w:rFonts w:ascii="Times New Roman" w:hAnsi="Times New Roman" w:cs="Times New Roman"/>
        </w:rPr>
        <w:t xml:space="preserve"> en </w:t>
      </w:r>
      <w:proofErr w:type="spellStart"/>
      <w:r w:rsidRPr="001F042B">
        <w:rPr>
          <w:rFonts w:ascii="Times New Roman" w:hAnsi="Times New Roman" w:cs="Times New Roman"/>
          <w:i/>
          <w:iCs/>
        </w:rPr>
        <w:t>Monetary</w:t>
      </w:r>
      <w:proofErr w:type="spellEnd"/>
      <w:r w:rsidRPr="001F042B">
        <w:rPr>
          <w:rFonts w:ascii="Times New Roman" w:hAnsi="Times New Roman" w:cs="Times New Roman"/>
          <w:i/>
          <w:iCs/>
        </w:rPr>
        <w:t xml:space="preserve"> </w:t>
      </w:r>
      <w:proofErr w:type="spellStart"/>
      <w:r w:rsidRPr="001F042B">
        <w:rPr>
          <w:rFonts w:ascii="Times New Roman" w:hAnsi="Times New Roman" w:cs="Times New Roman"/>
          <w:i/>
          <w:iCs/>
        </w:rPr>
        <w:t>Policy</w:t>
      </w:r>
      <w:proofErr w:type="spellEnd"/>
      <w:r w:rsidRPr="001F042B">
        <w:rPr>
          <w:rFonts w:ascii="Times New Roman" w:hAnsi="Times New Roman" w:cs="Times New Roman"/>
          <w:i/>
          <w:iCs/>
        </w:rPr>
        <w:t xml:space="preserve"> </w:t>
      </w:r>
      <w:proofErr w:type="spellStart"/>
      <w:r w:rsidRPr="001F042B">
        <w:rPr>
          <w:rFonts w:ascii="Times New Roman" w:hAnsi="Times New Roman" w:cs="Times New Roman"/>
          <w:i/>
          <w:iCs/>
        </w:rPr>
        <w:t>Strategy</w:t>
      </w:r>
      <w:proofErr w:type="spellEnd"/>
      <w:r w:rsidRPr="001F042B">
        <w:rPr>
          <w:rFonts w:ascii="Times New Roman" w:hAnsi="Times New Roman" w:cs="Times New Roman"/>
          <w:i/>
          <w:iCs/>
        </w:rPr>
        <w:t xml:space="preserve"> </w:t>
      </w:r>
      <w:r w:rsidRPr="001F042B">
        <w:rPr>
          <w:rFonts w:ascii="Times New Roman" w:hAnsi="Times New Roman" w:cs="Times New Roman"/>
        </w:rPr>
        <w:t>señala que el ancla nominal es una variable nominal que los responsables de la política monetaria utilizan para fijar el nivel de precios por lo que se constituye en un elemento crucial para lograr la estabilidad de precios. En el Esquema de Agregado Monetarios el ancla nominal es un agregado monetario mientras que en el Esquema de Metas Explicitas de Inflación es la propia inflación.</w:t>
      </w:r>
    </w:p>
  </w:footnote>
  <w:footnote w:id="7">
    <w:p w14:paraId="223D4C3D" w14:textId="039537FB" w:rsidR="00C13F4D" w:rsidRPr="00C13F4D" w:rsidRDefault="00C13F4D">
      <w:pPr>
        <w:pStyle w:val="Textonotapie"/>
        <w:rPr>
          <w:sz w:val="14"/>
          <w:szCs w:val="14"/>
          <w:lang w:val="es-MX"/>
        </w:rPr>
      </w:pPr>
      <w:r>
        <w:rPr>
          <w:rStyle w:val="Refdenotaalpie"/>
        </w:rPr>
        <w:footnoteRef/>
      </w:r>
      <w:r>
        <w:t xml:space="preserve"> </w:t>
      </w:r>
      <w:r w:rsidRPr="00C13F4D">
        <w:rPr>
          <w:rFonts w:ascii="Times New Roman" w:eastAsiaTheme="minorEastAsia" w:hAnsi="Times New Roman" w:cs="Times New Roman"/>
          <w:sz w:val="18"/>
          <w:szCs w:val="18"/>
          <w:lang w:val="es-ES"/>
        </w:rPr>
        <w:t>Ortiz Cardona et. al. (2019)</w:t>
      </w:r>
      <w:r>
        <w:rPr>
          <w:rFonts w:ascii="Times New Roman" w:eastAsiaTheme="minorEastAsia" w:hAnsi="Times New Roman" w:cs="Times New Roman"/>
          <w:sz w:val="18"/>
          <w:szCs w:val="18"/>
          <w:lang w:val="es-ES"/>
        </w:rPr>
        <w:t xml:space="preserve"> indican que el Banco de Guatemala comenzó a establecer metas de inflación dentro del contesto del esquema de agregados monetarios desde el año 1991.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57"/>
    <w:rsid w:val="00003FCB"/>
    <w:rsid w:val="000059FA"/>
    <w:rsid w:val="000950C6"/>
    <w:rsid w:val="000B0C5D"/>
    <w:rsid w:val="000B7FCC"/>
    <w:rsid w:val="000C3222"/>
    <w:rsid w:val="000C43EF"/>
    <w:rsid w:val="000C7BF7"/>
    <w:rsid w:val="000D039F"/>
    <w:rsid w:val="000F4B34"/>
    <w:rsid w:val="001003BE"/>
    <w:rsid w:val="00101F14"/>
    <w:rsid w:val="00114106"/>
    <w:rsid w:val="001144C1"/>
    <w:rsid w:val="00143946"/>
    <w:rsid w:val="00153D46"/>
    <w:rsid w:val="001546FB"/>
    <w:rsid w:val="001558C7"/>
    <w:rsid w:val="00172EB0"/>
    <w:rsid w:val="001853CA"/>
    <w:rsid w:val="00186890"/>
    <w:rsid w:val="001A7652"/>
    <w:rsid w:val="001C6BC9"/>
    <w:rsid w:val="001D1582"/>
    <w:rsid w:val="001D6137"/>
    <w:rsid w:val="001E1704"/>
    <w:rsid w:val="001F042B"/>
    <w:rsid w:val="00200FC7"/>
    <w:rsid w:val="00235EC5"/>
    <w:rsid w:val="00241708"/>
    <w:rsid w:val="00266549"/>
    <w:rsid w:val="0028050B"/>
    <w:rsid w:val="00290866"/>
    <w:rsid w:val="002A48BA"/>
    <w:rsid w:val="002B1CAB"/>
    <w:rsid w:val="002C1342"/>
    <w:rsid w:val="002D642B"/>
    <w:rsid w:val="00300F24"/>
    <w:rsid w:val="00303214"/>
    <w:rsid w:val="003257C9"/>
    <w:rsid w:val="00343657"/>
    <w:rsid w:val="00352005"/>
    <w:rsid w:val="00370CA7"/>
    <w:rsid w:val="003B181A"/>
    <w:rsid w:val="0041255C"/>
    <w:rsid w:val="00427D36"/>
    <w:rsid w:val="00445DCC"/>
    <w:rsid w:val="00446EE8"/>
    <w:rsid w:val="00447634"/>
    <w:rsid w:val="0046113B"/>
    <w:rsid w:val="004A0D37"/>
    <w:rsid w:val="004B1626"/>
    <w:rsid w:val="004B7E0D"/>
    <w:rsid w:val="00500991"/>
    <w:rsid w:val="005126DB"/>
    <w:rsid w:val="0055059C"/>
    <w:rsid w:val="00572FC7"/>
    <w:rsid w:val="005809B1"/>
    <w:rsid w:val="005836E6"/>
    <w:rsid w:val="005852F7"/>
    <w:rsid w:val="005916E7"/>
    <w:rsid w:val="00593C1A"/>
    <w:rsid w:val="005B22D8"/>
    <w:rsid w:val="005C0DDB"/>
    <w:rsid w:val="005D2A05"/>
    <w:rsid w:val="00601425"/>
    <w:rsid w:val="00603739"/>
    <w:rsid w:val="006348C5"/>
    <w:rsid w:val="006504FD"/>
    <w:rsid w:val="006572EF"/>
    <w:rsid w:val="006608AA"/>
    <w:rsid w:val="00682ABD"/>
    <w:rsid w:val="006A3897"/>
    <w:rsid w:val="006B7E86"/>
    <w:rsid w:val="006E4612"/>
    <w:rsid w:val="00704A6A"/>
    <w:rsid w:val="00710C25"/>
    <w:rsid w:val="0072166C"/>
    <w:rsid w:val="00765EC0"/>
    <w:rsid w:val="007A2341"/>
    <w:rsid w:val="007A62A2"/>
    <w:rsid w:val="007C383E"/>
    <w:rsid w:val="007C3D6F"/>
    <w:rsid w:val="007D18B4"/>
    <w:rsid w:val="008017E8"/>
    <w:rsid w:val="00814661"/>
    <w:rsid w:val="00844192"/>
    <w:rsid w:val="00863D1E"/>
    <w:rsid w:val="008A5E2D"/>
    <w:rsid w:val="008B2E32"/>
    <w:rsid w:val="008C2F46"/>
    <w:rsid w:val="008C62A4"/>
    <w:rsid w:val="008D687C"/>
    <w:rsid w:val="008E651C"/>
    <w:rsid w:val="008F26B1"/>
    <w:rsid w:val="00903A2A"/>
    <w:rsid w:val="00905A9D"/>
    <w:rsid w:val="009345D3"/>
    <w:rsid w:val="00944B7F"/>
    <w:rsid w:val="00971981"/>
    <w:rsid w:val="00977C24"/>
    <w:rsid w:val="00994154"/>
    <w:rsid w:val="00994743"/>
    <w:rsid w:val="009B0BBF"/>
    <w:rsid w:val="009C39DA"/>
    <w:rsid w:val="009D15B4"/>
    <w:rsid w:val="009D6F6F"/>
    <w:rsid w:val="009F7684"/>
    <w:rsid w:val="00A23F2B"/>
    <w:rsid w:val="00A32A41"/>
    <w:rsid w:val="00A80180"/>
    <w:rsid w:val="00A937FA"/>
    <w:rsid w:val="00AA5186"/>
    <w:rsid w:val="00AB0762"/>
    <w:rsid w:val="00B25662"/>
    <w:rsid w:val="00B27094"/>
    <w:rsid w:val="00B30FB7"/>
    <w:rsid w:val="00B43044"/>
    <w:rsid w:val="00B53E78"/>
    <w:rsid w:val="00B62A57"/>
    <w:rsid w:val="00B773D5"/>
    <w:rsid w:val="00BA7C75"/>
    <w:rsid w:val="00BD0894"/>
    <w:rsid w:val="00BE0715"/>
    <w:rsid w:val="00BF0CF5"/>
    <w:rsid w:val="00BF69E2"/>
    <w:rsid w:val="00C13F4D"/>
    <w:rsid w:val="00C24084"/>
    <w:rsid w:val="00C24B9E"/>
    <w:rsid w:val="00C439D4"/>
    <w:rsid w:val="00C52D00"/>
    <w:rsid w:val="00C804CD"/>
    <w:rsid w:val="00CA5186"/>
    <w:rsid w:val="00CC42FE"/>
    <w:rsid w:val="00CE0A5A"/>
    <w:rsid w:val="00D03101"/>
    <w:rsid w:val="00D066D9"/>
    <w:rsid w:val="00D31B23"/>
    <w:rsid w:val="00D4649C"/>
    <w:rsid w:val="00D5507D"/>
    <w:rsid w:val="00D61943"/>
    <w:rsid w:val="00D71020"/>
    <w:rsid w:val="00D713D9"/>
    <w:rsid w:val="00D847DB"/>
    <w:rsid w:val="00D87510"/>
    <w:rsid w:val="00DA1312"/>
    <w:rsid w:val="00DA7301"/>
    <w:rsid w:val="00DE35F0"/>
    <w:rsid w:val="00DE4C6A"/>
    <w:rsid w:val="00E01D52"/>
    <w:rsid w:val="00E312FD"/>
    <w:rsid w:val="00E334A9"/>
    <w:rsid w:val="00E413DE"/>
    <w:rsid w:val="00E64B55"/>
    <w:rsid w:val="00E7484C"/>
    <w:rsid w:val="00E80E8D"/>
    <w:rsid w:val="00E909DF"/>
    <w:rsid w:val="00E97D52"/>
    <w:rsid w:val="00EA282A"/>
    <w:rsid w:val="00EB7A4B"/>
    <w:rsid w:val="00EC1D11"/>
    <w:rsid w:val="00EC2366"/>
    <w:rsid w:val="00EE4CDC"/>
    <w:rsid w:val="00EF586A"/>
    <w:rsid w:val="00F12261"/>
    <w:rsid w:val="00F53198"/>
    <w:rsid w:val="00F70118"/>
    <w:rsid w:val="00F8505B"/>
    <w:rsid w:val="00F9646B"/>
    <w:rsid w:val="00FB440B"/>
    <w:rsid w:val="00FD3D08"/>
    <w:rsid w:val="00FD5A02"/>
    <w:rsid w:val="00FE24DC"/>
    <w:rsid w:val="00FF22D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98A7"/>
  <w15:chartTrackingRefBased/>
  <w15:docId w15:val="{1BF14FE4-9D54-4F13-A688-5CF5F02A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C9"/>
  </w:style>
  <w:style w:type="paragraph" w:styleId="Ttulo1">
    <w:name w:val="heading 1"/>
    <w:basedOn w:val="Normal"/>
    <w:next w:val="Normal"/>
    <w:link w:val="Ttulo1Car"/>
    <w:uiPriority w:val="9"/>
    <w:qFormat/>
    <w:rsid w:val="005B2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5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77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22D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05A9D"/>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143946"/>
    <w:rPr>
      <w:color w:val="808080"/>
    </w:rPr>
  </w:style>
  <w:style w:type="paragraph" w:styleId="Textonotaalfinal">
    <w:name w:val="endnote text"/>
    <w:basedOn w:val="Normal"/>
    <w:link w:val="TextonotaalfinalCar"/>
    <w:uiPriority w:val="99"/>
    <w:semiHidden/>
    <w:unhideWhenUsed/>
    <w:rsid w:val="00BF0C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F0CF5"/>
    <w:rPr>
      <w:sz w:val="20"/>
      <w:szCs w:val="20"/>
    </w:rPr>
  </w:style>
  <w:style w:type="character" w:styleId="Refdenotaalfinal">
    <w:name w:val="endnote reference"/>
    <w:basedOn w:val="Fuentedeprrafopredeter"/>
    <w:uiPriority w:val="99"/>
    <w:semiHidden/>
    <w:unhideWhenUsed/>
    <w:rsid w:val="00BF0CF5"/>
    <w:rPr>
      <w:vertAlign w:val="superscript"/>
    </w:rPr>
  </w:style>
  <w:style w:type="paragraph" w:styleId="Textonotapie">
    <w:name w:val="footnote text"/>
    <w:basedOn w:val="Normal"/>
    <w:link w:val="TextonotapieCar"/>
    <w:uiPriority w:val="99"/>
    <w:semiHidden/>
    <w:unhideWhenUsed/>
    <w:rsid w:val="00BF0C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0CF5"/>
    <w:rPr>
      <w:sz w:val="20"/>
      <w:szCs w:val="20"/>
    </w:rPr>
  </w:style>
  <w:style w:type="character" w:styleId="Refdenotaalpie">
    <w:name w:val="footnote reference"/>
    <w:basedOn w:val="Fuentedeprrafopredeter"/>
    <w:uiPriority w:val="99"/>
    <w:semiHidden/>
    <w:unhideWhenUsed/>
    <w:rsid w:val="00BF0CF5"/>
    <w:rPr>
      <w:vertAlign w:val="superscript"/>
    </w:rPr>
  </w:style>
  <w:style w:type="paragraph" w:styleId="Descripcin">
    <w:name w:val="caption"/>
    <w:basedOn w:val="Normal"/>
    <w:next w:val="Normal"/>
    <w:uiPriority w:val="35"/>
    <w:unhideWhenUsed/>
    <w:qFormat/>
    <w:rsid w:val="00E01D52"/>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6B7E86"/>
  </w:style>
  <w:style w:type="character" w:customStyle="1" w:styleId="Ttulo3Car">
    <w:name w:val="Título 3 Car"/>
    <w:basedOn w:val="Fuentedeprrafopredeter"/>
    <w:link w:val="Ttulo3"/>
    <w:uiPriority w:val="9"/>
    <w:rsid w:val="00977C24"/>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E97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8783">
      <w:bodyDiv w:val="1"/>
      <w:marLeft w:val="0"/>
      <w:marRight w:val="0"/>
      <w:marTop w:val="0"/>
      <w:marBottom w:val="0"/>
      <w:divBdr>
        <w:top w:val="none" w:sz="0" w:space="0" w:color="auto"/>
        <w:left w:val="none" w:sz="0" w:space="0" w:color="auto"/>
        <w:bottom w:val="none" w:sz="0" w:space="0" w:color="auto"/>
        <w:right w:val="none" w:sz="0" w:space="0" w:color="auto"/>
      </w:divBdr>
    </w:div>
    <w:div w:id="264314339">
      <w:bodyDiv w:val="1"/>
      <w:marLeft w:val="0"/>
      <w:marRight w:val="0"/>
      <w:marTop w:val="0"/>
      <w:marBottom w:val="0"/>
      <w:divBdr>
        <w:top w:val="none" w:sz="0" w:space="0" w:color="auto"/>
        <w:left w:val="none" w:sz="0" w:space="0" w:color="auto"/>
        <w:bottom w:val="none" w:sz="0" w:space="0" w:color="auto"/>
        <w:right w:val="none" w:sz="0" w:space="0" w:color="auto"/>
      </w:divBdr>
    </w:div>
    <w:div w:id="321086669">
      <w:bodyDiv w:val="1"/>
      <w:marLeft w:val="0"/>
      <w:marRight w:val="0"/>
      <w:marTop w:val="0"/>
      <w:marBottom w:val="0"/>
      <w:divBdr>
        <w:top w:val="none" w:sz="0" w:space="0" w:color="auto"/>
        <w:left w:val="none" w:sz="0" w:space="0" w:color="auto"/>
        <w:bottom w:val="none" w:sz="0" w:space="0" w:color="auto"/>
        <w:right w:val="none" w:sz="0" w:space="0" w:color="auto"/>
      </w:divBdr>
    </w:div>
    <w:div w:id="340476761">
      <w:bodyDiv w:val="1"/>
      <w:marLeft w:val="0"/>
      <w:marRight w:val="0"/>
      <w:marTop w:val="0"/>
      <w:marBottom w:val="0"/>
      <w:divBdr>
        <w:top w:val="none" w:sz="0" w:space="0" w:color="auto"/>
        <w:left w:val="none" w:sz="0" w:space="0" w:color="auto"/>
        <w:bottom w:val="none" w:sz="0" w:space="0" w:color="auto"/>
        <w:right w:val="none" w:sz="0" w:space="0" w:color="auto"/>
      </w:divBdr>
    </w:div>
    <w:div w:id="397558180">
      <w:bodyDiv w:val="1"/>
      <w:marLeft w:val="0"/>
      <w:marRight w:val="0"/>
      <w:marTop w:val="0"/>
      <w:marBottom w:val="0"/>
      <w:divBdr>
        <w:top w:val="none" w:sz="0" w:space="0" w:color="auto"/>
        <w:left w:val="none" w:sz="0" w:space="0" w:color="auto"/>
        <w:bottom w:val="none" w:sz="0" w:space="0" w:color="auto"/>
        <w:right w:val="none" w:sz="0" w:space="0" w:color="auto"/>
      </w:divBdr>
    </w:div>
    <w:div w:id="474952135">
      <w:bodyDiv w:val="1"/>
      <w:marLeft w:val="0"/>
      <w:marRight w:val="0"/>
      <w:marTop w:val="0"/>
      <w:marBottom w:val="0"/>
      <w:divBdr>
        <w:top w:val="none" w:sz="0" w:space="0" w:color="auto"/>
        <w:left w:val="none" w:sz="0" w:space="0" w:color="auto"/>
        <w:bottom w:val="none" w:sz="0" w:space="0" w:color="auto"/>
        <w:right w:val="none" w:sz="0" w:space="0" w:color="auto"/>
      </w:divBdr>
    </w:div>
    <w:div w:id="535628028">
      <w:bodyDiv w:val="1"/>
      <w:marLeft w:val="0"/>
      <w:marRight w:val="0"/>
      <w:marTop w:val="0"/>
      <w:marBottom w:val="0"/>
      <w:divBdr>
        <w:top w:val="none" w:sz="0" w:space="0" w:color="auto"/>
        <w:left w:val="none" w:sz="0" w:space="0" w:color="auto"/>
        <w:bottom w:val="none" w:sz="0" w:space="0" w:color="auto"/>
        <w:right w:val="none" w:sz="0" w:space="0" w:color="auto"/>
      </w:divBdr>
    </w:div>
    <w:div w:id="628173482">
      <w:bodyDiv w:val="1"/>
      <w:marLeft w:val="0"/>
      <w:marRight w:val="0"/>
      <w:marTop w:val="0"/>
      <w:marBottom w:val="0"/>
      <w:divBdr>
        <w:top w:val="none" w:sz="0" w:space="0" w:color="auto"/>
        <w:left w:val="none" w:sz="0" w:space="0" w:color="auto"/>
        <w:bottom w:val="none" w:sz="0" w:space="0" w:color="auto"/>
        <w:right w:val="none" w:sz="0" w:space="0" w:color="auto"/>
      </w:divBdr>
    </w:div>
    <w:div w:id="707292950">
      <w:bodyDiv w:val="1"/>
      <w:marLeft w:val="0"/>
      <w:marRight w:val="0"/>
      <w:marTop w:val="0"/>
      <w:marBottom w:val="0"/>
      <w:divBdr>
        <w:top w:val="none" w:sz="0" w:space="0" w:color="auto"/>
        <w:left w:val="none" w:sz="0" w:space="0" w:color="auto"/>
        <w:bottom w:val="none" w:sz="0" w:space="0" w:color="auto"/>
        <w:right w:val="none" w:sz="0" w:space="0" w:color="auto"/>
      </w:divBdr>
    </w:div>
    <w:div w:id="725493867">
      <w:bodyDiv w:val="1"/>
      <w:marLeft w:val="0"/>
      <w:marRight w:val="0"/>
      <w:marTop w:val="0"/>
      <w:marBottom w:val="0"/>
      <w:divBdr>
        <w:top w:val="none" w:sz="0" w:space="0" w:color="auto"/>
        <w:left w:val="none" w:sz="0" w:space="0" w:color="auto"/>
        <w:bottom w:val="none" w:sz="0" w:space="0" w:color="auto"/>
        <w:right w:val="none" w:sz="0" w:space="0" w:color="auto"/>
      </w:divBdr>
    </w:div>
    <w:div w:id="840584887">
      <w:bodyDiv w:val="1"/>
      <w:marLeft w:val="0"/>
      <w:marRight w:val="0"/>
      <w:marTop w:val="0"/>
      <w:marBottom w:val="0"/>
      <w:divBdr>
        <w:top w:val="none" w:sz="0" w:space="0" w:color="auto"/>
        <w:left w:val="none" w:sz="0" w:space="0" w:color="auto"/>
        <w:bottom w:val="none" w:sz="0" w:space="0" w:color="auto"/>
        <w:right w:val="none" w:sz="0" w:space="0" w:color="auto"/>
      </w:divBdr>
    </w:div>
    <w:div w:id="845293114">
      <w:bodyDiv w:val="1"/>
      <w:marLeft w:val="0"/>
      <w:marRight w:val="0"/>
      <w:marTop w:val="0"/>
      <w:marBottom w:val="0"/>
      <w:divBdr>
        <w:top w:val="none" w:sz="0" w:space="0" w:color="auto"/>
        <w:left w:val="none" w:sz="0" w:space="0" w:color="auto"/>
        <w:bottom w:val="none" w:sz="0" w:space="0" w:color="auto"/>
        <w:right w:val="none" w:sz="0" w:space="0" w:color="auto"/>
      </w:divBdr>
    </w:div>
    <w:div w:id="934171882">
      <w:bodyDiv w:val="1"/>
      <w:marLeft w:val="0"/>
      <w:marRight w:val="0"/>
      <w:marTop w:val="0"/>
      <w:marBottom w:val="0"/>
      <w:divBdr>
        <w:top w:val="none" w:sz="0" w:space="0" w:color="auto"/>
        <w:left w:val="none" w:sz="0" w:space="0" w:color="auto"/>
        <w:bottom w:val="none" w:sz="0" w:space="0" w:color="auto"/>
        <w:right w:val="none" w:sz="0" w:space="0" w:color="auto"/>
      </w:divBdr>
    </w:div>
    <w:div w:id="1032070621">
      <w:bodyDiv w:val="1"/>
      <w:marLeft w:val="0"/>
      <w:marRight w:val="0"/>
      <w:marTop w:val="0"/>
      <w:marBottom w:val="0"/>
      <w:divBdr>
        <w:top w:val="none" w:sz="0" w:space="0" w:color="auto"/>
        <w:left w:val="none" w:sz="0" w:space="0" w:color="auto"/>
        <w:bottom w:val="none" w:sz="0" w:space="0" w:color="auto"/>
        <w:right w:val="none" w:sz="0" w:space="0" w:color="auto"/>
      </w:divBdr>
    </w:div>
    <w:div w:id="1091390226">
      <w:bodyDiv w:val="1"/>
      <w:marLeft w:val="0"/>
      <w:marRight w:val="0"/>
      <w:marTop w:val="0"/>
      <w:marBottom w:val="0"/>
      <w:divBdr>
        <w:top w:val="none" w:sz="0" w:space="0" w:color="auto"/>
        <w:left w:val="none" w:sz="0" w:space="0" w:color="auto"/>
        <w:bottom w:val="none" w:sz="0" w:space="0" w:color="auto"/>
        <w:right w:val="none" w:sz="0" w:space="0" w:color="auto"/>
      </w:divBdr>
    </w:div>
    <w:div w:id="1129395133">
      <w:bodyDiv w:val="1"/>
      <w:marLeft w:val="0"/>
      <w:marRight w:val="0"/>
      <w:marTop w:val="0"/>
      <w:marBottom w:val="0"/>
      <w:divBdr>
        <w:top w:val="none" w:sz="0" w:space="0" w:color="auto"/>
        <w:left w:val="none" w:sz="0" w:space="0" w:color="auto"/>
        <w:bottom w:val="none" w:sz="0" w:space="0" w:color="auto"/>
        <w:right w:val="none" w:sz="0" w:space="0" w:color="auto"/>
      </w:divBdr>
    </w:div>
    <w:div w:id="1294677471">
      <w:bodyDiv w:val="1"/>
      <w:marLeft w:val="0"/>
      <w:marRight w:val="0"/>
      <w:marTop w:val="0"/>
      <w:marBottom w:val="0"/>
      <w:divBdr>
        <w:top w:val="none" w:sz="0" w:space="0" w:color="auto"/>
        <w:left w:val="none" w:sz="0" w:space="0" w:color="auto"/>
        <w:bottom w:val="none" w:sz="0" w:space="0" w:color="auto"/>
        <w:right w:val="none" w:sz="0" w:space="0" w:color="auto"/>
      </w:divBdr>
    </w:div>
    <w:div w:id="1383945389">
      <w:bodyDiv w:val="1"/>
      <w:marLeft w:val="0"/>
      <w:marRight w:val="0"/>
      <w:marTop w:val="0"/>
      <w:marBottom w:val="0"/>
      <w:divBdr>
        <w:top w:val="none" w:sz="0" w:space="0" w:color="auto"/>
        <w:left w:val="none" w:sz="0" w:space="0" w:color="auto"/>
        <w:bottom w:val="none" w:sz="0" w:space="0" w:color="auto"/>
        <w:right w:val="none" w:sz="0" w:space="0" w:color="auto"/>
      </w:divBdr>
    </w:div>
    <w:div w:id="1459107150">
      <w:bodyDiv w:val="1"/>
      <w:marLeft w:val="0"/>
      <w:marRight w:val="0"/>
      <w:marTop w:val="0"/>
      <w:marBottom w:val="0"/>
      <w:divBdr>
        <w:top w:val="none" w:sz="0" w:space="0" w:color="auto"/>
        <w:left w:val="none" w:sz="0" w:space="0" w:color="auto"/>
        <w:bottom w:val="none" w:sz="0" w:space="0" w:color="auto"/>
        <w:right w:val="none" w:sz="0" w:space="0" w:color="auto"/>
      </w:divBdr>
    </w:div>
    <w:div w:id="1631980728">
      <w:bodyDiv w:val="1"/>
      <w:marLeft w:val="0"/>
      <w:marRight w:val="0"/>
      <w:marTop w:val="0"/>
      <w:marBottom w:val="0"/>
      <w:divBdr>
        <w:top w:val="none" w:sz="0" w:space="0" w:color="auto"/>
        <w:left w:val="none" w:sz="0" w:space="0" w:color="auto"/>
        <w:bottom w:val="none" w:sz="0" w:space="0" w:color="auto"/>
        <w:right w:val="none" w:sz="0" w:space="0" w:color="auto"/>
      </w:divBdr>
    </w:div>
    <w:div w:id="1706053862">
      <w:bodyDiv w:val="1"/>
      <w:marLeft w:val="0"/>
      <w:marRight w:val="0"/>
      <w:marTop w:val="0"/>
      <w:marBottom w:val="0"/>
      <w:divBdr>
        <w:top w:val="none" w:sz="0" w:space="0" w:color="auto"/>
        <w:left w:val="none" w:sz="0" w:space="0" w:color="auto"/>
        <w:bottom w:val="none" w:sz="0" w:space="0" w:color="auto"/>
        <w:right w:val="none" w:sz="0" w:space="0" w:color="auto"/>
      </w:divBdr>
    </w:div>
    <w:div w:id="180672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Gol96</b:Tag>
    <b:SourceType>JournalArticle</b:SourceType>
    <b:Guid>{5B7454BF-6AC5-4819-BCDB-8DD1C4B440A7}</b:Guid>
    <b:Title>Goods prices and exchange rates: What have we learned?</b:Title>
    <b:Year>1996</b:Year>
    <b:Author>
      <b:Author>
        <b:NameList>
          <b:Person>
            <b:Last>Knetter</b:Last>
            <b:First>Goldberg</b:First>
          </b:Person>
        </b:NameList>
      </b:Author>
    </b:Author>
    <b:JournalName>National Bureau of Economic Research</b:JournalName>
    <b:Pages>9</b:Pages>
    <b:RefOrder>6</b:RefOrder>
  </b:Source>
  <b:Source>
    <b:Tag>Joh00</b:Tag>
    <b:SourceType>JournalArticle</b:SourceType>
    <b:Guid>{39CF9B85-1B3A-4B5F-BCB2-C973C6E56788}</b:Guid>
    <b:Author>
      <b:Author>
        <b:NameList>
          <b:Person>
            <b:Last>Taylor</b:Last>
            <b:First>John</b:First>
            <b:Middle>B.</b:Middle>
          </b:Person>
        </b:NameList>
      </b:Author>
    </b:Author>
    <b:Title>Low Inflation, Pass-Through, and the Pricing Power of Firms</b:Title>
    <b:Year>2000</b:Year>
    <b:RefOrder>4</b:RefOrder>
  </b:Source>
  <b:Source>
    <b:Tag>Jor18</b:Tag>
    <b:SourceType>JournalArticle</b:SourceType>
    <b:Guid>{B594DEDD-7835-4BCA-89B5-11A36FE3468D}</b:Guid>
    <b:Author>
      <b:Author>
        <b:NameList>
          <b:Person>
            <b:Last>Carranza</b:Last>
            <b:First>Jorge</b:First>
            <b:Middle>Ignacio Rodríguez</b:Middle>
          </b:Person>
        </b:NameList>
      </b:Author>
    </b:Author>
    <b:Title>Volatilidad cambiaria y el efecto pass-through sobre los precios en México</b:Title>
    <b:Year>2018</b:Year>
    <b:Pages>9</b:Pages>
    <b:RefOrder>1</b:RefOrder>
  </b:Source>
  <b:Source>
    <b:Tag>Moy05</b:Tag>
    <b:SourceType>Report</b:SourceType>
    <b:Guid>{42792BB4-1755-4A90-B31E-8898EBBC9EFB}</b:Guid>
    <b:Title>Estimación del Pass-Through en Costa Rica</b:Title>
    <b:Year>2005</b:Year>
    <b:Author>
      <b:Author>
        <b:NameList>
          <b:Person>
            <b:Last>Moya</b:Last>
            <b:First>Allan</b:First>
            <b:Middle>Calderón</b:Middle>
          </b:Person>
        </b:NameList>
      </b:Author>
    </b:Author>
    <b:RefOrder>2</b:RefOrder>
  </b:Source>
  <b:Source>
    <b:Tag>Bru16</b:Tag>
    <b:SourceType>Report</b:SourceType>
    <b:Guid>{654CD806-6310-4E9A-898A-765BDCD78337}</b:Guid>
    <b:Title>Modelos autorregresivos con umbral: Estimación del Pass-Through del tipo de cambio a precios domésticos</b:Title>
    <b:Year>2016</b:Year>
    <b:Author>
      <b:Author>
        <b:NameList>
          <b:Person>
            <b:Last>Brufman</b:Last>
            <b:First>Juana</b:First>
          </b:Person>
          <b:Person>
            <b:Last>Trajtenberg</b:Last>
            <b:First>Luis</b:First>
          </b:Person>
          <b:Person>
            <b:Last>Donaldson</b:Last>
            <b:First>María</b:First>
          </b:Person>
        </b:NameList>
      </b:Author>
    </b:Author>
    <b:RefOrder>3</b:RefOrder>
  </b:Source>
  <b:Source>
    <b:Tag>Gol00</b:Tag>
    <b:SourceType>Report</b:SourceType>
    <b:Guid>{29C73CE6-2EDB-4A75-9B75-B2F2675C6BC2}</b:Guid>
    <b:Title>The Pass-Through from depreciation to inflation: A panel Study</b:Title>
    <b:Year>2000</b:Year>
    <b:Author>
      <b:Author>
        <b:NameList>
          <b:Person>
            <b:Last>Goldfajn</b:Last>
          </b:Person>
          <b:Person>
            <b:Last>Werlang</b:Last>
          </b:Person>
        </b:NameList>
      </b:Author>
    </b:Author>
    <b:RefOrder>7</b:RefOrder>
  </b:Source>
  <b:Source>
    <b:Tag>Gol95</b:Tag>
    <b:SourceType>Report</b:SourceType>
    <b:Guid>{9E478C88-51F5-4562-A841-912E2F5CC771}</b:Guid>
    <b:Author>
      <b:Author>
        <b:NameList>
          <b:Person>
            <b:Last>Goldberg</b:Last>
          </b:Person>
        </b:NameList>
      </b:Author>
    </b:Author>
    <b:Title>Product differectation and oligopoly in international markets: the case of de US Automobile industry</b:Title>
    <b:Year>1995</b:Year>
    <b:RefOrder>8</b:RefOrder>
  </b:Source>
  <b:Source>
    <b:Tag>Ado01</b:Tag>
    <b:SourceType>Report</b:SourceType>
    <b:Guid>{C7F3DF88-987A-41E2-A0C3-50112EF27BB6}</b:Guid>
    <b:Author>
      <b:Author>
        <b:NameList>
          <b:Person>
            <b:Last>Adolfson</b:Last>
          </b:Person>
        </b:NameList>
      </b:Author>
    </b:Author>
    <b:Title>Monetary Policy with Incomplete Exchange Rate Pass-Through</b:Title>
    <b:Year>2001</b:Year>
    <b:RefOrder>9</b:RefOrder>
  </b:Source>
  <b:Source>
    <b:Tag>Shi03</b:Tag>
    <b:SourceType>Report</b:SourceType>
    <b:Guid>{623577F1-3430-44CD-B76C-51AB3D804077}</b:Guid>
    <b:Author>
      <b:Author>
        <b:NameList>
          <b:Person>
            <b:Last>Miller</b:Last>
            <b:First>Shirley</b:First>
          </b:Person>
        </b:NameList>
      </b:Author>
    </b:Author>
    <b:Title>Estimación del Pass-Through del Tipo de Cambio a Precios: 1995-2002</b:Title>
    <b:Year>2003</b:Year>
    <b:RefOrder>10</b:RefOrder>
  </b:Source>
  <b:Source>
    <b:Tag>Ban05</b:Tag>
    <b:SourceType>Report</b:SourceType>
    <b:Guid>{D263EDE2-E348-4B82-9179-E34CE472BF82}</b:Guid>
    <b:Author>
      <b:Author>
        <b:NameList>
          <b:Person>
            <b:Last>Banco de Guatemala</b:Last>
          </b:Person>
        </b:NameList>
      </b:Author>
    </b:Author>
    <b:Title>Informe de Política Monetaria a Junio 2005</b:Title>
    <b:Year>2005</b:Year>
    <b:RefOrder>11</b:RefOrder>
  </b:Source>
  <b:Source>
    <b:Tag>Gue04</b:Tag>
    <b:SourceType>Book</b:SourceType>
    <b:Guid>{323CDCCD-AE92-4D2B-AAF4-0188F4A02DEE}</b:Guid>
    <b:Title>Guatemala: 60 años de história económica (1994 - 2004)</b:Title>
    <b:Year>2004</b:Year>
    <b:Author>
      <b:Author>
        <b:NameList>
          <b:Person>
            <b:Last>Guerra Borges</b:Last>
            <b:First>Alfredo</b:First>
          </b:Person>
        </b:NameList>
      </b:Author>
    </b:Author>
    <b:RefOrder>12</b:RefOrder>
  </b:Source>
  <b:Source>
    <b:Tag>Mar10</b:Tag>
    <b:SourceType>Report</b:SourceType>
    <b:Guid>{F31B3A75-B5ED-40E7-8162-9E68499E1F80}</b:Guid>
    <b:Title>Guatemala: Margen de Intermediación Bancaria</b:Title>
    <b:Year>2010</b:Year>
    <b:Author>
      <b:Author>
        <b:NameList>
          <b:Person>
            <b:Last>Marroquín Fernandez</b:Last>
            <b:First>Pablo</b:First>
          </b:Person>
          <b:Person>
            <b:Last>Herrera Velásquez</b:Last>
            <b:First>Oscar</b:First>
          </b:Person>
        </b:NameList>
      </b:Author>
    </b:Author>
    <b:RefOrder>13</b:RefOrder>
  </b:Source>
  <b:Source>
    <b:Tag>Ley22</b:Tag>
    <b:SourceType>Misc</b:SourceType>
    <b:Guid>{29CC3751-B371-468E-AF69-21B3C64D3C87}</b:Guid>
    <b:Title>Decreto Número 16-2002</b:Title>
    <b:Year>2002</b:Year>
    <b:Author>
      <b:Author>
        <b:NameList>
          <b:Person>
            <b:Last>Ley Orgenica del Banco de Guatemala</b:Last>
          </b:Person>
        </b:NameList>
      </b:Author>
    </b:Author>
    <b:RefOrder>14</b:RefOrder>
  </b:Source>
  <b:Source>
    <b:Tag>Mis07</b:Tag>
    <b:SourceType>Book</b:SourceType>
    <b:Guid>{39A5BF44-C1E0-4415-9C4D-E61485FA29A2}</b:Guid>
    <b:Title>Monetary Policy Strategy</b:Title>
    <b:Year>2007</b:Year>
    <b:Author>
      <b:Author>
        <b:NameList>
          <b:Person>
            <b:Last>Mishkin</b:Last>
            <b:First>Frederic</b:First>
          </b:Person>
        </b:NameList>
      </b:Author>
    </b:Author>
    <b:RefOrder>15</b:RefOrder>
  </b:Source>
  <b:Source>
    <b:Tag>Cas19</b:Tag>
    <b:SourceType>Report</b:SourceType>
    <b:Guid>{C57DE1A6-C83D-4B53-A5B7-936E65EF5B3B}</b:Guid>
    <b:Title>Evaluación del Esquema de Metas Explicitas de Inflación (EMEI) en Guatemala</b:Title>
    <b:Year>2019</b:Year>
    <b:Author>
      <b:Author>
        <b:NameList>
          <b:Person>
            <b:Last>Ortiz Cardona</b:Last>
          </b:Person>
          <b:Person>
            <b:Last>Castañeda Fuentes</b:Last>
          </b:Person>
          <b:Person>
            <b:Last>Castillo Maldonado</b:Last>
          </b:Person>
          <b:Person>
            <b:Last>Galindo Gonzáles</b:Last>
          </b:Person>
          <b:Person>
            <b:Last>Gutiérrez Morales</b:Last>
          </b:Person>
        </b:NameList>
      </b:Author>
    </b:Author>
    <b:RefOrder>5</b:RefOrder>
  </b:Source>
</b:Sources>
</file>

<file path=customXml/itemProps1.xml><?xml version="1.0" encoding="utf-8"?>
<ds:datastoreItem xmlns:ds="http://schemas.openxmlformats.org/officeDocument/2006/customXml" ds:itemID="{A3BA6D4D-3645-41A5-B9E8-E96CB6E8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13</Pages>
  <Words>2913</Words>
  <Characters>16024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Orenos</dc:creator>
  <cp:keywords/>
  <dc:description/>
  <cp:lastModifiedBy>Jorge Orenos</cp:lastModifiedBy>
  <cp:revision>29</cp:revision>
  <cp:lastPrinted>2022-08-10T16:53:00Z</cp:lastPrinted>
  <dcterms:created xsi:type="dcterms:W3CDTF">2022-08-02T15:14:00Z</dcterms:created>
  <dcterms:modified xsi:type="dcterms:W3CDTF">2022-08-10T18:34:00Z</dcterms:modified>
</cp:coreProperties>
</file>