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E74" w:rsidRDefault="00F06E74" w:rsidP="00F06E74">
      <w:pPr>
        <w:pStyle w:val="3"/>
      </w:pPr>
      <w:r>
        <w:rPr>
          <w:rFonts w:hint="eastAsia"/>
        </w:rPr>
        <w:t>4.</w:t>
      </w:r>
      <w:r>
        <w:t>2</w:t>
      </w:r>
      <w:r>
        <w:rPr>
          <w:rFonts w:hint="eastAsia"/>
        </w:rPr>
        <w:t>.</w:t>
      </w:r>
      <w:r>
        <w:t>2</w:t>
      </w:r>
      <w:r>
        <w:rPr>
          <w:rFonts w:hint="eastAsia"/>
        </w:rPr>
        <w:t xml:space="preserve"> </w:t>
      </w:r>
      <w:r>
        <w:rPr>
          <w:rFonts w:hint="eastAsia"/>
        </w:rPr>
        <w:t>中国</w:t>
      </w:r>
      <w:r>
        <w:t>特色的评估改进</w:t>
      </w:r>
    </w:p>
    <w:p w:rsidR="00F06E74" w:rsidRDefault="00F06E74" w:rsidP="00F06E74">
      <w:pPr>
        <w:ind w:firstLine="480"/>
      </w:pPr>
    </w:p>
    <w:p w:rsidR="00F06E74" w:rsidRDefault="00F06E74" w:rsidP="00F06E74">
      <w:pPr>
        <w:ind w:firstLine="480"/>
      </w:pPr>
      <w:r>
        <w:rPr>
          <w:rFonts w:hint="eastAsia"/>
        </w:rPr>
        <w:t>目前，中国上市商业银行共计</w:t>
      </w:r>
      <w:r>
        <w:rPr>
          <w:rFonts w:hint="eastAsia"/>
        </w:rPr>
        <w:t>16</w:t>
      </w:r>
      <w:r>
        <w:rPr>
          <w:rFonts w:hint="eastAsia"/>
        </w:rPr>
        <w:t>家，在巴塞尔委员会评估</w:t>
      </w:r>
      <w:r>
        <w:rPr>
          <w:rFonts w:hint="eastAsia"/>
        </w:rPr>
        <w:t>G</w:t>
      </w:r>
      <w:r>
        <w:rPr>
          <w:rFonts w:hint="eastAsia"/>
        </w:rPr>
        <w:t>－</w:t>
      </w:r>
      <w:r>
        <w:rPr>
          <w:rFonts w:hint="eastAsia"/>
        </w:rPr>
        <w:t>SIBs</w:t>
      </w:r>
      <w:r>
        <w:rPr>
          <w:rFonts w:hint="eastAsia"/>
        </w:rPr>
        <w:t>系统重要性指标法的基础上，结合中国银行业的实际情况，利用可观察的银行指标，建立识别中国系统重要性银行的指标法。根据修改的指标法，研究中国银行的系统重要性水平。我们结合中国银行业的实际情况，参考</w:t>
      </w:r>
      <w:r>
        <w:t>巴曙松等（</w:t>
      </w:r>
      <w:r>
        <w:rPr>
          <w:rFonts w:hint="eastAsia"/>
        </w:rPr>
        <w:t>2012</w:t>
      </w:r>
      <w:r>
        <w:t>）</w:t>
      </w:r>
      <w:r>
        <w:rPr>
          <w:rFonts w:hint="eastAsia"/>
        </w:rPr>
        <w:t>的</w:t>
      </w:r>
      <w:r>
        <w:t>评估标准，</w:t>
      </w:r>
      <w:r>
        <w:rPr>
          <w:rFonts w:hint="eastAsia"/>
        </w:rPr>
        <w:t>对</w:t>
      </w:r>
      <w:r>
        <w:rPr>
          <w:rFonts w:hint="eastAsia"/>
        </w:rPr>
        <w:t>G</w:t>
      </w:r>
      <w:r>
        <w:rPr>
          <w:rFonts w:hint="eastAsia"/>
        </w:rPr>
        <w:t>－</w:t>
      </w:r>
      <w:r>
        <w:rPr>
          <w:rFonts w:hint="eastAsia"/>
        </w:rPr>
        <w:t>SIBs</w:t>
      </w:r>
      <w:r>
        <w:rPr>
          <w:rFonts w:hint="eastAsia"/>
        </w:rPr>
        <w:t>评估方法进行了修改，建立了中国银行系统重要性的评估方法。各指标类的意义和子指标的选择如下：</w:t>
      </w:r>
    </w:p>
    <w:p w:rsidR="00F06E74" w:rsidRDefault="00F06E74" w:rsidP="00F06E74">
      <w:pPr>
        <w:ind w:firstLine="480"/>
      </w:pPr>
      <w:r>
        <w:rPr>
          <w:rFonts w:hint="eastAsia"/>
        </w:rPr>
        <w:t>（</w:t>
      </w:r>
      <w:r>
        <w:rPr>
          <w:rFonts w:hint="eastAsia"/>
        </w:rPr>
        <w:t>1</w:t>
      </w:r>
      <w:r>
        <w:rPr>
          <w:rFonts w:hint="eastAsia"/>
        </w:rPr>
        <w:t>）规模：选择银行</w:t>
      </w:r>
      <w:r>
        <w:t>资产负债表的总资产作为替代。</w:t>
      </w:r>
      <w:r>
        <w:rPr>
          <w:rFonts w:hint="eastAsia"/>
        </w:rPr>
        <w:t>因为</w:t>
      </w:r>
      <w:r>
        <w:t>，</w:t>
      </w:r>
      <w:r>
        <w:rPr>
          <w:rFonts w:hint="eastAsia"/>
        </w:rPr>
        <w:t>中国银行业表外资产规模较小，</w:t>
      </w:r>
      <w:r>
        <w:rPr>
          <w:rFonts w:hint="eastAsia"/>
        </w:rPr>
        <w:t xml:space="preserve"> </w:t>
      </w:r>
      <w:r>
        <w:rPr>
          <w:rFonts w:hint="eastAsia"/>
        </w:rPr>
        <w:t>仅表内总资产即可反映出银行的规模水平；</w:t>
      </w:r>
      <w:r>
        <w:rPr>
          <w:rFonts w:hint="eastAsia"/>
        </w:rPr>
        <w:t xml:space="preserve"> </w:t>
      </w:r>
      <w:r>
        <w:rPr>
          <w:rFonts w:hint="eastAsia"/>
        </w:rPr>
        <w:t>第二，</w:t>
      </w:r>
      <w:r>
        <w:rPr>
          <w:rFonts w:hint="eastAsia"/>
        </w:rPr>
        <w:t xml:space="preserve"> </w:t>
      </w:r>
      <w:r>
        <w:rPr>
          <w:rFonts w:hint="eastAsia"/>
        </w:rPr>
        <w:t>总风险暴露需要利用信用风险转换因子将表外资产转化为表内资产进行计算，</w:t>
      </w:r>
      <w:r>
        <w:rPr>
          <w:rFonts w:hint="eastAsia"/>
        </w:rPr>
        <w:t xml:space="preserve"> </w:t>
      </w:r>
      <w:r>
        <w:rPr>
          <w:rFonts w:hint="eastAsia"/>
        </w:rPr>
        <w:t>计算的准确性会影响指标法的实践操作。银行</w:t>
      </w:r>
      <w:r>
        <w:rPr>
          <w:rFonts w:hint="eastAsia"/>
        </w:rPr>
        <w:t xml:space="preserve"> i </w:t>
      </w:r>
      <w:r>
        <w:rPr>
          <w:rFonts w:hint="eastAsia"/>
        </w:rPr>
        <w:t>在时刻</w:t>
      </w:r>
      <w:r>
        <w:rPr>
          <w:rFonts w:hint="eastAsia"/>
        </w:rPr>
        <w:t xml:space="preserve"> j </w:t>
      </w:r>
      <w:r>
        <w:rPr>
          <w:rFonts w:hint="eastAsia"/>
        </w:rPr>
        <w:t>的总资产记为</w:t>
      </w:r>
      <w:r>
        <w:rPr>
          <w:rFonts w:hint="eastAsia"/>
        </w:rPr>
        <w:t xml:space="preserve"> ASSETit</w:t>
      </w:r>
      <w:r>
        <w:rPr>
          <w:rFonts w:hint="eastAsia"/>
        </w:rPr>
        <w:t>。</w:t>
      </w:r>
    </w:p>
    <w:p w:rsidR="00F06E74" w:rsidRDefault="00F06E74" w:rsidP="00F06E74">
      <w:pPr>
        <w:ind w:firstLine="480"/>
      </w:pPr>
      <w:r>
        <w:rPr>
          <w:rFonts w:hint="eastAsia"/>
        </w:rPr>
        <w:t>（</w:t>
      </w:r>
      <w:r>
        <w:rPr>
          <w:rFonts w:hint="eastAsia"/>
        </w:rPr>
        <w:t>2</w:t>
      </w:r>
      <w:r>
        <w:rPr>
          <w:rFonts w:hint="eastAsia"/>
        </w:rPr>
        <w:t>）关联性：本文的关联性的指标类中仅包含金融系统内资产与金融系统内负债两个指标，</w:t>
      </w:r>
      <w:r>
        <w:rPr>
          <w:rFonts w:hint="eastAsia"/>
        </w:rPr>
        <w:t xml:space="preserve"> </w:t>
      </w:r>
      <w:r>
        <w:rPr>
          <w:rFonts w:hint="eastAsia"/>
        </w:rPr>
        <w:t>分别记为</w:t>
      </w:r>
      <w:r>
        <w:rPr>
          <w:rFonts w:hint="eastAsia"/>
        </w:rPr>
        <w:t xml:space="preserve"> ASSETINit </w:t>
      </w:r>
      <w:r>
        <w:rPr>
          <w:rFonts w:hint="eastAsia"/>
        </w:rPr>
        <w:t>和</w:t>
      </w:r>
      <w:r>
        <w:rPr>
          <w:rFonts w:hint="eastAsia"/>
        </w:rPr>
        <w:t xml:space="preserve"> LIABINit</w:t>
      </w:r>
      <w:r>
        <w:rPr>
          <w:rFonts w:hint="eastAsia"/>
        </w:rPr>
        <w:t>。其中，</w:t>
      </w:r>
      <w:r>
        <w:rPr>
          <w:rFonts w:hint="eastAsia"/>
        </w:rPr>
        <w:t xml:space="preserve"> </w:t>
      </w:r>
      <w:r>
        <w:rPr>
          <w:rFonts w:hint="eastAsia"/>
        </w:rPr>
        <w:t>金融系统内资产包括资产负债表上存放同业及其他金融机构款项、拆出资金和买入返售金融资产三项；</w:t>
      </w:r>
      <w:r>
        <w:rPr>
          <w:rFonts w:hint="eastAsia"/>
        </w:rPr>
        <w:t xml:space="preserve"> </w:t>
      </w:r>
      <w:r>
        <w:rPr>
          <w:rFonts w:hint="eastAsia"/>
        </w:rPr>
        <w:t>金融系统内负债则包括资产负债表上同业及其他金融机构存放款项、拆入资金和卖出回购金融资产三项。</w:t>
      </w:r>
    </w:p>
    <w:p w:rsidR="00F06E74" w:rsidRDefault="00F06E74" w:rsidP="00F06E74">
      <w:pPr>
        <w:ind w:firstLine="480"/>
      </w:pPr>
      <w:r>
        <w:rPr>
          <w:rFonts w:hint="eastAsia"/>
        </w:rPr>
        <w:t>（</w:t>
      </w:r>
      <w:r>
        <w:rPr>
          <w:rFonts w:hint="eastAsia"/>
        </w:rPr>
        <w:t>3</w:t>
      </w:r>
      <w:r>
        <w:rPr>
          <w:rFonts w:hint="eastAsia"/>
        </w:rPr>
        <w:t>）可替代性：从中国银行业的实际情况看，</w:t>
      </w:r>
      <w:r>
        <w:rPr>
          <w:rFonts w:hint="eastAsia"/>
        </w:rPr>
        <w:t xml:space="preserve"> </w:t>
      </w:r>
      <w:r>
        <w:rPr>
          <w:rFonts w:hint="eastAsia"/>
        </w:rPr>
        <w:t>银行提供的关键性功能是信贷服务，</w:t>
      </w:r>
      <w:r>
        <w:rPr>
          <w:rFonts w:hint="eastAsia"/>
        </w:rPr>
        <w:t xml:space="preserve"> </w:t>
      </w:r>
      <w:r>
        <w:rPr>
          <w:rFonts w:hint="eastAsia"/>
        </w:rPr>
        <w:t>所以本文使用两个从银行报表中可获得的指标代替，</w:t>
      </w:r>
      <w:r>
        <w:rPr>
          <w:rFonts w:hint="eastAsia"/>
        </w:rPr>
        <w:t xml:space="preserve"> </w:t>
      </w:r>
      <w:r>
        <w:rPr>
          <w:rFonts w:hint="eastAsia"/>
        </w:rPr>
        <w:t>即企业贷款及垫款和个人贷款及垫款，</w:t>
      </w:r>
      <w:r>
        <w:rPr>
          <w:rFonts w:hint="eastAsia"/>
        </w:rPr>
        <w:t xml:space="preserve"> </w:t>
      </w:r>
      <w:r>
        <w:rPr>
          <w:rFonts w:hint="eastAsia"/>
        </w:rPr>
        <w:t>分别记为</w:t>
      </w:r>
      <w:r>
        <w:rPr>
          <w:rFonts w:hint="eastAsia"/>
        </w:rPr>
        <w:t xml:space="preserve"> LOANCORit </w:t>
      </w:r>
      <w:r>
        <w:rPr>
          <w:rFonts w:hint="eastAsia"/>
        </w:rPr>
        <w:t>和</w:t>
      </w:r>
      <w:r>
        <w:rPr>
          <w:rFonts w:hint="eastAsia"/>
        </w:rPr>
        <w:t xml:space="preserve"> LOANHHit</w:t>
      </w:r>
      <w:r>
        <w:rPr>
          <w:rFonts w:hint="eastAsia"/>
        </w:rPr>
        <w:t>。</w:t>
      </w:r>
    </w:p>
    <w:p w:rsidR="00F06E74" w:rsidRDefault="00F06E74" w:rsidP="00F06E74">
      <w:pPr>
        <w:ind w:firstLine="480"/>
      </w:pPr>
      <w:r>
        <w:rPr>
          <w:rFonts w:hint="eastAsia"/>
        </w:rPr>
        <w:t>（</w:t>
      </w:r>
      <w:r>
        <w:rPr>
          <w:rFonts w:hint="eastAsia"/>
        </w:rPr>
        <w:t>4</w:t>
      </w:r>
      <w:r>
        <w:rPr>
          <w:rFonts w:hint="eastAsia"/>
        </w:rPr>
        <w:t>）复杂性：对于中国银行业，</w:t>
      </w:r>
      <w:r>
        <w:rPr>
          <w:rFonts w:hint="eastAsia"/>
        </w:rPr>
        <w:t xml:space="preserve"> </w:t>
      </w:r>
      <w:r>
        <w:rPr>
          <w:rFonts w:hint="eastAsia"/>
        </w:rPr>
        <w:t>衍生品资产规模较小，</w:t>
      </w:r>
      <w:r>
        <w:rPr>
          <w:rFonts w:hint="eastAsia"/>
        </w:rPr>
        <w:t xml:space="preserve"> </w:t>
      </w:r>
      <w:r>
        <w:rPr>
          <w:rFonts w:hint="eastAsia"/>
        </w:rPr>
        <w:t>根据</w:t>
      </w:r>
      <w:r>
        <w:rPr>
          <w:rFonts w:hint="eastAsia"/>
        </w:rPr>
        <w:t xml:space="preserve"> 16 </w:t>
      </w:r>
      <w:r>
        <w:rPr>
          <w:rFonts w:hint="eastAsia"/>
        </w:rPr>
        <w:t>家上市银行</w:t>
      </w:r>
      <w:r>
        <w:rPr>
          <w:rFonts w:hint="eastAsia"/>
        </w:rPr>
        <w:t xml:space="preserve"> 2010 </w:t>
      </w:r>
      <w:r>
        <w:rPr>
          <w:rFonts w:hint="eastAsia"/>
        </w:rPr>
        <w:t>年报，</w:t>
      </w:r>
      <w:r>
        <w:rPr>
          <w:rFonts w:hint="eastAsia"/>
        </w:rPr>
        <w:t xml:space="preserve"> </w:t>
      </w:r>
      <w:r>
        <w:rPr>
          <w:rFonts w:hint="eastAsia"/>
        </w:rPr>
        <w:t>衍生品资产占总资产的平均比例为</w:t>
      </w:r>
      <w:r>
        <w:rPr>
          <w:rFonts w:hint="eastAsia"/>
        </w:rPr>
        <w:t xml:space="preserve"> 0. 15% </w:t>
      </w:r>
      <w:r>
        <w:rPr>
          <w:rFonts w:hint="eastAsia"/>
        </w:rPr>
        <w:t>，</w:t>
      </w:r>
      <w:r>
        <w:rPr>
          <w:rFonts w:hint="eastAsia"/>
        </w:rPr>
        <w:t xml:space="preserve"> </w:t>
      </w:r>
      <w:r>
        <w:rPr>
          <w:rFonts w:hint="eastAsia"/>
        </w:rPr>
        <w:t>并且</w:t>
      </w:r>
      <w:r>
        <w:rPr>
          <w:rFonts w:hint="eastAsia"/>
        </w:rPr>
        <w:t xml:space="preserve"> LEVEL3 </w:t>
      </w:r>
      <w:r>
        <w:rPr>
          <w:rFonts w:hint="eastAsia"/>
        </w:rPr>
        <w:t>资产没有可获得的数据，</w:t>
      </w:r>
      <w:r>
        <w:rPr>
          <w:rFonts w:hint="eastAsia"/>
        </w:rPr>
        <w:t xml:space="preserve"> </w:t>
      </w:r>
      <w:r>
        <w:rPr>
          <w:rFonts w:hint="eastAsia"/>
        </w:rPr>
        <w:t>因而将这两个指标剔除。本文将交易性资产与可供出售资产分开作为两个子指标来反映中国银行业的复杂性，</w:t>
      </w:r>
      <w:r>
        <w:rPr>
          <w:rFonts w:hint="eastAsia"/>
        </w:rPr>
        <w:t xml:space="preserve"> </w:t>
      </w:r>
      <w:r>
        <w:rPr>
          <w:rFonts w:hint="eastAsia"/>
        </w:rPr>
        <w:t>分别记为</w:t>
      </w:r>
      <w:r>
        <w:t>TRADE</w:t>
      </w:r>
      <w:r>
        <w:rPr>
          <w:rFonts w:hint="eastAsia"/>
        </w:rPr>
        <w:t xml:space="preserve">it </w:t>
      </w:r>
      <w:r>
        <w:rPr>
          <w:rFonts w:hint="eastAsia"/>
        </w:rPr>
        <w:t>和</w:t>
      </w:r>
      <w:r>
        <w:rPr>
          <w:rFonts w:hint="eastAsia"/>
        </w:rPr>
        <w:t xml:space="preserve"> SALEit</w:t>
      </w:r>
      <w:r>
        <w:rPr>
          <w:rFonts w:hint="eastAsia"/>
        </w:rPr>
        <w:t>。</w:t>
      </w:r>
    </w:p>
    <w:p w:rsidR="00F06E74" w:rsidRDefault="00F06E74" w:rsidP="00F06E74">
      <w:pPr>
        <w:ind w:firstLine="480"/>
      </w:pPr>
      <w:r>
        <w:rPr>
          <w:rFonts w:hint="eastAsia"/>
        </w:rPr>
        <w:t>（</w:t>
      </w:r>
      <w:r>
        <w:rPr>
          <w:rFonts w:hint="eastAsia"/>
        </w:rPr>
        <w:t>5</w:t>
      </w:r>
      <w:r>
        <w:rPr>
          <w:rFonts w:hint="eastAsia"/>
        </w:rPr>
        <w:t>）国民信心：对于</w:t>
      </w:r>
      <w:r>
        <w:t>中国的</w:t>
      </w:r>
      <w:r>
        <w:rPr>
          <w:rFonts w:hint="eastAsia"/>
        </w:rPr>
        <w:t>国情</w:t>
      </w:r>
      <w:r>
        <w:t>来讲，银行的储蓄存款就可以反映国民对银行业的信心，</w:t>
      </w:r>
      <w:r>
        <w:rPr>
          <w:rFonts w:hint="eastAsia"/>
        </w:rPr>
        <w:t>记为</w:t>
      </w:r>
      <w:r>
        <w:rPr>
          <w:rFonts w:hint="eastAsia"/>
        </w:rPr>
        <w:t>SAVINGSi</w:t>
      </w:r>
      <w:r>
        <w:rPr>
          <w:rFonts w:hint="eastAsia"/>
        </w:rPr>
        <w:t>。</w:t>
      </w:r>
    </w:p>
    <w:p w:rsidR="00F06E74" w:rsidRDefault="00F06E74" w:rsidP="00F06E74">
      <w:pPr>
        <w:ind w:firstLine="480"/>
      </w:pPr>
      <w:r>
        <w:rPr>
          <w:rFonts w:hint="eastAsia"/>
        </w:rPr>
        <w:t>根据以上五大指标类及相应的子指标对银行打分，得分反映了各自银行的系统重要性水平。每个银行某子指标的得分等于该指标值除以所有银行该指标值之</w:t>
      </w:r>
      <w:r>
        <w:rPr>
          <w:rFonts w:hint="eastAsia"/>
        </w:rPr>
        <w:lastRenderedPageBreak/>
        <w:t>和，五大类指标的权重相等，都为</w:t>
      </w:r>
      <w:r>
        <w:rPr>
          <w:rFonts w:hint="eastAsia"/>
        </w:rPr>
        <w:t>20%</w:t>
      </w:r>
      <w:r>
        <w:rPr>
          <w:rFonts w:hint="eastAsia"/>
        </w:rPr>
        <w:t>，每大类中各子指标也是等权重，则银行</w:t>
      </w:r>
      <w:r>
        <w:rPr>
          <w:rFonts w:hint="eastAsia"/>
        </w:rPr>
        <w:t>i</w:t>
      </w:r>
      <w:r>
        <w:rPr>
          <w:rFonts w:hint="eastAsia"/>
        </w:rPr>
        <w:t>的总得分。</w:t>
      </w:r>
    </w:p>
    <w:p w:rsidR="00F06E74" w:rsidRDefault="00F06E74" w:rsidP="00F06E74">
      <w:pPr>
        <w:ind w:firstLine="480"/>
      </w:pPr>
      <w:r w:rsidRPr="008F31AC">
        <w:rPr>
          <w:rFonts w:ascii="宋体" w:hAnsi="宋体"/>
          <w:color w:val="000000"/>
          <w:position w:val="-76"/>
        </w:rPr>
        <w:object w:dxaOrig="9680" w:dyaOrig="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75pt" o:ole="">
            <v:imagedata r:id="rId6" o:title=""/>
          </v:shape>
          <o:OLEObject Type="Embed" ProgID="Equation.DSMT4" ShapeID="_x0000_i1025" DrawAspect="Content" ObjectID="_1518545341" r:id="rId7"/>
        </w:object>
      </w:r>
    </w:p>
    <w:p w:rsidR="00F06E74" w:rsidRDefault="00F06E74" w:rsidP="00F06E74">
      <w:pPr>
        <w:pStyle w:val="3"/>
      </w:pPr>
      <w:r>
        <w:rPr>
          <w:rFonts w:hint="eastAsia"/>
        </w:rPr>
        <w:t xml:space="preserve">4.2.3 </w:t>
      </w:r>
      <w:r>
        <w:rPr>
          <w:rFonts w:hint="eastAsia"/>
        </w:rPr>
        <w:t>中国</w:t>
      </w:r>
      <w:r>
        <w:t>各个银行系统重要性评分</w:t>
      </w:r>
    </w:p>
    <w:p w:rsidR="00F06E74" w:rsidRDefault="00F06E74" w:rsidP="00F06E74">
      <w:pPr>
        <w:ind w:firstLine="480"/>
      </w:pPr>
      <w:r>
        <w:rPr>
          <w:rFonts w:hint="eastAsia"/>
        </w:rPr>
        <w:t>本文选择的研究对象为</w:t>
      </w:r>
      <w:r>
        <w:rPr>
          <w:rFonts w:hint="eastAsia"/>
        </w:rPr>
        <w:t>16</w:t>
      </w:r>
      <w:r>
        <w:rPr>
          <w:rFonts w:hint="eastAsia"/>
        </w:rPr>
        <w:t>家已经上市的银行，我们利用</w:t>
      </w:r>
      <w:r>
        <w:rPr>
          <w:rFonts w:hint="eastAsia"/>
        </w:rPr>
        <w:t>2014</w:t>
      </w:r>
      <w:r>
        <w:rPr>
          <w:rFonts w:hint="eastAsia"/>
        </w:rPr>
        <w:t>年</w:t>
      </w:r>
      <w:r>
        <w:rPr>
          <w:rFonts w:hint="eastAsia"/>
        </w:rPr>
        <w:t>16</w:t>
      </w:r>
      <w:r>
        <w:rPr>
          <w:rFonts w:hint="eastAsia"/>
        </w:rPr>
        <w:t>家银行的年度报表数据和上面提出的指标法，评估中国各银行的系统重要性。从规模上看，四大国有商业银行要远远大于其他银行，预期测算结果四大国有商业银行的系统重要性要远高于其他银行。</w:t>
      </w:r>
    </w:p>
    <w:p w:rsidR="00F06E74" w:rsidRDefault="00F06E74" w:rsidP="00F06E74">
      <w:pPr>
        <w:ind w:firstLine="480"/>
      </w:pPr>
      <w:r>
        <w:rPr>
          <w:rFonts w:hint="eastAsia"/>
        </w:rPr>
        <w:t>表</w:t>
      </w:r>
      <w:r>
        <w:rPr>
          <w:rFonts w:hint="eastAsia"/>
        </w:rPr>
        <w:t xml:space="preserve">1                  </w:t>
      </w:r>
      <w:r>
        <w:rPr>
          <w:rFonts w:hint="eastAsia"/>
        </w:rPr>
        <w:t>银行系统重要性得分汇总表</w:t>
      </w:r>
    </w:p>
    <w:tbl>
      <w:tblPr>
        <w:tblStyle w:val="2"/>
        <w:tblW w:w="7560" w:type="dxa"/>
        <w:tblLook w:val="04A0" w:firstRow="1" w:lastRow="0" w:firstColumn="1" w:lastColumn="0" w:noHBand="0" w:noVBand="1"/>
      </w:tblPr>
      <w:tblGrid>
        <w:gridCol w:w="1080"/>
        <w:gridCol w:w="1096"/>
        <w:gridCol w:w="1096"/>
        <w:gridCol w:w="1096"/>
        <w:gridCol w:w="1096"/>
        <w:gridCol w:w="1096"/>
        <w:gridCol w:w="1096"/>
      </w:tblGrid>
      <w:tr w:rsidR="00A72792" w:rsidRPr="00A72792" w:rsidTr="00A7279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eastAsia="Times New Roman" w:hAnsi="宋体" w:cs="宋体"/>
                <w:sz w:val="20"/>
                <w:szCs w:val="24"/>
              </w:rPr>
            </w:pP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22"/>
              </w:rPr>
            </w:pPr>
            <w:r w:rsidRPr="00A72792">
              <w:rPr>
                <w:rFonts w:ascii="宋体" w:hAnsi="宋体" w:cs="宋体" w:hint="eastAsia"/>
                <w:color w:val="000000"/>
                <w:sz w:val="22"/>
              </w:rPr>
              <w:t>规模</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关联性</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可代替性</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复杂性</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国民信心</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总得分</w:t>
            </w:r>
          </w:p>
        </w:tc>
        <w:bookmarkStart w:id="0" w:name="_GoBack"/>
        <w:bookmarkEnd w:id="0"/>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平安银行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0.020673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0.029216</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0.008478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0.008478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0.028515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0.09536</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宁波银行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0.005239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0.006945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0.01328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0.01328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0.008716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0.047461</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浦发银行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0.039673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0.048697</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0.029879</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0.029879</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0.060394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0.208521</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华夏银行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0.017507</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0.034719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0.008431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0.008431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0.024836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0.093924</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民生银行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0.037964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0.080592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0.022643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0.022643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0.06595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0.229793</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招商银行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0.04474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0.056001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0.037136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0.037136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0.058106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0.233119</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南京银行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0.005419</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0.006333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0.007473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0.007473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0.008395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0.035092</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兴业银行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0.041663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0.093347</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0.049735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0.049735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0.09793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0.33241</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北京银行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0.014414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0.029008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0.013828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0.013828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0.02684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0.097919</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农业银行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0.151038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0.116585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0.214528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0.214528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0.080295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0.776974</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交通银行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0.059268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0.071746</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0.052388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0.052388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0.089597</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0.325386</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lastRenderedPageBreak/>
              <w:t>工商银行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0.19487</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0.129162</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0.215154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0.215154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0.129883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0.884222</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光大银行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0.025879</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0.043743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0.013423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0.013423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0.040294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0.136762</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建设银行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0.158318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0.087426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0.187719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0.187719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0.093888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0.71507</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中国银行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0.144204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0.125838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0.098862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0.098862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0.135659</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0.603425</w:t>
            </w:r>
          </w:p>
        </w:tc>
      </w:tr>
      <w:tr w:rsidR="00A72792" w:rsidRPr="00A72792" w:rsidTr="00A72792">
        <w:trPr>
          <w:trHeight w:val="285"/>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中信银行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0.039133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0.040642</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0.027044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0.027044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0.0507</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0.184563</w:t>
            </w:r>
          </w:p>
        </w:tc>
      </w:tr>
    </w:tbl>
    <w:p w:rsidR="00F06E74" w:rsidRDefault="00F06E74" w:rsidP="00F06E74">
      <w:pPr>
        <w:ind w:firstLine="480"/>
      </w:pPr>
    </w:p>
    <w:p w:rsidR="00F06E74" w:rsidRDefault="00F06E74" w:rsidP="00F06E74">
      <w:pPr>
        <w:ind w:firstLine="480"/>
      </w:pPr>
      <w:r>
        <w:rPr>
          <w:rFonts w:hint="eastAsia"/>
        </w:rPr>
        <w:t>显而易见，四大国有商业银行的系统重要性远远高于其他银行，这与预期相一致。其中，最高的是中国工商银行，系统重要性得分为</w:t>
      </w:r>
      <w:r>
        <w:rPr>
          <w:rFonts w:hint="eastAsia"/>
        </w:rPr>
        <w:t>1.033</w:t>
      </w:r>
      <w:r>
        <w:rPr>
          <w:rFonts w:hint="eastAsia"/>
        </w:rPr>
        <w:t>，其次是中国银行，系统重要性得分为</w:t>
      </w:r>
      <w:r>
        <w:rPr>
          <w:rFonts w:hint="eastAsia"/>
        </w:rPr>
        <w:t>0.788</w:t>
      </w:r>
      <w:r>
        <w:rPr>
          <w:rFonts w:hint="eastAsia"/>
        </w:rPr>
        <w:t>。然而，</w:t>
      </w:r>
      <w:r>
        <w:rPr>
          <w:rFonts w:hint="eastAsia"/>
        </w:rPr>
        <w:t>2011</w:t>
      </w:r>
      <w:r>
        <w:rPr>
          <w:rFonts w:hint="eastAsia"/>
        </w:rPr>
        <w:t>年</w:t>
      </w:r>
      <w:r>
        <w:rPr>
          <w:rFonts w:hint="eastAsia"/>
        </w:rPr>
        <w:t>11</w:t>
      </w:r>
      <w:r>
        <w:rPr>
          <w:rFonts w:hint="eastAsia"/>
        </w:rPr>
        <w:t>月，金融稳定理事会（</w:t>
      </w:r>
      <w:r>
        <w:rPr>
          <w:rFonts w:hint="eastAsia"/>
        </w:rPr>
        <w:t>FSB</w:t>
      </w:r>
      <w:r>
        <w:rPr>
          <w:rFonts w:hint="eastAsia"/>
        </w:rPr>
        <w:t>）公布的首批全球系统重要性金融机构名单，中国银行作为中国乃至新兴市场经济国家和地区的唯一代表入选，而中国工商银行不在其中。这是因为中国银行的全球化经营程度、跨境业务规模大于中国工商银行，中国工商银行的业务主要集中在中国境内，中国银行对全球系统性风险的贡献要大于对国内系统性风险的贡献。因而，针对不同的金融系统，要结合实际情况，建立合适的评估指标体系，才能准确评估银行在该系统内的系统重要性。</w:t>
      </w:r>
    </w:p>
    <w:p w:rsidR="00F06E74" w:rsidRDefault="00F06E74" w:rsidP="00F06E74">
      <w:pPr>
        <w:ind w:firstLine="480"/>
      </w:pPr>
    </w:p>
    <w:p w:rsidR="00F06E74" w:rsidRDefault="00F06E74" w:rsidP="00F06E74">
      <w:pPr>
        <w:ind w:firstLine="480"/>
      </w:pPr>
      <w:r>
        <w:rPr>
          <w:rFonts w:hint="eastAsia"/>
        </w:rPr>
        <w:t>表</w:t>
      </w:r>
      <w:r>
        <w:rPr>
          <w:rFonts w:hint="eastAsia"/>
        </w:rPr>
        <w:t xml:space="preserve">2         </w:t>
      </w:r>
      <w:r>
        <w:rPr>
          <w:rFonts w:hint="eastAsia"/>
        </w:rPr>
        <w:t>系统重要性得分排序与各指标排序对比</w:t>
      </w:r>
    </w:p>
    <w:tbl>
      <w:tblPr>
        <w:tblStyle w:val="2"/>
        <w:tblW w:w="7560" w:type="dxa"/>
        <w:tblLook w:val="04A0" w:firstRow="1" w:lastRow="0" w:firstColumn="1" w:lastColumn="0" w:noHBand="0" w:noVBand="1"/>
      </w:tblPr>
      <w:tblGrid>
        <w:gridCol w:w="1080"/>
        <w:gridCol w:w="1080"/>
        <w:gridCol w:w="1080"/>
        <w:gridCol w:w="1080"/>
        <w:gridCol w:w="1080"/>
        <w:gridCol w:w="1080"/>
        <w:gridCol w:w="1080"/>
      </w:tblGrid>
      <w:tr w:rsidR="00A72792" w:rsidRPr="00A72792" w:rsidTr="00A7279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eastAsia="Times New Roman" w:hAnsi="宋体" w:cs="宋体"/>
                <w:sz w:val="20"/>
                <w:szCs w:val="24"/>
              </w:rPr>
            </w:pP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color w:val="000000"/>
                <w:sz w:val="22"/>
              </w:rPr>
            </w:pPr>
            <w:r w:rsidRPr="00A72792">
              <w:rPr>
                <w:rFonts w:ascii="宋体" w:hAnsi="宋体" w:cs="宋体" w:hint="eastAsia"/>
                <w:color w:val="000000"/>
                <w:sz w:val="22"/>
              </w:rPr>
              <w:t>规模</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关联性</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可代替性</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复杂性</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国民信心</w:t>
            </w:r>
          </w:p>
        </w:tc>
        <w:tc>
          <w:tcPr>
            <w:tcW w:w="1080" w:type="dxa"/>
            <w:noWrap/>
            <w:hideMark/>
          </w:tcPr>
          <w:p w:rsidR="00A72792" w:rsidRPr="00A72792" w:rsidRDefault="00A72792" w:rsidP="00A72792">
            <w:pPr>
              <w:adjustRightInd/>
              <w:snapToGrid/>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总得分</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平安银行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13</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宁波银行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15</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浦发银行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9</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8</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9</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华夏银行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12</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14</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民生银行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10</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6</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10</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10</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7</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8</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招商银行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8</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7</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7</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7</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南京银行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16</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16</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16</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16</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16</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lastRenderedPageBreak/>
              <w:t>兴业银行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7</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5</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北京银行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11</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11</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13</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12</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农业银行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2</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2</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6</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2</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交通银行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7</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5</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6</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工商银行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2</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光大银行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11</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10</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11</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11</w:t>
            </w:r>
          </w:p>
        </w:tc>
      </w:tr>
      <w:tr w:rsidR="00A72792" w:rsidRPr="00A72792" w:rsidTr="00A72792">
        <w:trPr>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建设银行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2</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5</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3</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4</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3</w:t>
            </w:r>
          </w:p>
        </w:tc>
      </w:tr>
      <w:tr w:rsidR="00A72792" w:rsidRPr="00A72792" w:rsidTr="00A7279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中国银行</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2</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4</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w:t>
            </w:r>
          </w:p>
        </w:tc>
        <w:tc>
          <w:tcPr>
            <w:tcW w:w="1080" w:type="dxa"/>
            <w:noWrap/>
            <w:hideMark/>
          </w:tcPr>
          <w:p w:rsidR="00A72792" w:rsidRPr="00A72792" w:rsidRDefault="00A72792" w:rsidP="00A72792">
            <w:pPr>
              <w:adjustRightInd/>
              <w:snapToGrid/>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4</w:t>
            </w:r>
          </w:p>
        </w:tc>
      </w:tr>
      <w:tr w:rsidR="00A72792" w:rsidRPr="00A72792" w:rsidTr="00A72792">
        <w:trPr>
          <w:trHeight w:val="285"/>
        </w:trPr>
        <w:tc>
          <w:tcPr>
            <w:cnfStyle w:val="001000000000" w:firstRow="0" w:lastRow="0" w:firstColumn="1" w:lastColumn="0" w:oddVBand="0" w:evenVBand="0" w:oddHBand="0" w:evenHBand="0" w:firstRowFirstColumn="0" w:firstRowLastColumn="0" w:lastRowFirstColumn="0" w:lastRowLastColumn="0"/>
            <w:tcW w:w="1080" w:type="dxa"/>
            <w:noWrap/>
            <w:hideMark/>
          </w:tcPr>
          <w:p w:rsidR="00A72792" w:rsidRPr="00A72792" w:rsidRDefault="00A72792" w:rsidP="00A72792">
            <w:pPr>
              <w:adjustRightInd/>
              <w:snapToGrid/>
              <w:spacing w:line="240" w:lineRule="auto"/>
              <w:ind w:firstLineChars="0" w:firstLine="0"/>
              <w:jc w:val="left"/>
              <w:rPr>
                <w:rFonts w:ascii="宋体" w:hAnsi="宋体" w:cs="宋体" w:hint="eastAsia"/>
                <w:color w:val="000000"/>
                <w:sz w:val="22"/>
              </w:rPr>
            </w:pPr>
            <w:r w:rsidRPr="00A72792">
              <w:rPr>
                <w:rFonts w:ascii="宋体" w:hAnsi="宋体" w:cs="宋体" w:hint="eastAsia"/>
                <w:color w:val="000000"/>
                <w:sz w:val="22"/>
              </w:rPr>
              <w:t>中信银行</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11</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9</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10</w:t>
            </w:r>
          </w:p>
        </w:tc>
        <w:tc>
          <w:tcPr>
            <w:tcW w:w="1080" w:type="dxa"/>
            <w:noWrap/>
            <w:hideMark/>
          </w:tcPr>
          <w:p w:rsidR="00A72792" w:rsidRPr="00A72792" w:rsidRDefault="00A72792" w:rsidP="00A72792">
            <w:pPr>
              <w:adjustRightInd/>
              <w:snapToGrid/>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宋体" w:hAnsi="宋体" w:cs="宋体" w:hint="eastAsia"/>
                <w:color w:val="000000"/>
                <w:sz w:val="22"/>
              </w:rPr>
            </w:pPr>
            <w:r w:rsidRPr="00A72792">
              <w:rPr>
                <w:rFonts w:ascii="宋体" w:hAnsi="宋体" w:cs="宋体" w:hint="eastAsia"/>
                <w:color w:val="000000"/>
                <w:sz w:val="22"/>
              </w:rPr>
              <w:t>10</w:t>
            </w:r>
          </w:p>
        </w:tc>
      </w:tr>
    </w:tbl>
    <w:p w:rsidR="00F06E74" w:rsidRDefault="00F06E74" w:rsidP="00F06E74">
      <w:pPr>
        <w:ind w:firstLine="480"/>
      </w:pPr>
    </w:p>
    <w:p w:rsidR="00F06E74" w:rsidRDefault="00F06E74" w:rsidP="00F06E74">
      <w:pPr>
        <w:ind w:firstLine="480"/>
      </w:pPr>
      <w:r>
        <w:rPr>
          <w:rFonts w:hint="eastAsia"/>
        </w:rPr>
        <w:t>同时，我们对系统重要性得分排序与各指标排序进行对比分析，结果如表</w:t>
      </w:r>
      <w:r>
        <w:rPr>
          <w:rFonts w:hint="eastAsia"/>
        </w:rPr>
        <w:t xml:space="preserve">2 </w:t>
      </w:r>
      <w:r>
        <w:rPr>
          <w:rFonts w:hint="eastAsia"/>
        </w:rPr>
        <w:t>所示。与其他指标相比，银行按系统重要性排序与规模排序结果基本一致，由此可见，规模是银行系统重要性的关键特征。检验总得分与各指标得分之间的相关性（见表</w:t>
      </w:r>
      <w:r>
        <w:rPr>
          <w:rFonts w:hint="eastAsia"/>
        </w:rPr>
        <w:t>3</w:t>
      </w:r>
      <w:r>
        <w:rPr>
          <w:rFonts w:hint="eastAsia"/>
        </w:rPr>
        <w:t>所示），发现总得分与规模指标得分之间具有很高的相关性，相关系数高达</w:t>
      </w:r>
      <w:r>
        <w:rPr>
          <w:rFonts w:hint="eastAsia"/>
        </w:rPr>
        <w:t>0.996</w:t>
      </w:r>
      <w:r>
        <w:rPr>
          <w:rFonts w:hint="eastAsia"/>
        </w:rPr>
        <w:t>，这就说明规模是决定银行系统重要性的关键指标。此外，可替代性指标与国内信心指标与规模之间也具有很高的相关性。主要的原因在于中国银行业的同质性高，银行主要提供的是信贷服务，主要利润来源于存贷款净息差收入。银行规模越大，相应的其他指标也就越大。</w:t>
      </w:r>
    </w:p>
    <w:p w:rsidR="00F06E74" w:rsidRDefault="00F06E74" w:rsidP="00F06E74">
      <w:pPr>
        <w:ind w:firstLine="480"/>
      </w:pPr>
      <w:r>
        <w:rPr>
          <w:rFonts w:hint="eastAsia"/>
        </w:rPr>
        <w:t>表</w:t>
      </w:r>
      <w:r>
        <w:rPr>
          <w:rFonts w:hint="eastAsia"/>
        </w:rPr>
        <w:t xml:space="preserve"> 3                      </w:t>
      </w:r>
      <w:r>
        <w:rPr>
          <w:rFonts w:hint="eastAsia"/>
        </w:rPr>
        <w:t>各指标得分间的相关性</w:t>
      </w:r>
    </w:p>
    <w:tbl>
      <w:tblPr>
        <w:tblW w:w="7809" w:type="dxa"/>
        <w:tblLook w:val="04A0" w:firstRow="1" w:lastRow="0" w:firstColumn="1" w:lastColumn="0" w:noHBand="0" w:noVBand="1"/>
      </w:tblPr>
      <w:tblGrid>
        <w:gridCol w:w="1094"/>
        <w:gridCol w:w="1251"/>
        <w:gridCol w:w="1251"/>
        <w:gridCol w:w="1251"/>
        <w:gridCol w:w="1251"/>
        <w:gridCol w:w="1251"/>
        <w:gridCol w:w="952"/>
      </w:tblGrid>
      <w:tr w:rsidR="00A72792" w:rsidRPr="00A72792" w:rsidTr="00A72792">
        <w:trPr>
          <w:trHeight w:val="270"/>
        </w:trPr>
        <w:tc>
          <w:tcPr>
            <w:tcW w:w="1094" w:type="dxa"/>
            <w:tcBorders>
              <w:top w:val="single" w:sz="8" w:space="0" w:color="auto"/>
              <w:left w:val="nil"/>
              <w:bottom w:val="single" w:sz="4" w:space="0" w:color="auto"/>
              <w:right w:val="nil"/>
            </w:tcBorders>
            <w:shd w:val="clear" w:color="auto" w:fill="auto"/>
            <w:noWrap/>
            <w:vAlign w:val="center"/>
            <w:hideMark/>
          </w:tcPr>
          <w:p w:rsidR="00A72792" w:rsidRPr="00A72792" w:rsidRDefault="00A72792" w:rsidP="00A72792">
            <w:pPr>
              <w:adjustRightInd/>
              <w:snapToGrid/>
              <w:spacing w:line="240" w:lineRule="auto"/>
              <w:ind w:firstLineChars="0" w:firstLine="0"/>
              <w:jc w:val="center"/>
              <w:rPr>
                <w:color w:val="000000"/>
                <w:sz w:val="18"/>
              </w:rPr>
            </w:pPr>
            <w:r w:rsidRPr="00A72792">
              <w:rPr>
                <w:rFonts w:hint="eastAsia"/>
                <w:color w:val="000000"/>
                <w:sz w:val="18"/>
              </w:rPr>
              <w:t>Correlation Matrix</w:t>
            </w:r>
          </w:p>
        </w:tc>
        <w:tc>
          <w:tcPr>
            <w:tcW w:w="1046" w:type="dxa"/>
            <w:tcBorders>
              <w:top w:val="single" w:sz="8" w:space="0" w:color="auto"/>
              <w:left w:val="nil"/>
              <w:bottom w:val="single" w:sz="4"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规模</w:t>
            </w:r>
          </w:p>
        </w:tc>
        <w:tc>
          <w:tcPr>
            <w:tcW w:w="1135" w:type="dxa"/>
            <w:tcBorders>
              <w:top w:val="single" w:sz="8" w:space="0" w:color="auto"/>
              <w:left w:val="nil"/>
              <w:bottom w:val="single" w:sz="4"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关联性</w:t>
            </w:r>
          </w:p>
        </w:tc>
        <w:tc>
          <w:tcPr>
            <w:tcW w:w="1194" w:type="dxa"/>
            <w:tcBorders>
              <w:top w:val="single" w:sz="8" w:space="0" w:color="auto"/>
              <w:left w:val="nil"/>
              <w:bottom w:val="single" w:sz="4"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可代替性</w:t>
            </w:r>
          </w:p>
        </w:tc>
        <w:tc>
          <w:tcPr>
            <w:tcW w:w="1194" w:type="dxa"/>
            <w:tcBorders>
              <w:top w:val="single" w:sz="8" w:space="0" w:color="auto"/>
              <w:left w:val="nil"/>
              <w:bottom w:val="single" w:sz="4"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复杂性</w:t>
            </w:r>
          </w:p>
        </w:tc>
        <w:tc>
          <w:tcPr>
            <w:tcW w:w="1194" w:type="dxa"/>
            <w:tcBorders>
              <w:top w:val="single" w:sz="8" w:space="0" w:color="auto"/>
              <w:left w:val="nil"/>
              <w:bottom w:val="single" w:sz="4"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国民信心</w:t>
            </w:r>
          </w:p>
        </w:tc>
        <w:tc>
          <w:tcPr>
            <w:tcW w:w="952" w:type="dxa"/>
            <w:tcBorders>
              <w:top w:val="single" w:sz="8" w:space="0" w:color="auto"/>
              <w:left w:val="nil"/>
              <w:bottom w:val="single" w:sz="4"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总得分</w:t>
            </w:r>
          </w:p>
        </w:tc>
      </w:tr>
      <w:tr w:rsidR="00A72792" w:rsidRPr="00A72792" w:rsidTr="00A72792">
        <w:trPr>
          <w:trHeight w:val="270"/>
        </w:trPr>
        <w:tc>
          <w:tcPr>
            <w:tcW w:w="10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规模</w:t>
            </w:r>
          </w:p>
        </w:tc>
        <w:tc>
          <w:tcPr>
            <w:tcW w:w="1046"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1</w:t>
            </w:r>
          </w:p>
        </w:tc>
        <w:tc>
          <w:tcPr>
            <w:tcW w:w="1135"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c>
          <w:tcPr>
            <w:tcW w:w="952"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r>
      <w:tr w:rsidR="00A72792" w:rsidRPr="00A72792" w:rsidTr="00A72792">
        <w:trPr>
          <w:trHeight w:val="270"/>
        </w:trPr>
        <w:tc>
          <w:tcPr>
            <w:tcW w:w="10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ascii="宋体" w:hAnsi="宋体" w:cs="宋体"/>
                <w:color w:val="000000"/>
                <w:sz w:val="18"/>
              </w:rPr>
            </w:pPr>
            <w:r w:rsidRPr="00A72792">
              <w:rPr>
                <w:rFonts w:hint="eastAsia"/>
                <w:color w:val="000000"/>
                <w:sz w:val="18"/>
              </w:rPr>
              <w:t>关联性</w:t>
            </w:r>
          </w:p>
        </w:tc>
        <w:tc>
          <w:tcPr>
            <w:tcW w:w="1046"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0.917647</w:t>
            </w:r>
          </w:p>
        </w:tc>
        <w:tc>
          <w:tcPr>
            <w:tcW w:w="1135"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1</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c>
          <w:tcPr>
            <w:tcW w:w="952"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r>
      <w:tr w:rsidR="00A72792" w:rsidRPr="00A72792" w:rsidTr="00A72792">
        <w:trPr>
          <w:trHeight w:val="270"/>
        </w:trPr>
        <w:tc>
          <w:tcPr>
            <w:tcW w:w="10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ascii="宋体" w:hAnsi="宋体" w:cs="宋体"/>
                <w:color w:val="000000"/>
                <w:sz w:val="18"/>
              </w:rPr>
            </w:pPr>
            <w:r w:rsidRPr="00A72792">
              <w:rPr>
                <w:rFonts w:hint="eastAsia"/>
                <w:color w:val="000000"/>
                <w:sz w:val="18"/>
              </w:rPr>
              <w:t>可代替性</w:t>
            </w:r>
          </w:p>
        </w:tc>
        <w:tc>
          <w:tcPr>
            <w:tcW w:w="1046"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0.952941</w:t>
            </w:r>
          </w:p>
        </w:tc>
        <w:tc>
          <w:tcPr>
            <w:tcW w:w="1135"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0.902941</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1</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c>
          <w:tcPr>
            <w:tcW w:w="952"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r>
      <w:tr w:rsidR="00A72792" w:rsidRPr="00A72792" w:rsidTr="00A72792">
        <w:trPr>
          <w:trHeight w:val="270"/>
        </w:trPr>
        <w:tc>
          <w:tcPr>
            <w:tcW w:w="10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ascii="宋体" w:hAnsi="宋体" w:cs="宋体"/>
                <w:color w:val="000000"/>
                <w:sz w:val="18"/>
              </w:rPr>
            </w:pPr>
            <w:r w:rsidRPr="00A72792">
              <w:rPr>
                <w:rFonts w:hint="eastAsia"/>
                <w:color w:val="000000"/>
                <w:sz w:val="18"/>
              </w:rPr>
              <w:t>复杂性</w:t>
            </w:r>
          </w:p>
        </w:tc>
        <w:tc>
          <w:tcPr>
            <w:tcW w:w="1046"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0.952941</w:t>
            </w:r>
          </w:p>
        </w:tc>
        <w:tc>
          <w:tcPr>
            <w:tcW w:w="1135"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0.902941</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1</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1</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p>
        </w:tc>
        <w:tc>
          <w:tcPr>
            <w:tcW w:w="952"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eastAsia="Times New Roman" w:cs="Times New Roman"/>
                <w:sz w:val="18"/>
                <w:szCs w:val="20"/>
              </w:rPr>
            </w:pPr>
          </w:p>
        </w:tc>
      </w:tr>
      <w:tr w:rsidR="00A72792" w:rsidRPr="00A72792" w:rsidTr="00A72792">
        <w:trPr>
          <w:trHeight w:val="270"/>
        </w:trPr>
        <w:tc>
          <w:tcPr>
            <w:tcW w:w="10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ascii="宋体" w:hAnsi="宋体" w:cs="宋体"/>
                <w:color w:val="000000"/>
                <w:sz w:val="18"/>
              </w:rPr>
            </w:pPr>
            <w:r w:rsidRPr="00A72792">
              <w:rPr>
                <w:rFonts w:hint="eastAsia"/>
                <w:color w:val="000000"/>
                <w:sz w:val="18"/>
              </w:rPr>
              <w:lastRenderedPageBreak/>
              <w:t>国民信心</w:t>
            </w:r>
          </w:p>
        </w:tc>
        <w:tc>
          <w:tcPr>
            <w:tcW w:w="1046"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0.908824</w:t>
            </w:r>
          </w:p>
        </w:tc>
        <w:tc>
          <w:tcPr>
            <w:tcW w:w="1135"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0.958824</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0.905882</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0.905882</w:t>
            </w:r>
          </w:p>
        </w:tc>
        <w:tc>
          <w:tcPr>
            <w:tcW w:w="1194"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1</w:t>
            </w:r>
          </w:p>
        </w:tc>
        <w:tc>
          <w:tcPr>
            <w:tcW w:w="952" w:type="dxa"/>
            <w:tcBorders>
              <w:top w:val="nil"/>
              <w:left w:val="nil"/>
              <w:bottom w:val="nil"/>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p>
        </w:tc>
      </w:tr>
      <w:tr w:rsidR="00A72792" w:rsidRPr="00A72792" w:rsidTr="00A72792">
        <w:trPr>
          <w:trHeight w:val="285"/>
        </w:trPr>
        <w:tc>
          <w:tcPr>
            <w:tcW w:w="1094" w:type="dxa"/>
            <w:tcBorders>
              <w:top w:val="nil"/>
              <w:left w:val="nil"/>
              <w:bottom w:val="single" w:sz="8" w:space="0" w:color="auto"/>
              <w:right w:val="nil"/>
            </w:tcBorders>
            <w:shd w:val="clear" w:color="auto" w:fill="auto"/>
            <w:noWrap/>
            <w:vAlign w:val="center"/>
            <w:hideMark/>
          </w:tcPr>
          <w:p w:rsidR="00A72792" w:rsidRPr="00A72792" w:rsidRDefault="00A72792" w:rsidP="00A72792">
            <w:pPr>
              <w:ind w:firstLine="360"/>
              <w:jc w:val="center"/>
              <w:rPr>
                <w:rFonts w:ascii="宋体" w:hAnsi="宋体" w:cs="宋体"/>
                <w:color w:val="000000"/>
                <w:sz w:val="18"/>
              </w:rPr>
            </w:pPr>
            <w:r w:rsidRPr="00A72792">
              <w:rPr>
                <w:rFonts w:hint="eastAsia"/>
                <w:color w:val="000000"/>
                <w:sz w:val="18"/>
              </w:rPr>
              <w:t>总得分</w:t>
            </w:r>
          </w:p>
        </w:tc>
        <w:tc>
          <w:tcPr>
            <w:tcW w:w="1046" w:type="dxa"/>
            <w:tcBorders>
              <w:top w:val="nil"/>
              <w:left w:val="nil"/>
              <w:bottom w:val="single" w:sz="8"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0.967647</w:t>
            </w:r>
          </w:p>
        </w:tc>
        <w:tc>
          <w:tcPr>
            <w:tcW w:w="1135" w:type="dxa"/>
            <w:tcBorders>
              <w:top w:val="nil"/>
              <w:left w:val="nil"/>
              <w:bottom w:val="single" w:sz="8"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0.961765</w:t>
            </w:r>
          </w:p>
        </w:tc>
        <w:tc>
          <w:tcPr>
            <w:tcW w:w="1194" w:type="dxa"/>
            <w:tcBorders>
              <w:top w:val="nil"/>
              <w:left w:val="nil"/>
              <w:bottom w:val="single" w:sz="8"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0.976471</w:t>
            </w:r>
          </w:p>
        </w:tc>
        <w:tc>
          <w:tcPr>
            <w:tcW w:w="1194" w:type="dxa"/>
            <w:tcBorders>
              <w:top w:val="nil"/>
              <w:left w:val="nil"/>
              <w:bottom w:val="single" w:sz="8"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0.976471</w:t>
            </w:r>
          </w:p>
        </w:tc>
        <w:tc>
          <w:tcPr>
            <w:tcW w:w="1194" w:type="dxa"/>
            <w:tcBorders>
              <w:top w:val="nil"/>
              <w:left w:val="nil"/>
              <w:bottom w:val="single" w:sz="8"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0.941176</w:t>
            </w:r>
          </w:p>
        </w:tc>
        <w:tc>
          <w:tcPr>
            <w:tcW w:w="952" w:type="dxa"/>
            <w:tcBorders>
              <w:top w:val="nil"/>
              <w:left w:val="nil"/>
              <w:bottom w:val="single" w:sz="8" w:space="0" w:color="auto"/>
              <w:right w:val="nil"/>
            </w:tcBorders>
            <w:shd w:val="clear" w:color="auto" w:fill="auto"/>
            <w:noWrap/>
            <w:vAlign w:val="center"/>
            <w:hideMark/>
          </w:tcPr>
          <w:p w:rsidR="00A72792" w:rsidRPr="00A72792" w:rsidRDefault="00A72792" w:rsidP="00A72792">
            <w:pPr>
              <w:ind w:firstLine="360"/>
              <w:jc w:val="center"/>
              <w:rPr>
                <w:rFonts w:hint="eastAsia"/>
                <w:color w:val="000000"/>
                <w:sz w:val="18"/>
              </w:rPr>
            </w:pPr>
            <w:r w:rsidRPr="00A72792">
              <w:rPr>
                <w:rFonts w:hint="eastAsia"/>
                <w:color w:val="000000"/>
                <w:sz w:val="18"/>
              </w:rPr>
              <w:t>1</w:t>
            </w:r>
          </w:p>
        </w:tc>
      </w:tr>
    </w:tbl>
    <w:p w:rsidR="00F06E74" w:rsidRDefault="00F06E74" w:rsidP="00F06E74">
      <w:pPr>
        <w:ind w:firstLine="480"/>
      </w:pPr>
    </w:p>
    <w:p w:rsidR="00F06E74" w:rsidRDefault="00F06E74" w:rsidP="00F06E74">
      <w:pPr>
        <w:ind w:firstLine="480"/>
      </w:pPr>
      <w:r>
        <w:rPr>
          <w:rFonts w:hint="eastAsia"/>
        </w:rPr>
        <w:t>为识别系统重要性银行以及可能发展为系统重要性的银行，将</w:t>
      </w:r>
      <w:r>
        <w:rPr>
          <w:rFonts w:hint="eastAsia"/>
        </w:rPr>
        <w:t>16</w:t>
      </w:r>
      <w:r>
        <w:rPr>
          <w:rFonts w:hint="eastAsia"/>
        </w:rPr>
        <w:t>家银行分为三类：第一类为系统重要性银行，第二类为有可能发展为系统重要性的银行，第三类为非系统重要性银行。根据各银行系统重要性得分，利用系统聚类法，分类结果为：</w:t>
      </w:r>
    </w:p>
    <w:p w:rsidR="00F06E74" w:rsidRDefault="00F06E74" w:rsidP="00F06E74">
      <w:pPr>
        <w:ind w:firstLine="480"/>
      </w:pPr>
      <w:r>
        <w:rPr>
          <w:rFonts w:hint="eastAsia"/>
        </w:rPr>
        <w:t>第一类：中国工商银行、中国银行、中国农业银行、中国建设银行。</w:t>
      </w:r>
    </w:p>
    <w:p w:rsidR="00F06E74" w:rsidRDefault="00F06E74" w:rsidP="00F06E74">
      <w:pPr>
        <w:ind w:firstLine="480"/>
      </w:pPr>
      <w:r>
        <w:rPr>
          <w:rFonts w:hint="eastAsia"/>
        </w:rPr>
        <w:t>第二类：中国交通银行、招商银行、兴业银行、浦东发展银行、光大银行、中信银行、民生银行。</w:t>
      </w:r>
    </w:p>
    <w:p w:rsidR="00F06E74" w:rsidRDefault="00F06E74" w:rsidP="00F06E74">
      <w:pPr>
        <w:ind w:firstLine="480"/>
      </w:pPr>
      <w:r>
        <w:rPr>
          <w:rFonts w:hint="eastAsia"/>
        </w:rPr>
        <w:t>第三类：北京银行、华夏银行、深圳发展银行、南京银行和宁波银行。</w:t>
      </w:r>
    </w:p>
    <w:p w:rsidR="00F06E74" w:rsidRDefault="00F06E74" w:rsidP="00F06E74">
      <w:pPr>
        <w:ind w:firstLine="480"/>
      </w:pPr>
      <w:r>
        <w:rPr>
          <w:rFonts w:hint="eastAsia"/>
        </w:rPr>
        <w:t xml:space="preserve"> </w:t>
      </w:r>
      <w:r>
        <w:rPr>
          <w:rFonts w:hint="eastAsia"/>
        </w:rPr>
        <w:t>图</w:t>
      </w:r>
      <w:r>
        <w:rPr>
          <w:rFonts w:hint="eastAsia"/>
        </w:rPr>
        <w:t xml:space="preserve">1               </w:t>
      </w:r>
      <w:r>
        <w:rPr>
          <w:rFonts w:hint="eastAsia"/>
        </w:rPr>
        <w:t>中国系统重要性银行聚类分析图（</w:t>
      </w:r>
      <w:r>
        <w:rPr>
          <w:rFonts w:hint="eastAsia"/>
        </w:rPr>
        <w:t>201</w:t>
      </w:r>
      <w:r w:rsidR="00A72792">
        <w:t>4</w:t>
      </w:r>
      <w:r>
        <w:rPr>
          <w:rFonts w:hint="eastAsia"/>
        </w:rPr>
        <w:t>年年底）</w:t>
      </w:r>
    </w:p>
    <w:p w:rsidR="00F06E74" w:rsidRDefault="00A72792" w:rsidP="00F06E74">
      <w:pPr>
        <w:ind w:firstLine="480"/>
      </w:pPr>
      <w:r>
        <w:rPr>
          <w:noProof/>
        </w:rPr>
        <w:drawing>
          <wp:inline distT="0" distB="0" distL="0" distR="0" wp14:anchorId="671B9206" wp14:editId="4B89EFAC">
            <wp:extent cx="5274310" cy="3752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52850"/>
                    </a:xfrm>
                    <a:prstGeom prst="rect">
                      <a:avLst/>
                    </a:prstGeom>
                  </pic:spPr>
                </pic:pic>
              </a:graphicData>
            </a:graphic>
          </wp:inline>
        </w:drawing>
      </w:r>
    </w:p>
    <w:p w:rsidR="00F06E74" w:rsidRDefault="00F06E74" w:rsidP="00F06E74">
      <w:pPr>
        <w:ind w:firstLine="480"/>
      </w:pPr>
      <w:r>
        <w:rPr>
          <w:rFonts w:hint="eastAsia"/>
        </w:rPr>
        <w:t>根据聚类分析图可知，第一类为系统重要性银行，即四大国有商业银行。其中，中国工商银行系统重要性最高，其他依次分别为中国银行、中国农业银行和中国建设银行。从总得分水平来看，这四家银行系统重要性得分都较高，可以采用统一的附加监管要求。系统重要性银行的监管中，应重点关注不同系统重要性</w:t>
      </w:r>
      <w:r>
        <w:rPr>
          <w:rFonts w:hint="eastAsia"/>
        </w:rPr>
        <w:lastRenderedPageBreak/>
        <w:t>银行的系统性风险来源，针对不同的风险来源采取相应的监管和防范措施。中国工商银行的系统重要性主要来源于其规模、可替代性、复杂性与国民信心四个指标，除可替代性得分与中国建设银行相当，其他得分都远高于其他银行相应指标的得分，若其发生危机，不仅会造成信贷服务的巨大缺口，还对公众对银行业的信心影响最大。中国银行的系统重要性主要来源于关联性，若其发生危机，会产生较大的风险外溢效应，倒闭时也很难处置。</w:t>
      </w:r>
    </w:p>
    <w:p w:rsidR="00F06E74" w:rsidRDefault="00F06E74" w:rsidP="00F06E74">
      <w:pPr>
        <w:ind w:firstLine="480"/>
      </w:pPr>
      <w:r>
        <w:rPr>
          <w:rFonts w:hint="eastAsia"/>
        </w:rPr>
        <w:t>第二类银行为具有系统重要性潜力的银行。如中国交通银行，虽然其系统重要性得分为</w:t>
      </w:r>
      <w:r>
        <w:rPr>
          <w:rFonts w:hint="eastAsia"/>
        </w:rPr>
        <w:t>0. 324</w:t>
      </w:r>
      <w:r>
        <w:rPr>
          <w:rFonts w:hint="eastAsia"/>
        </w:rPr>
        <w:t>，远小于系统重要性银行的得分，但是其关联性得分接近中国建设银行。若中国交通银行发生危机，可能会对金融系统的稳定有一定程度的冲击。而且，随着交通银行的规模不断壮大，将来很可能会发展成为系统重要性银行。</w:t>
      </w:r>
    </w:p>
    <w:p w:rsidR="00F06E74" w:rsidRDefault="00F06E74" w:rsidP="00F06E74">
      <w:pPr>
        <w:ind w:firstLine="480"/>
      </w:pPr>
      <w:r>
        <w:rPr>
          <w:rFonts w:hint="eastAsia"/>
        </w:rPr>
        <w:t>第三类银行则为非系统重要性银行，银监会以及政府应为这些银行提供良好的发展环境，促进它们的快速发展，这样也会降低系统重要性银行的系统重要性。</w:t>
      </w:r>
    </w:p>
    <w:p w:rsidR="00F06E74" w:rsidRDefault="00F06E74" w:rsidP="00F06E74">
      <w:pPr>
        <w:ind w:firstLine="480"/>
      </w:pPr>
      <w:r>
        <w:rPr>
          <w:rFonts w:hint="eastAsia"/>
        </w:rPr>
        <w:t>由上述分析，上市银行的规模、关联性、复杂性和可替代性和国民信心是系统重要性银行评估的主要影响因素，其中金融系统内资产与金融系统内负债是最重要的关联性指标，交易性资产和可供出售资产是最重要的复杂性指标。资产规模与系统重要性的相关程度较高，因此，监管部门在对系统重要性银行进行评估时，银行资产规模需要十分关注，同时，关联性尤其是银行间的资产负债关联程度也很重要，若单一的以资产规模作为评判标准，可能诱发道德风险行为，即银行在控制资产规模的情况下通过扩大银行间负债等方式，进行监管套利。因此，根据实际情况和研究的目的，建立全面完整的评估指标体系，才能准确评估金融机构在该系统内的系统重要性。</w:t>
      </w:r>
    </w:p>
    <w:p w:rsidR="00D17BB3" w:rsidRPr="00F06E74" w:rsidRDefault="00D17BB3">
      <w:pPr>
        <w:ind w:firstLine="480"/>
      </w:pPr>
    </w:p>
    <w:sectPr w:rsidR="00D17BB3" w:rsidRPr="00F06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F06" w:rsidRDefault="006D2F06" w:rsidP="00F06E74">
      <w:pPr>
        <w:spacing w:line="240" w:lineRule="auto"/>
        <w:ind w:firstLine="480"/>
      </w:pPr>
      <w:r>
        <w:separator/>
      </w:r>
    </w:p>
  </w:endnote>
  <w:endnote w:type="continuationSeparator" w:id="0">
    <w:p w:rsidR="006D2F06" w:rsidRDefault="006D2F06" w:rsidP="00F06E7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F06" w:rsidRDefault="006D2F06" w:rsidP="00F06E74">
      <w:pPr>
        <w:spacing w:line="240" w:lineRule="auto"/>
        <w:ind w:firstLine="480"/>
      </w:pPr>
      <w:r>
        <w:separator/>
      </w:r>
    </w:p>
  </w:footnote>
  <w:footnote w:type="continuationSeparator" w:id="0">
    <w:p w:rsidR="006D2F06" w:rsidRDefault="006D2F06" w:rsidP="00F06E74">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28"/>
    <w:rsid w:val="006D2F06"/>
    <w:rsid w:val="00936B71"/>
    <w:rsid w:val="00A60228"/>
    <w:rsid w:val="00A72792"/>
    <w:rsid w:val="00D17BB3"/>
    <w:rsid w:val="00F06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8D36B8-C205-4841-A9A8-FA35C83F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E74"/>
    <w:pPr>
      <w:adjustRightInd w:val="0"/>
      <w:snapToGrid w:val="0"/>
      <w:spacing w:line="360" w:lineRule="auto"/>
      <w:ind w:firstLineChars="200" w:firstLine="200"/>
      <w:jc w:val="both"/>
    </w:pPr>
    <w:rPr>
      <w:rFonts w:ascii="Times New Roman" w:eastAsia="宋体" w:hAnsi="Times New Roman"/>
      <w:kern w:val="0"/>
      <w:sz w:val="24"/>
    </w:rPr>
  </w:style>
  <w:style w:type="paragraph" w:styleId="3">
    <w:name w:val="heading 3"/>
    <w:basedOn w:val="a"/>
    <w:next w:val="a"/>
    <w:link w:val="3Char"/>
    <w:uiPriority w:val="3"/>
    <w:qFormat/>
    <w:rsid w:val="00F06E74"/>
    <w:pPr>
      <w:keepNext/>
      <w:keepLines/>
      <w:spacing w:before="140" w:after="100"/>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6E74"/>
    <w:pPr>
      <w:widowControl w:val="0"/>
      <w:pBdr>
        <w:bottom w:val="single" w:sz="6" w:space="1" w:color="auto"/>
      </w:pBdr>
      <w:tabs>
        <w:tab w:val="center" w:pos="4153"/>
        <w:tab w:val="right" w:pos="8306"/>
      </w:tabs>
      <w:adjustRightInd/>
      <w:spacing w:line="240" w:lineRule="auto"/>
      <w:ind w:firstLineChars="0" w:firstLine="0"/>
      <w:jc w:val="center"/>
    </w:pPr>
    <w:rPr>
      <w:rFonts w:asciiTheme="minorHAnsi" w:eastAsiaTheme="minorEastAsia" w:hAnsiTheme="minorHAnsi"/>
      <w:kern w:val="2"/>
      <w:sz w:val="18"/>
      <w:szCs w:val="18"/>
    </w:rPr>
  </w:style>
  <w:style w:type="character" w:customStyle="1" w:styleId="Char">
    <w:name w:val="页眉 Char"/>
    <w:basedOn w:val="a0"/>
    <w:link w:val="a3"/>
    <w:uiPriority w:val="99"/>
    <w:rsid w:val="00F06E74"/>
    <w:rPr>
      <w:sz w:val="18"/>
      <w:szCs w:val="18"/>
    </w:rPr>
  </w:style>
  <w:style w:type="paragraph" w:styleId="a4">
    <w:name w:val="footer"/>
    <w:basedOn w:val="a"/>
    <w:link w:val="Char0"/>
    <w:uiPriority w:val="99"/>
    <w:unhideWhenUsed/>
    <w:rsid w:val="00F06E74"/>
    <w:pPr>
      <w:widowControl w:val="0"/>
      <w:tabs>
        <w:tab w:val="center" w:pos="4153"/>
        <w:tab w:val="right" w:pos="8306"/>
      </w:tabs>
      <w:adjustRightInd/>
      <w:spacing w:line="240" w:lineRule="auto"/>
      <w:ind w:firstLineChars="0" w:firstLine="0"/>
      <w:jc w:val="left"/>
    </w:pPr>
    <w:rPr>
      <w:rFonts w:asciiTheme="minorHAnsi" w:eastAsiaTheme="minorEastAsia" w:hAnsiTheme="minorHAnsi"/>
      <w:kern w:val="2"/>
      <w:sz w:val="18"/>
      <w:szCs w:val="18"/>
    </w:rPr>
  </w:style>
  <w:style w:type="character" w:customStyle="1" w:styleId="Char0">
    <w:name w:val="页脚 Char"/>
    <w:basedOn w:val="a0"/>
    <w:link w:val="a4"/>
    <w:uiPriority w:val="99"/>
    <w:rsid w:val="00F06E74"/>
    <w:rPr>
      <w:sz w:val="18"/>
      <w:szCs w:val="18"/>
    </w:rPr>
  </w:style>
  <w:style w:type="character" w:customStyle="1" w:styleId="3Char">
    <w:name w:val="标题 3 Char"/>
    <w:basedOn w:val="a0"/>
    <w:link w:val="3"/>
    <w:uiPriority w:val="3"/>
    <w:rsid w:val="00F06E74"/>
    <w:rPr>
      <w:rFonts w:ascii="Times New Roman" w:eastAsia="黑体" w:hAnsi="Times New Roman"/>
      <w:b/>
      <w:bCs/>
      <w:kern w:val="0"/>
      <w:sz w:val="24"/>
      <w:szCs w:val="32"/>
    </w:rPr>
  </w:style>
  <w:style w:type="table" w:styleId="2">
    <w:name w:val="Plain Table 2"/>
    <w:basedOn w:val="a1"/>
    <w:uiPriority w:val="42"/>
    <w:rsid w:val="00A727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40529">
      <w:bodyDiv w:val="1"/>
      <w:marLeft w:val="0"/>
      <w:marRight w:val="0"/>
      <w:marTop w:val="0"/>
      <w:marBottom w:val="0"/>
      <w:divBdr>
        <w:top w:val="none" w:sz="0" w:space="0" w:color="auto"/>
        <w:left w:val="none" w:sz="0" w:space="0" w:color="auto"/>
        <w:bottom w:val="none" w:sz="0" w:space="0" w:color="auto"/>
        <w:right w:val="none" w:sz="0" w:space="0" w:color="auto"/>
      </w:divBdr>
    </w:div>
    <w:div w:id="751900453">
      <w:bodyDiv w:val="1"/>
      <w:marLeft w:val="0"/>
      <w:marRight w:val="0"/>
      <w:marTop w:val="0"/>
      <w:marBottom w:val="0"/>
      <w:divBdr>
        <w:top w:val="none" w:sz="0" w:space="0" w:color="auto"/>
        <w:left w:val="none" w:sz="0" w:space="0" w:color="auto"/>
        <w:bottom w:val="none" w:sz="0" w:space="0" w:color="auto"/>
        <w:right w:val="none" w:sz="0" w:space="0" w:color="auto"/>
      </w:divBdr>
    </w:div>
    <w:div w:id="1411806661">
      <w:bodyDiv w:val="1"/>
      <w:marLeft w:val="0"/>
      <w:marRight w:val="0"/>
      <w:marTop w:val="0"/>
      <w:marBottom w:val="0"/>
      <w:divBdr>
        <w:top w:val="none" w:sz="0" w:space="0" w:color="auto"/>
        <w:left w:val="none" w:sz="0" w:space="0" w:color="auto"/>
        <w:bottom w:val="none" w:sz="0" w:space="0" w:color="auto"/>
        <w:right w:val="none" w:sz="0" w:space="0" w:color="auto"/>
      </w:divBdr>
    </w:div>
    <w:div w:id="1626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Nie</dc:creator>
  <cp:keywords/>
  <dc:description/>
  <cp:lastModifiedBy>Administrator</cp:lastModifiedBy>
  <cp:revision>3</cp:revision>
  <dcterms:created xsi:type="dcterms:W3CDTF">2016-03-03T11:31:00Z</dcterms:created>
  <dcterms:modified xsi:type="dcterms:W3CDTF">2016-03-03T13:23:00Z</dcterms:modified>
</cp:coreProperties>
</file>