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UNIR31"/>
        <w:tblW w:w="0" w:type="auto"/>
        <w:jc w:val="center"/>
        <w:tblInd w:w="0" w:type="dxa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552"/>
        <w:gridCol w:w="3827"/>
        <w:gridCol w:w="1831"/>
      </w:tblGrid>
      <w:tr w:rsidR="000148B2" w:rsidRPr="000049BB" w14:paraId="1791B94A" w14:textId="77777777" w:rsidTr="006B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tcW w:w="2552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hideMark/>
          </w:tcPr>
          <w:p w14:paraId="71DBBAF5" w14:textId="77777777" w:rsidR="000148B2" w:rsidRPr="000049BB" w:rsidRDefault="000148B2" w:rsidP="006B01A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color w:val="0098CD"/>
                <w:sz w:val="22"/>
                <w:szCs w:val="22"/>
              </w:rPr>
            </w:pPr>
            <w:r w:rsidRPr="000049BB">
              <w:rPr>
                <w:rFonts w:ascii="Arial" w:hAnsi="Arial" w:cs="Arial"/>
                <w:color w:val="0098CD"/>
                <w:sz w:val="22"/>
                <w:szCs w:val="22"/>
              </w:rPr>
              <w:t>Asignatura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5A03820" w14:textId="77777777" w:rsidR="000148B2" w:rsidRPr="000049BB" w:rsidRDefault="000148B2" w:rsidP="006B01A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color w:val="0098CD"/>
                <w:sz w:val="22"/>
                <w:szCs w:val="22"/>
              </w:rPr>
            </w:pPr>
            <w:r w:rsidRPr="000049BB">
              <w:rPr>
                <w:rFonts w:ascii="Arial" w:hAnsi="Arial" w:cs="Arial"/>
                <w:color w:val="0098CD"/>
                <w:sz w:val="22"/>
                <w:szCs w:val="22"/>
              </w:rPr>
              <w:t>Datos del alumno</w:t>
            </w:r>
          </w:p>
        </w:tc>
        <w:tc>
          <w:tcPr>
            <w:tcW w:w="18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hideMark/>
          </w:tcPr>
          <w:p w14:paraId="3E95E57D" w14:textId="77777777" w:rsidR="000148B2" w:rsidRPr="000049BB" w:rsidRDefault="000148B2" w:rsidP="006B01A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color w:val="0098CD"/>
                <w:sz w:val="22"/>
                <w:szCs w:val="22"/>
              </w:rPr>
            </w:pPr>
            <w:r w:rsidRPr="000049BB">
              <w:rPr>
                <w:rFonts w:ascii="Arial" w:hAnsi="Arial" w:cs="Arial"/>
                <w:color w:val="0098CD"/>
                <w:sz w:val="22"/>
                <w:szCs w:val="22"/>
              </w:rPr>
              <w:t>Fecha</w:t>
            </w:r>
          </w:p>
        </w:tc>
      </w:tr>
      <w:tr w:rsidR="000148B2" w:rsidRPr="000049BB" w14:paraId="72695E1C" w14:textId="77777777" w:rsidTr="006B01A4">
        <w:trPr>
          <w:trHeight w:val="342"/>
          <w:jc w:val="center"/>
        </w:trPr>
        <w:tc>
          <w:tcPr>
            <w:tcW w:w="2552" w:type="dxa"/>
            <w:vMerge w:val="restart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hideMark/>
          </w:tcPr>
          <w:p w14:paraId="4C7E0D4B" w14:textId="5FE56CB2" w:rsidR="000148B2" w:rsidRPr="000049BB" w:rsidRDefault="000148B2" w:rsidP="006B01A4">
            <w:pPr>
              <w:jc w:val="center"/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0049BB">
              <w:rPr>
                <w:rFonts w:ascii="Arial" w:hAnsi="Arial" w:cs="Arial"/>
                <w:b/>
                <w:bCs/>
                <w:sz w:val="22"/>
                <w:szCs w:val="28"/>
              </w:rPr>
              <w:t>Modelos de Valoración y Riesgo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AD0E60B" w14:textId="77777777" w:rsidR="000148B2" w:rsidRPr="000049BB" w:rsidRDefault="000148B2" w:rsidP="006B01A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8"/>
              </w:rPr>
            </w:pPr>
            <w:r w:rsidRPr="000049BB">
              <w:rPr>
                <w:rFonts w:ascii="Arial" w:hAnsi="Arial" w:cs="Arial"/>
                <w:sz w:val="22"/>
                <w:szCs w:val="28"/>
              </w:rPr>
              <w:t>Apellidos: Enríquez Eguiguren</w:t>
            </w:r>
          </w:p>
        </w:tc>
        <w:tc>
          <w:tcPr>
            <w:tcW w:w="1831" w:type="dxa"/>
            <w:vMerge w:val="restar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</w:tcPr>
          <w:p w14:paraId="5B15E7C5" w14:textId="50E8E775" w:rsidR="000148B2" w:rsidRPr="000049BB" w:rsidRDefault="000148B2" w:rsidP="006B01A4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0049BB">
              <w:rPr>
                <w:rFonts w:ascii="Arial" w:hAnsi="Arial" w:cs="Arial"/>
                <w:sz w:val="22"/>
                <w:szCs w:val="28"/>
              </w:rPr>
              <w:t>20/12/2021</w:t>
            </w:r>
          </w:p>
        </w:tc>
      </w:tr>
      <w:tr w:rsidR="000148B2" w:rsidRPr="000049BB" w14:paraId="63BD918A" w14:textId="77777777" w:rsidTr="006B01A4">
        <w:trPr>
          <w:trHeight w:val="342"/>
          <w:jc w:val="center"/>
        </w:trPr>
        <w:tc>
          <w:tcPr>
            <w:tcW w:w="0" w:type="auto"/>
            <w:vMerge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hideMark/>
          </w:tcPr>
          <w:p w14:paraId="4F4C4771" w14:textId="77777777" w:rsidR="000148B2" w:rsidRPr="000049BB" w:rsidRDefault="000148B2" w:rsidP="006B01A4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3C5D89DA" w14:textId="77777777" w:rsidR="000148B2" w:rsidRPr="000049BB" w:rsidRDefault="000148B2" w:rsidP="006B01A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2"/>
                <w:szCs w:val="28"/>
              </w:rPr>
            </w:pPr>
            <w:r w:rsidRPr="000049BB">
              <w:rPr>
                <w:rFonts w:ascii="Arial" w:hAnsi="Arial" w:cs="Arial"/>
                <w:sz w:val="22"/>
                <w:szCs w:val="28"/>
              </w:rPr>
              <w:t>Nombre: Daniel Esteban</w:t>
            </w:r>
          </w:p>
        </w:tc>
        <w:tc>
          <w:tcPr>
            <w:tcW w:w="0" w:type="auto"/>
            <w:vMerge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hideMark/>
          </w:tcPr>
          <w:p w14:paraId="6B7E34D4" w14:textId="77777777" w:rsidR="000148B2" w:rsidRPr="000049BB" w:rsidRDefault="000148B2" w:rsidP="006B01A4">
            <w:pPr>
              <w:rPr>
                <w:rFonts w:ascii="Arial" w:hAnsi="Arial" w:cs="Arial"/>
                <w:sz w:val="22"/>
                <w:szCs w:val="28"/>
              </w:rPr>
            </w:pPr>
          </w:p>
        </w:tc>
      </w:tr>
    </w:tbl>
    <w:p w14:paraId="453E4240" w14:textId="77777777" w:rsidR="000148B2" w:rsidRPr="000049BB" w:rsidRDefault="000148B2">
      <w:pPr>
        <w:rPr>
          <w:rFonts w:ascii="Arial" w:hAnsi="Arial" w:cs="Arial"/>
          <w:sz w:val="22"/>
          <w:szCs w:val="22"/>
          <w:lang w:val="es-ES"/>
        </w:rPr>
      </w:pPr>
    </w:p>
    <w:p w14:paraId="599EE2C4" w14:textId="1204445B" w:rsidR="000148B2" w:rsidRPr="000049BB" w:rsidRDefault="000148B2">
      <w:pPr>
        <w:rPr>
          <w:rFonts w:ascii="Arial" w:hAnsi="Arial" w:cs="Arial"/>
          <w:lang w:val="es-ES"/>
        </w:rPr>
      </w:pPr>
    </w:p>
    <w:p w14:paraId="6071E5FC" w14:textId="2E416DA4" w:rsidR="000148B2" w:rsidRPr="000049BB" w:rsidRDefault="000148B2" w:rsidP="000148B2">
      <w:pPr>
        <w:rPr>
          <w:rFonts w:ascii="Arial" w:hAnsi="Arial" w:cs="Arial"/>
          <w:b/>
          <w:bCs/>
          <w:sz w:val="22"/>
          <w:szCs w:val="22"/>
        </w:rPr>
      </w:pPr>
      <w:r w:rsidRPr="000049BB">
        <w:rPr>
          <w:rFonts w:ascii="Arial" w:hAnsi="Arial" w:cs="Arial"/>
          <w:b/>
          <w:bCs/>
          <w:sz w:val="22"/>
          <w:szCs w:val="22"/>
        </w:rPr>
        <w:t>Actividad 1. Análisis y valoración de riesgo</w:t>
      </w:r>
    </w:p>
    <w:p w14:paraId="48BF0A29" w14:textId="1F180452" w:rsidR="000148B2" w:rsidRPr="000049BB" w:rsidRDefault="000148B2">
      <w:pPr>
        <w:rPr>
          <w:rFonts w:ascii="Arial" w:hAnsi="Arial" w:cs="Arial"/>
          <w:lang w:val="es-ES"/>
        </w:rPr>
      </w:pPr>
    </w:p>
    <w:p w14:paraId="084D0A49" w14:textId="176EBF48" w:rsidR="00454E90" w:rsidRPr="000049BB" w:rsidRDefault="00454E90" w:rsidP="000049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0049BB">
        <w:rPr>
          <w:rFonts w:ascii="Arial" w:hAnsi="Arial" w:cs="Arial"/>
          <w:sz w:val="22"/>
          <w:szCs w:val="22"/>
          <w:lang w:val="es-ES"/>
        </w:rPr>
        <w:t xml:space="preserve">En este documento se analiza el VaR histórico de tres compañías: Banco Santander (SAN.MC), Deustche Bank (DBK.DE) y Microsoft (MSFT). </w:t>
      </w:r>
      <w:r w:rsidR="00682C52" w:rsidRPr="000049BB">
        <w:rPr>
          <w:rFonts w:ascii="Arial" w:hAnsi="Arial" w:cs="Arial"/>
          <w:sz w:val="22"/>
          <w:szCs w:val="22"/>
          <w:lang w:val="es-ES"/>
        </w:rPr>
        <w:t>Para esto se obtuvo el valor ajustado de cierre de cada acción, posteriormente se calculó el logaritmo de los rendimientos para convertir a la serie en estacionaria, l</w:t>
      </w:r>
      <w:r w:rsidR="00697BAC">
        <w:rPr>
          <w:rFonts w:ascii="Arial" w:hAnsi="Arial" w:cs="Arial"/>
          <w:sz w:val="22"/>
          <w:szCs w:val="22"/>
          <w:lang w:val="es-ES"/>
        </w:rPr>
        <w:t xml:space="preserve">as observaciones faltantes </w:t>
      </w:r>
      <w:r w:rsidR="00682C52" w:rsidRPr="000049BB">
        <w:rPr>
          <w:rFonts w:ascii="Arial" w:hAnsi="Arial" w:cs="Arial"/>
          <w:sz w:val="22"/>
          <w:szCs w:val="22"/>
          <w:lang w:val="es-ES"/>
        </w:rPr>
        <w:t>fueron tratad</w:t>
      </w:r>
      <w:r w:rsidR="00697BAC">
        <w:rPr>
          <w:rFonts w:ascii="Arial" w:hAnsi="Arial" w:cs="Arial"/>
          <w:sz w:val="22"/>
          <w:szCs w:val="22"/>
          <w:lang w:val="es-ES"/>
        </w:rPr>
        <w:t>a</w:t>
      </w:r>
      <w:r w:rsidR="00682C52" w:rsidRPr="000049BB">
        <w:rPr>
          <w:rFonts w:ascii="Arial" w:hAnsi="Arial" w:cs="Arial"/>
          <w:sz w:val="22"/>
          <w:szCs w:val="22"/>
          <w:lang w:val="es-ES"/>
        </w:rPr>
        <w:t xml:space="preserve">s mediante interpolación simple. La limpieza de datos, estadística descriptiva, cálculo del VaR y gráficos se hizo mediante el software R, todo el código que produce este producto final puede verse en el siguiente </w:t>
      </w:r>
      <w:hyperlink r:id="rId6" w:history="1">
        <w:r w:rsidR="000049BB" w:rsidRPr="000049BB">
          <w:rPr>
            <w:rStyle w:val="Hipervnculo"/>
            <w:rFonts w:ascii="Arial" w:hAnsi="Arial" w:cs="Arial"/>
            <w:sz w:val="22"/>
            <w:szCs w:val="22"/>
            <w:lang w:val="es-ES"/>
          </w:rPr>
          <w:t>enlace</w:t>
        </w:r>
        <w:r w:rsidR="00682C52" w:rsidRPr="000049BB">
          <w:rPr>
            <w:rStyle w:val="Hipervnculo"/>
            <w:rFonts w:ascii="Arial" w:hAnsi="Arial" w:cs="Arial"/>
            <w:sz w:val="22"/>
            <w:szCs w:val="22"/>
            <w:lang w:val="es-ES"/>
          </w:rPr>
          <w:t xml:space="preserve"> de GitHub</w:t>
        </w:r>
      </w:hyperlink>
      <w:r w:rsidR="000049BB">
        <w:rPr>
          <w:rFonts w:ascii="Arial" w:hAnsi="Arial" w:cs="Arial"/>
          <w:sz w:val="22"/>
          <w:szCs w:val="22"/>
          <w:lang w:val="es-ES"/>
        </w:rPr>
        <w:t>.</w:t>
      </w:r>
    </w:p>
    <w:p w14:paraId="0520AFFB" w14:textId="77777777" w:rsidR="006B01A4" w:rsidRPr="000049BB" w:rsidRDefault="006B01A4">
      <w:pPr>
        <w:rPr>
          <w:rFonts w:ascii="Arial" w:hAnsi="Arial" w:cs="Arial"/>
          <w:lang w:val="es-ES"/>
        </w:rPr>
      </w:pPr>
    </w:p>
    <w:p w14:paraId="31F14C46" w14:textId="58A9CCBF" w:rsidR="001F12EA" w:rsidRPr="000049BB" w:rsidRDefault="006B01A4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0049BB">
        <w:rPr>
          <w:rFonts w:ascii="Arial" w:hAnsi="Arial" w:cs="Arial"/>
          <w:b/>
          <w:bCs/>
          <w:sz w:val="22"/>
          <w:szCs w:val="22"/>
          <w:lang w:val="es-ES"/>
        </w:rPr>
        <w:t>Banco Santander</w:t>
      </w:r>
    </w:p>
    <w:p w14:paraId="2D27530C" w14:textId="77777777" w:rsidR="006B01A4" w:rsidRPr="000049BB" w:rsidRDefault="006B01A4">
      <w:pPr>
        <w:rPr>
          <w:rFonts w:ascii="Arial" w:hAnsi="Arial" w:cs="Arial"/>
          <w:lang w:val="es-ES"/>
        </w:rPr>
      </w:pPr>
    </w:p>
    <w:p w14:paraId="732161A5" w14:textId="1FB1ACD2" w:rsidR="001F12EA" w:rsidRPr="000049BB" w:rsidRDefault="006B01A4" w:rsidP="000049BB">
      <w:pPr>
        <w:spacing w:line="360" w:lineRule="auto"/>
        <w:rPr>
          <w:rFonts w:ascii="Arial" w:hAnsi="Arial" w:cs="Arial"/>
          <w:b/>
          <w:bCs/>
          <w:i/>
          <w:iCs/>
          <w:sz w:val="15"/>
          <w:szCs w:val="15"/>
          <w:lang w:val="es-ES"/>
        </w:rPr>
      </w:pP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Tabla 1. </w:t>
      </w:r>
    </w:p>
    <w:p w14:paraId="7E3FB8FF" w14:textId="30AB2730" w:rsidR="006B01A4" w:rsidRPr="000049BB" w:rsidRDefault="000049BB" w:rsidP="000049BB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049BB">
        <w:rPr>
          <w:rFonts w:ascii="Arial" w:hAnsi="Arial" w:cs="Arial"/>
          <w:i/>
          <w:iCs/>
          <w:sz w:val="20"/>
          <w:szCs w:val="20"/>
          <w:lang w:val="es-ES"/>
        </w:rPr>
        <w:t>Estadística descriptiva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rendimientos de</w:t>
      </w:r>
      <w:r w:rsidRPr="000049BB">
        <w:rPr>
          <w:rFonts w:ascii="Arial" w:hAnsi="Arial" w:cs="Arial"/>
          <w:i/>
          <w:iCs/>
          <w:sz w:val="20"/>
          <w:szCs w:val="20"/>
          <w:lang w:val="es-ES"/>
        </w:rPr>
        <w:t xml:space="preserve"> SAN.MC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12"/>
      </w:tblGrid>
      <w:tr w:rsidR="006B01A4" w:rsidRPr="000049BB" w14:paraId="21FE27A7" w14:textId="77777777" w:rsidTr="000049BB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F90404C" w14:textId="3066B000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Parámetro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</w:tcPr>
          <w:p w14:paraId="4BFF737C" w14:textId="1C26EA37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Valor</w:t>
            </w:r>
          </w:p>
        </w:tc>
      </w:tr>
      <w:tr w:rsidR="006B01A4" w:rsidRPr="000049BB" w14:paraId="35B31A82" w14:textId="77777777" w:rsidTr="000049BB">
        <w:tc>
          <w:tcPr>
            <w:tcW w:w="3119" w:type="dxa"/>
            <w:tcBorders>
              <w:top w:val="single" w:sz="4" w:space="0" w:color="auto"/>
            </w:tcBorders>
          </w:tcPr>
          <w:p w14:paraId="2E43EFB6" w14:textId="54E10C7E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Media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7F4FDBE0" w14:textId="58A92A32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-0.03%</w:t>
            </w:r>
          </w:p>
        </w:tc>
      </w:tr>
      <w:tr w:rsidR="006B01A4" w:rsidRPr="000049BB" w14:paraId="6F83F1D8" w14:textId="77777777" w:rsidTr="000049BB">
        <w:tc>
          <w:tcPr>
            <w:tcW w:w="3119" w:type="dxa"/>
          </w:tcPr>
          <w:p w14:paraId="330CCA10" w14:textId="6CC493A2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Mediana</w:t>
            </w:r>
          </w:p>
        </w:tc>
        <w:tc>
          <w:tcPr>
            <w:tcW w:w="1412" w:type="dxa"/>
          </w:tcPr>
          <w:p w14:paraId="0CB0A3AE" w14:textId="4C609507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-0.05%</w:t>
            </w:r>
          </w:p>
        </w:tc>
      </w:tr>
      <w:tr w:rsidR="006B01A4" w:rsidRPr="000049BB" w14:paraId="70E92FFF" w14:textId="77777777" w:rsidTr="000049BB">
        <w:tc>
          <w:tcPr>
            <w:tcW w:w="3119" w:type="dxa"/>
          </w:tcPr>
          <w:p w14:paraId="33E1EF0B" w14:textId="30420C07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Moda</w:t>
            </w:r>
          </w:p>
        </w:tc>
        <w:tc>
          <w:tcPr>
            <w:tcW w:w="1412" w:type="dxa"/>
          </w:tcPr>
          <w:p w14:paraId="7D9C5155" w14:textId="70D44441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6B01A4" w:rsidRPr="000049BB" w14:paraId="4006E9AE" w14:textId="77777777" w:rsidTr="000049BB">
        <w:tc>
          <w:tcPr>
            <w:tcW w:w="3119" w:type="dxa"/>
          </w:tcPr>
          <w:p w14:paraId="3CE34F3C" w14:textId="1A4B580B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Desviación estándar</w:t>
            </w:r>
          </w:p>
        </w:tc>
        <w:tc>
          <w:tcPr>
            <w:tcW w:w="1412" w:type="dxa"/>
          </w:tcPr>
          <w:p w14:paraId="7763858A" w14:textId="577D5D29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2.14%</w:t>
            </w:r>
          </w:p>
        </w:tc>
      </w:tr>
      <w:tr w:rsidR="006B01A4" w:rsidRPr="000049BB" w14:paraId="2D13B177" w14:textId="77777777" w:rsidTr="000049BB">
        <w:tc>
          <w:tcPr>
            <w:tcW w:w="3119" w:type="dxa"/>
          </w:tcPr>
          <w:p w14:paraId="643F9D70" w14:textId="7F6BCC73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Curtosis</w:t>
            </w:r>
          </w:p>
        </w:tc>
        <w:tc>
          <w:tcPr>
            <w:tcW w:w="1412" w:type="dxa"/>
          </w:tcPr>
          <w:p w14:paraId="7787BABC" w14:textId="658F60D2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13.81</w:t>
            </w:r>
          </w:p>
        </w:tc>
      </w:tr>
      <w:tr w:rsidR="006B01A4" w:rsidRPr="000049BB" w14:paraId="584BDAB5" w14:textId="77777777" w:rsidTr="000049BB">
        <w:tc>
          <w:tcPr>
            <w:tcW w:w="3119" w:type="dxa"/>
          </w:tcPr>
          <w:p w14:paraId="678BDCBF" w14:textId="48823AAB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Coeficiente de asimetría</w:t>
            </w:r>
          </w:p>
        </w:tc>
        <w:tc>
          <w:tcPr>
            <w:tcW w:w="1412" w:type="dxa"/>
          </w:tcPr>
          <w:p w14:paraId="7BA08644" w14:textId="47119EEB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-0.078</w:t>
            </w:r>
          </w:p>
        </w:tc>
      </w:tr>
      <w:tr w:rsidR="006B01A4" w:rsidRPr="000049BB" w14:paraId="249AB4D2" w14:textId="77777777" w:rsidTr="000049BB">
        <w:tc>
          <w:tcPr>
            <w:tcW w:w="3119" w:type="dxa"/>
          </w:tcPr>
          <w:p w14:paraId="71124345" w14:textId="0A0A6D53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Rango</w:t>
            </w:r>
          </w:p>
        </w:tc>
        <w:tc>
          <w:tcPr>
            <w:tcW w:w="1412" w:type="dxa"/>
          </w:tcPr>
          <w:p w14:paraId="64AB8F06" w14:textId="4D10B55C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36%</w:t>
            </w:r>
          </w:p>
        </w:tc>
      </w:tr>
      <w:tr w:rsidR="006B01A4" w:rsidRPr="000049BB" w14:paraId="01552791" w14:textId="77777777" w:rsidTr="000049BB">
        <w:tc>
          <w:tcPr>
            <w:tcW w:w="3119" w:type="dxa"/>
          </w:tcPr>
          <w:p w14:paraId="5E179562" w14:textId="59539376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Mínimo</w:t>
            </w:r>
          </w:p>
        </w:tc>
        <w:tc>
          <w:tcPr>
            <w:tcW w:w="1412" w:type="dxa"/>
          </w:tcPr>
          <w:p w14:paraId="49CABA2D" w14:textId="764CFF83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-18.5%</w:t>
            </w:r>
          </w:p>
        </w:tc>
      </w:tr>
      <w:tr w:rsidR="006B01A4" w:rsidRPr="000049BB" w14:paraId="77EDA2E7" w14:textId="77777777" w:rsidTr="000049BB">
        <w:tc>
          <w:tcPr>
            <w:tcW w:w="3119" w:type="dxa"/>
            <w:tcBorders>
              <w:bottom w:val="single" w:sz="4" w:space="0" w:color="auto"/>
            </w:tcBorders>
          </w:tcPr>
          <w:p w14:paraId="3ADBA9A3" w14:textId="02F34924" w:rsidR="006B01A4" w:rsidRPr="000049BB" w:rsidRDefault="006B01A4" w:rsidP="000049B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Máximo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807A264" w14:textId="4A49A9FE" w:rsidR="006B01A4" w:rsidRPr="000049BB" w:rsidRDefault="006B01A4" w:rsidP="000049B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049BB">
              <w:rPr>
                <w:rFonts w:ascii="Arial" w:hAnsi="Arial" w:cs="Arial"/>
                <w:sz w:val="22"/>
                <w:szCs w:val="22"/>
                <w:lang w:val="es-ES"/>
              </w:rPr>
              <w:t>17.6%</w:t>
            </w:r>
          </w:p>
        </w:tc>
      </w:tr>
    </w:tbl>
    <w:p w14:paraId="593208D7" w14:textId="6F8A0362" w:rsidR="006B01A4" w:rsidRPr="000049BB" w:rsidRDefault="006B01A4">
      <w:pPr>
        <w:rPr>
          <w:rFonts w:ascii="Arial" w:hAnsi="Arial" w:cs="Arial"/>
          <w:lang w:val="es-ES"/>
        </w:rPr>
      </w:pPr>
    </w:p>
    <w:p w14:paraId="2271F7ED" w14:textId="54CA8A2C" w:rsidR="008C7C31" w:rsidRDefault="000049BB" w:rsidP="000769E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  <w:t>En la tabla</w:t>
      </w:r>
      <w:r w:rsidR="008C7C31">
        <w:rPr>
          <w:rFonts w:ascii="Arial" w:hAnsi="Arial" w:cs="Arial"/>
          <w:sz w:val="22"/>
          <w:szCs w:val="22"/>
          <w:lang w:val="es-ES"/>
        </w:rPr>
        <w:t xml:space="preserve"> 1</w:t>
      </w:r>
      <w:r>
        <w:rPr>
          <w:rFonts w:ascii="Arial" w:hAnsi="Arial" w:cs="Arial"/>
          <w:sz w:val="22"/>
          <w:szCs w:val="22"/>
          <w:lang w:val="es-ES"/>
        </w:rPr>
        <w:t xml:space="preserve"> se presenta la estadística descriptiva del logaritmo de los rendimientos diarios del Banco Santander, se observa que la media, mediana y moda no son iguales, sin embargo, las tres están muy cercanas a cero</w:t>
      </w:r>
      <w:r w:rsidR="008C7C31">
        <w:rPr>
          <w:rFonts w:ascii="Arial" w:hAnsi="Arial" w:cs="Arial"/>
          <w:sz w:val="22"/>
          <w:szCs w:val="22"/>
          <w:lang w:val="es-ES"/>
        </w:rPr>
        <w:t>, en la figura 1 se puede apreciar que estos tres parámetros están muy cercanos a cero.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2F91C2A4" w14:textId="27C1EDEA" w:rsidR="000F4DF4" w:rsidRPr="000F4DF4" w:rsidRDefault="000049BB" w:rsidP="000F4DF4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coeficiente Curtosis es de 13.81, indica que la distribución es considerablemente </w:t>
      </w:r>
      <w:r w:rsidR="000769E6">
        <w:rPr>
          <w:rFonts w:ascii="Arial" w:hAnsi="Arial" w:cs="Arial"/>
          <w:sz w:val="22"/>
          <w:szCs w:val="22"/>
          <w:lang w:val="es-ES"/>
        </w:rPr>
        <w:t xml:space="preserve">leptocúrtica, es decir, el centro de la distribución es considerablemente más alto que la normal. En la figura </w:t>
      </w:r>
      <w:r w:rsidR="008C7C31">
        <w:rPr>
          <w:rFonts w:ascii="Arial" w:hAnsi="Arial" w:cs="Arial"/>
          <w:sz w:val="22"/>
          <w:szCs w:val="22"/>
          <w:lang w:val="es-ES"/>
        </w:rPr>
        <w:t xml:space="preserve">2 se muestra en rojo la distribución de rendimientos y en gris una distribución generada aleatoriamente con la misma media y desviación estándar. Se observa que la distribución es más alta que la </w:t>
      </w:r>
      <w:r w:rsidR="008C7C31">
        <w:rPr>
          <w:rFonts w:ascii="Arial" w:hAnsi="Arial" w:cs="Arial"/>
          <w:sz w:val="22"/>
          <w:szCs w:val="22"/>
          <w:lang w:val="es-ES"/>
        </w:rPr>
        <w:lastRenderedPageBreak/>
        <w:t>normal y sus colas son más anchas (fenómeno “</w:t>
      </w:r>
      <w:proofErr w:type="spellStart"/>
      <w:r w:rsidR="008C7C31">
        <w:rPr>
          <w:rFonts w:ascii="Arial" w:hAnsi="Arial" w:cs="Arial"/>
          <w:sz w:val="22"/>
          <w:szCs w:val="22"/>
          <w:lang w:val="es-ES"/>
        </w:rPr>
        <w:t>fat</w:t>
      </w:r>
      <w:proofErr w:type="spellEnd"/>
      <w:r w:rsidR="008C7C3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8C7C31">
        <w:rPr>
          <w:rFonts w:ascii="Arial" w:hAnsi="Arial" w:cs="Arial"/>
          <w:sz w:val="22"/>
          <w:szCs w:val="22"/>
          <w:lang w:val="es-ES"/>
        </w:rPr>
        <w:t>tails</w:t>
      </w:r>
      <w:proofErr w:type="spellEnd"/>
      <w:r w:rsidR="008C7C31">
        <w:rPr>
          <w:rFonts w:ascii="Arial" w:hAnsi="Arial" w:cs="Arial"/>
          <w:sz w:val="22"/>
          <w:szCs w:val="22"/>
          <w:lang w:val="es-ES"/>
        </w:rPr>
        <w:t xml:space="preserve">”). </w:t>
      </w:r>
      <w:r w:rsidR="000F4DF4" w:rsidRPr="000F4DF4">
        <w:rPr>
          <w:rFonts w:ascii="Arial" w:hAnsi="Arial" w:cs="Arial"/>
          <w:sz w:val="22"/>
          <w:szCs w:val="22"/>
          <w:lang w:val="es-ES"/>
        </w:rPr>
        <w:t>El VaR del Banco Santander</w:t>
      </w:r>
      <w:r w:rsidR="000F4DF4">
        <w:rPr>
          <w:rFonts w:ascii="Arial" w:hAnsi="Arial" w:cs="Arial"/>
          <w:sz w:val="22"/>
          <w:szCs w:val="22"/>
          <w:lang w:val="es-ES"/>
        </w:rPr>
        <w:t xml:space="preserve">, Deustche Bank y Microsoft </w:t>
      </w:r>
      <w:r w:rsidR="000F4DF4" w:rsidRPr="000F4DF4">
        <w:rPr>
          <w:rFonts w:ascii="Arial" w:hAnsi="Arial" w:cs="Arial"/>
          <w:sz w:val="22"/>
          <w:szCs w:val="22"/>
          <w:lang w:val="es-ES"/>
        </w:rPr>
        <w:t>se analizará más adelante</w:t>
      </w:r>
      <w:r w:rsidR="000F4DF4">
        <w:rPr>
          <w:rFonts w:ascii="Arial" w:hAnsi="Arial" w:cs="Arial"/>
          <w:sz w:val="22"/>
          <w:szCs w:val="22"/>
          <w:lang w:val="es-ES"/>
        </w:rPr>
        <w:t xml:space="preserve"> en la sección Valor en Riesgo. </w:t>
      </w:r>
    </w:p>
    <w:p w14:paraId="2D6702D6" w14:textId="05E4E22D" w:rsidR="000769E6" w:rsidRPr="008C7C31" w:rsidRDefault="000769E6" w:rsidP="008C7C3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</w:p>
    <w:p w14:paraId="5477C4E5" w14:textId="42346EB4" w:rsidR="000769E6" w:rsidRPr="000769E6" w:rsidRDefault="000769E6" w:rsidP="000769E6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Figura 1. </w:t>
      </w:r>
    </w:p>
    <w:p w14:paraId="7087BEF6" w14:textId="56612574" w:rsidR="000769E6" w:rsidRPr="000769E6" w:rsidRDefault="000769E6" w:rsidP="000769E6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769E6">
        <w:rPr>
          <w:rFonts w:ascii="Arial" w:hAnsi="Arial" w:cs="Arial"/>
          <w:i/>
          <w:iCs/>
          <w:sz w:val="20"/>
          <w:szCs w:val="20"/>
          <w:lang w:val="es-ES"/>
        </w:rPr>
        <w:t>Histograma de rendimientos SAN.MC</w:t>
      </w:r>
    </w:p>
    <w:p w14:paraId="5022A8BC" w14:textId="42444E5A" w:rsidR="001F12EA" w:rsidRDefault="00C044D3">
      <w:pPr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122B57C2" wp14:editId="0263A4AE">
            <wp:extent cx="3423291" cy="3240000"/>
            <wp:effectExtent l="0" t="0" r="5715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9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7765" w14:textId="3DDF2347" w:rsidR="000769E6" w:rsidRDefault="000769E6">
      <w:pPr>
        <w:rPr>
          <w:rFonts w:ascii="Arial" w:hAnsi="Arial" w:cs="Arial"/>
          <w:lang w:val="es-ES"/>
        </w:rPr>
      </w:pPr>
    </w:p>
    <w:p w14:paraId="3459231A" w14:textId="77777777" w:rsidR="00640C9B" w:rsidRDefault="00640C9B">
      <w:pPr>
        <w:rPr>
          <w:rFonts w:ascii="Arial" w:hAnsi="Arial" w:cs="Arial"/>
          <w:lang w:val="es-ES"/>
        </w:rPr>
      </w:pPr>
    </w:p>
    <w:p w14:paraId="29CFCAF2" w14:textId="50DA362E" w:rsidR="000769E6" w:rsidRPr="000769E6" w:rsidRDefault="000769E6" w:rsidP="000769E6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43096A33" w14:textId="5E490765" w:rsidR="000769E6" w:rsidRPr="000769E6" w:rsidRDefault="000769E6" w:rsidP="000769E6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Distribución</w:t>
      </w:r>
      <w:r w:rsidRPr="000769E6">
        <w:rPr>
          <w:rFonts w:ascii="Arial" w:hAnsi="Arial" w:cs="Arial"/>
          <w:i/>
          <w:iCs/>
          <w:sz w:val="20"/>
          <w:szCs w:val="20"/>
          <w:lang w:val="es-ES"/>
        </w:rPr>
        <w:t xml:space="preserve"> de rendimientos SAN.MC</w:t>
      </w:r>
    </w:p>
    <w:p w14:paraId="2E5E63FE" w14:textId="28CFD319" w:rsidR="008C7C31" w:rsidRDefault="008C7C31">
      <w:pPr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516AB065" wp14:editId="5F15A759">
            <wp:extent cx="3423294" cy="3240000"/>
            <wp:effectExtent l="0" t="0" r="5715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9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129" w14:textId="4B84CBE2" w:rsidR="000F4DF4" w:rsidRDefault="000F4DF4">
      <w:pPr>
        <w:rPr>
          <w:rFonts w:ascii="Arial" w:hAnsi="Arial" w:cs="Arial"/>
          <w:lang w:val="es-ES"/>
        </w:rPr>
      </w:pPr>
    </w:p>
    <w:p w14:paraId="408E7CB6" w14:textId="35532344" w:rsidR="000F4DF4" w:rsidRDefault="000F4DF4">
      <w:pPr>
        <w:rPr>
          <w:rFonts w:ascii="Arial" w:hAnsi="Arial" w:cs="Arial"/>
          <w:lang w:val="es-ES"/>
        </w:rPr>
      </w:pPr>
    </w:p>
    <w:p w14:paraId="6A660145" w14:textId="38C58E99" w:rsidR="008C7C31" w:rsidRPr="000F4DF4" w:rsidRDefault="000769E6" w:rsidP="000F4DF4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 w:rsidRPr="000049BB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Banco Santander</w:t>
      </w:r>
    </w:p>
    <w:p w14:paraId="0B38D3F9" w14:textId="00ABB41D" w:rsidR="000769E6" w:rsidRPr="000049BB" w:rsidRDefault="000769E6" w:rsidP="000769E6">
      <w:pPr>
        <w:spacing w:line="360" w:lineRule="auto"/>
        <w:rPr>
          <w:rFonts w:ascii="Arial" w:hAnsi="Arial" w:cs="Arial"/>
          <w:b/>
          <w:bCs/>
          <w:i/>
          <w:iCs/>
          <w:sz w:val="15"/>
          <w:szCs w:val="15"/>
          <w:lang w:val="es-ES"/>
        </w:rPr>
      </w:pP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Tabla </w:t>
      </w:r>
      <w:r w:rsidR="008C7C31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29698CF6" w14:textId="342FE8CD" w:rsidR="000769E6" w:rsidRPr="000769E6" w:rsidRDefault="000769E6" w:rsidP="000769E6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049BB">
        <w:rPr>
          <w:rFonts w:ascii="Arial" w:hAnsi="Arial" w:cs="Arial"/>
          <w:i/>
          <w:iCs/>
          <w:sz w:val="20"/>
          <w:szCs w:val="20"/>
          <w:lang w:val="es-ES"/>
        </w:rPr>
        <w:t>Estadística descriptiva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rendimientos de</w:t>
      </w:r>
      <w:r w:rsidRPr="000049BB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 w:rsidR="008C7C31">
        <w:rPr>
          <w:rFonts w:ascii="Arial" w:hAnsi="Arial" w:cs="Arial"/>
          <w:i/>
          <w:iCs/>
          <w:sz w:val="20"/>
          <w:szCs w:val="20"/>
          <w:lang w:val="es-ES"/>
        </w:rPr>
        <w:t>DBK</w:t>
      </w:r>
      <w:r w:rsidRPr="000049BB">
        <w:rPr>
          <w:rFonts w:ascii="Arial" w:hAnsi="Arial" w:cs="Arial"/>
          <w:i/>
          <w:iCs/>
          <w:sz w:val="20"/>
          <w:szCs w:val="20"/>
          <w:lang w:val="es-ES"/>
        </w:rPr>
        <w:t>.</w:t>
      </w:r>
      <w:r w:rsidR="008C7C31">
        <w:rPr>
          <w:rFonts w:ascii="Arial" w:hAnsi="Arial" w:cs="Arial"/>
          <w:i/>
          <w:iCs/>
          <w:sz w:val="20"/>
          <w:szCs w:val="20"/>
          <w:lang w:val="es-ES"/>
        </w:rPr>
        <w:t>DE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559"/>
      </w:tblGrid>
      <w:tr w:rsidR="006B01A4" w:rsidRPr="000769E6" w14:paraId="09E448AA" w14:textId="77777777" w:rsidTr="000769E6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3F68524" w14:textId="77777777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Parámetro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35E7610" w14:textId="77777777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Valor</w:t>
            </w:r>
          </w:p>
        </w:tc>
      </w:tr>
      <w:tr w:rsidR="006B01A4" w:rsidRPr="000769E6" w14:paraId="56D38624" w14:textId="77777777" w:rsidTr="000769E6">
        <w:tc>
          <w:tcPr>
            <w:tcW w:w="2972" w:type="dxa"/>
            <w:tcBorders>
              <w:top w:val="single" w:sz="4" w:space="0" w:color="auto"/>
            </w:tcBorders>
          </w:tcPr>
          <w:p w14:paraId="15C4572F" w14:textId="23833E59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Media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516D1C" w14:textId="5B1EDA7B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-0.03%</w:t>
            </w:r>
          </w:p>
        </w:tc>
      </w:tr>
      <w:tr w:rsidR="006B01A4" w:rsidRPr="000769E6" w14:paraId="37E1B91F" w14:textId="77777777" w:rsidTr="000769E6">
        <w:tc>
          <w:tcPr>
            <w:tcW w:w="2972" w:type="dxa"/>
          </w:tcPr>
          <w:p w14:paraId="0BCDEB0C" w14:textId="1389EAA5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Mediana</w:t>
            </w:r>
          </w:p>
        </w:tc>
        <w:tc>
          <w:tcPr>
            <w:tcW w:w="1559" w:type="dxa"/>
          </w:tcPr>
          <w:p w14:paraId="75BEE846" w14:textId="486385B6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-0.05%</w:t>
            </w:r>
          </w:p>
        </w:tc>
      </w:tr>
      <w:tr w:rsidR="006B01A4" w:rsidRPr="000769E6" w14:paraId="25BA55E7" w14:textId="77777777" w:rsidTr="000769E6">
        <w:tc>
          <w:tcPr>
            <w:tcW w:w="2972" w:type="dxa"/>
          </w:tcPr>
          <w:p w14:paraId="69879F1E" w14:textId="77237F24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Moda</w:t>
            </w:r>
          </w:p>
        </w:tc>
        <w:tc>
          <w:tcPr>
            <w:tcW w:w="1559" w:type="dxa"/>
          </w:tcPr>
          <w:p w14:paraId="12F03F55" w14:textId="28B72E53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6B01A4" w:rsidRPr="000769E6" w14:paraId="0C139B5A" w14:textId="77777777" w:rsidTr="000769E6">
        <w:tc>
          <w:tcPr>
            <w:tcW w:w="2972" w:type="dxa"/>
          </w:tcPr>
          <w:p w14:paraId="787E5755" w14:textId="3794CC64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Desviación estándar</w:t>
            </w:r>
          </w:p>
        </w:tc>
        <w:tc>
          <w:tcPr>
            <w:tcW w:w="1559" w:type="dxa"/>
          </w:tcPr>
          <w:p w14:paraId="21E93E9C" w14:textId="46F71DB8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2.48%</w:t>
            </w:r>
          </w:p>
        </w:tc>
      </w:tr>
      <w:tr w:rsidR="006B01A4" w:rsidRPr="000769E6" w14:paraId="6D13F196" w14:textId="77777777" w:rsidTr="000769E6">
        <w:tc>
          <w:tcPr>
            <w:tcW w:w="2972" w:type="dxa"/>
          </w:tcPr>
          <w:p w14:paraId="673B7368" w14:textId="422DC4B0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Curtosis</w:t>
            </w:r>
          </w:p>
        </w:tc>
        <w:tc>
          <w:tcPr>
            <w:tcW w:w="1559" w:type="dxa"/>
          </w:tcPr>
          <w:p w14:paraId="6EC740F5" w14:textId="482F89B2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9.71</w:t>
            </w:r>
          </w:p>
        </w:tc>
      </w:tr>
      <w:tr w:rsidR="006B01A4" w:rsidRPr="000769E6" w14:paraId="5608D84C" w14:textId="77777777" w:rsidTr="000769E6">
        <w:tc>
          <w:tcPr>
            <w:tcW w:w="2972" w:type="dxa"/>
          </w:tcPr>
          <w:p w14:paraId="3127E7A0" w14:textId="52C06692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Coeficiente de asimetría</w:t>
            </w:r>
          </w:p>
        </w:tc>
        <w:tc>
          <w:tcPr>
            <w:tcW w:w="1559" w:type="dxa"/>
          </w:tcPr>
          <w:p w14:paraId="62EDC0C3" w14:textId="3BE5FB80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-0.356</w:t>
            </w:r>
          </w:p>
        </w:tc>
      </w:tr>
      <w:tr w:rsidR="006B01A4" w:rsidRPr="000769E6" w14:paraId="2DB6C835" w14:textId="77777777" w:rsidTr="000769E6">
        <w:tc>
          <w:tcPr>
            <w:tcW w:w="2972" w:type="dxa"/>
          </w:tcPr>
          <w:p w14:paraId="2C5EC52F" w14:textId="4A2A802E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Rango</w:t>
            </w:r>
          </w:p>
        </w:tc>
        <w:tc>
          <w:tcPr>
            <w:tcW w:w="1559" w:type="dxa"/>
          </w:tcPr>
          <w:p w14:paraId="4ABF734A" w14:textId="7A2FD210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32.5%</w:t>
            </w:r>
          </w:p>
        </w:tc>
      </w:tr>
      <w:tr w:rsidR="006B01A4" w:rsidRPr="000769E6" w14:paraId="695746D2" w14:textId="77777777" w:rsidTr="000769E6">
        <w:tc>
          <w:tcPr>
            <w:tcW w:w="2972" w:type="dxa"/>
          </w:tcPr>
          <w:p w14:paraId="582B696D" w14:textId="2553B022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Mínimo</w:t>
            </w:r>
          </w:p>
        </w:tc>
        <w:tc>
          <w:tcPr>
            <w:tcW w:w="1559" w:type="dxa"/>
          </w:tcPr>
          <w:p w14:paraId="14786214" w14:textId="01586CEB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-20.4%</w:t>
            </w:r>
          </w:p>
        </w:tc>
      </w:tr>
      <w:tr w:rsidR="006B01A4" w:rsidRPr="000769E6" w14:paraId="3CE36B4B" w14:textId="77777777" w:rsidTr="000769E6">
        <w:tc>
          <w:tcPr>
            <w:tcW w:w="2972" w:type="dxa"/>
            <w:tcBorders>
              <w:bottom w:val="single" w:sz="4" w:space="0" w:color="auto"/>
            </w:tcBorders>
          </w:tcPr>
          <w:p w14:paraId="5444D0E9" w14:textId="01800FC3" w:rsidR="006B01A4" w:rsidRPr="000769E6" w:rsidRDefault="006B01A4" w:rsidP="000769E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Máximo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0F66B0" w14:textId="19DE106A" w:rsidR="006B01A4" w:rsidRPr="000769E6" w:rsidRDefault="006B01A4" w:rsidP="000769E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69E6">
              <w:rPr>
                <w:rFonts w:ascii="Arial" w:hAnsi="Arial" w:cs="Arial"/>
                <w:sz w:val="22"/>
                <w:szCs w:val="22"/>
                <w:lang w:val="es-ES"/>
              </w:rPr>
              <w:t>12.1%</w:t>
            </w:r>
          </w:p>
        </w:tc>
      </w:tr>
    </w:tbl>
    <w:p w14:paraId="1F7D60AA" w14:textId="27F20A63" w:rsidR="006B01A4" w:rsidRPr="000769E6" w:rsidRDefault="006B01A4">
      <w:pPr>
        <w:rPr>
          <w:rFonts w:ascii="Arial" w:hAnsi="Arial" w:cs="Arial"/>
          <w:sz w:val="22"/>
          <w:szCs w:val="22"/>
          <w:lang w:val="es-ES"/>
        </w:rPr>
      </w:pPr>
    </w:p>
    <w:p w14:paraId="70151D18" w14:textId="6C901797" w:rsidR="00876DB4" w:rsidRPr="000049BB" w:rsidRDefault="00876DB4">
      <w:pPr>
        <w:rPr>
          <w:rFonts w:ascii="Arial" w:hAnsi="Arial" w:cs="Arial"/>
          <w:lang w:val="es-ES"/>
        </w:rPr>
      </w:pPr>
    </w:p>
    <w:p w14:paraId="76E167A5" w14:textId="107ECF54" w:rsidR="008C7C31" w:rsidRPr="000769E6" w:rsidRDefault="008C7C31" w:rsidP="008C7C31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6EE5FE9A" w14:textId="5F9E05E2" w:rsidR="00C044D3" w:rsidRPr="008C7C31" w:rsidRDefault="008C7C31" w:rsidP="008C7C3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769E6">
        <w:rPr>
          <w:rFonts w:ascii="Arial" w:hAnsi="Arial" w:cs="Arial"/>
          <w:i/>
          <w:iCs/>
          <w:sz w:val="20"/>
          <w:szCs w:val="20"/>
          <w:lang w:val="es-ES"/>
        </w:rPr>
        <w:t xml:space="preserve">Histograma de rendimientos </w:t>
      </w:r>
      <w:r>
        <w:rPr>
          <w:rFonts w:ascii="Arial" w:hAnsi="Arial" w:cs="Arial"/>
          <w:i/>
          <w:iCs/>
          <w:sz w:val="20"/>
          <w:szCs w:val="20"/>
          <w:lang w:val="es-ES"/>
        </w:rPr>
        <w:t>DBK</w:t>
      </w:r>
      <w:r w:rsidRPr="000769E6">
        <w:rPr>
          <w:rFonts w:ascii="Arial" w:hAnsi="Arial" w:cs="Arial"/>
          <w:i/>
          <w:iCs/>
          <w:sz w:val="20"/>
          <w:szCs w:val="20"/>
          <w:lang w:val="es-ES"/>
        </w:rPr>
        <w:t>.</w:t>
      </w:r>
      <w:r>
        <w:rPr>
          <w:rFonts w:ascii="Arial" w:hAnsi="Arial" w:cs="Arial"/>
          <w:i/>
          <w:iCs/>
          <w:sz w:val="20"/>
          <w:szCs w:val="20"/>
          <w:lang w:val="es-ES"/>
        </w:rPr>
        <w:t>DE</w:t>
      </w:r>
    </w:p>
    <w:p w14:paraId="77BD2C0A" w14:textId="0DFC4A8B" w:rsidR="008C7C31" w:rsidRDefault="00C044D3" w:rsidP="000F4DF4">
      <w:pPr>
        <w:spacing w:line="360" w:lineRule="auto"/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36155D49" wp14:editId="5C3C874D">
            <wp:extent cx="3423290" cy="3240000"/>
            <wp:effectExtent l="0" t="0" r="5715" b="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AC5" w14:textId="1298E5F3" w:rsidR="008C7C31" w:rsidRDefault="000F4DF4" w:rsidP="00D2687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En la tabla </w:t>
      </w:r>
      <w:r>
        <w:rPr>
          <w:rFonts w:ascii="Arial" w:hAnsi="Arial" w:cs="Arial"/>
          <w:sz w:val="22"/>
          <w:szCs w:val="22"/>
          <w:lang w:val="es-ES"/>
        </w:rPr>
        <w:t>2</w:t>
      </w:r>
      <w:r>
        <w:rPr>
          <w:rFonts w:ascii="Arial" w:hAnsi="Arial" w:cs="Arial"/>
          <w:sz w:val="22"/>
          <w:szCs w:val="22"/>
          <w:lang w:val="es-ES"/>
        </w:rPr>
        <w:t xml:space="preserve"> se presenta la estadística descriptiva del logaritmo de los rendimientos diarios del </w:t>
      </w:r>
      <w:r>
        <w:rPr>
          <w:rFonts w:ascii="Arial" w:hAnsi="Arial" w:cs="Arial"/>
          <w:sz w:val="22"/>
          <w:szCs w:val="22"/>
          <w:lang w:val="es-ES"/>
        </w:rPr>
        <w:t>Deustche Bank</w:t>
      </w:r>
      <w:r>
        <w:rPr>
          <w:rFonts w:ascii="Arial" w:hAnsi="Arial" w:cs="Arial"/>
          <w:sz w:val="22"/>
          <w:szCs w:val="22"/>
          <w:lang w:val="es-ES"/>
        </w:rPr>
        <w:t xml:space="preserve">, se observa que la media, mediana y moda no son iguales, sin embargo, las tres están muy cercanas a cero, en la figura </w:t>
      </w:r>
      <w:r>
        <w:rPr>
          <w:rFonts w:ascii="Arial" w:hAnsi="Arial" w:cs="Arial"/>
          <w:sz w:val="22"/>
          <w:szCs w:val="22"/>
          <w:lang w:val="es-ES"/>
        </w:rPr>
        <w:t>3</w:t>
      </w:r>
      <w:r>
        <w:rPr>
          <w:rFonts w:ascii="Arial" w:hAnsi="Arial" w:cs="Arial"/>
          <w:sz w:val="22"/>
          <w:szCs w:val="22"/>
          <w:lang w:val="es-ES"/>
        </w:rPr>
        <w:t xml:space="preserve"> se puede apreciar que estos tres parámetros están muy cercanos a cero</w:t>
      </w:r>
      <w:r>
        <w:rPr>
          <w:rFonts w:ascii="Arial" w:hAnsi="Arial" w:cs="Arial"/>
          <w:sz w:val="22"/>
          <w:szCs w:val="22"/>
          <w:lang w:val="es-ES"/>
        </w:rPr>
        <w:t xml:space="preserve">, esta distribución parece tener un ligero sesgo positivo. </w:t>
      </w:r>
    </w:p>
    <w:p w14:paraId="53E946AC" w14:textId="1D3F713D" w:rsidR="008C7C31" w:rsidRDefault="000F4DF4" w:rsidP="00D26871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coeficiente de Curtosis es de 9.71, se aprecia en la figura 4 que a pesar de ser más alto que una distribución normal (distribución normal con misma media y </w:t>
      </w:r>
      <w:r>
        <w:rPr>
          <w:rFonts w:ascii="Arial" w:hAnsi="Arial" w:cs="Arial"/>
          <w:sz w:val="22"/>
          <w:szCs w:val="22"/>
          <w:lang w:val="es-ES"/>
        </w:rPr>
        <w:lastRenderedPageBreak/>
        <w:t>desviación estándar en gris), tiene menos Curtosis que el Banco Santander</w:t>
      </w:r>
      <w:r w:rsidR="00697BAC">
        <w:rPr>
          <w:rFonts w:ascii="Arial" w:hAnsi="Arial" w:cs="Arial"/>
          <w:sz w:val="22"/>
          <w:szCs w:val="22"/>
          <w:lang w:val="es-ES"/>
        </w:rPr>
        <w:t>;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697BAC">
        <w:rPr>
          <w:rFonts w:ascii="Arial" w:hAnsi="Arial" w:cs="Arial"/>
          <w:sz w:val="22"/>
          <w:szCs w:val="22"/>
          <w:lang w:val="es-ES"/>
        </w:rPr>
        <w:t>e</w:t>
      </w:r>
      <w:r>
        <w:rPr>
          <w:rFonts w:ascii="Arial" w:hAnsi="Arial" w:cs="Arial"/>
          <w:sz w:val="22"/>
          <w:szCs w:val="22"/>
          <w:lang w:val="es-ES"/>
        </w:rPr>
        <w:t xml:space="preserve">sta distribución también tiene colas más grandes que una distribución normal. </w:t>
      </w:r>
    </w:p>
    <w:p w14:paraId="68750755" w14:textId="7B767045" w:rsidR="008C7C31" w:rsidRPr="000769E6" w:rsidRDefault="008C7C31" w:rsidP="00D2687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4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0BF8F253" w14:textId="356D6CB8" w:rsidR="008C7C31" w:rsidRPr="008C7C31" w:rsidRDefault="008C7C31" w:rsidP="008C7C3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Distribución</w:t>
      </w:r>
      <w:r w:rsidRPr="000769E6">
        <w:rPr>
          <w:rFonts w:ascii="Arial" w:hAnsi="Arial" w:cs="Arial"/>
          <w:i/>
          <w:iCs/>
          <w:sz w:val="20"/>
          <w:szCs w:val="20"/>
          <w:lang w:val="es-ES"/>
        </w:rPr>
        <w:t xml:space="preserve"> de rendimientos </w:t>
      </w:r>
      <w:r>
        <w:rPr>
          <w:rFonts w:ascii="Arial" w:hAnsi="Arial" w:cs="Arial"/>
          <w:i/>
          <w:iCs/>
          <w:sz w:val="20"/>
          <w:szCs w:val="20"/>
          <w:lang w:val="es-ES"/>
        </w:rPr>
        <w:t>DBK</w:t>
      </w:r>
      <w:r w:rsidRPr="000769E6">
        <w:rPr>
          <w:rFonts w:ascii="Arial" w:hAnsi="Arial" w:cs="Arial"/>
          <w:i/>
          <w:iCs/>
          <w:sz w:val="20"/>
          <w:szCs w:val="20"/>
          <w:lang w:val="es-ES"/>
        </w:rPr>
        <w:t>.</w:t>
      </w:r>
      <w:r>
        <w:rPr>
          <w:rFonts w:ascii="Arial" w:hAnsi="Arial" w:cs="Arial"/>
          <w:i/>
          <w:iCs/>
          <w:sz w:val="20"/>
          <w:szCs w:val="20"/>
          <w:lang w:val="es-ES"/>
        </w:rPr>
        <w:t>DE</w:t>
      </w:r>
    </w:p>
    <w:p w14:paraId="1F0F4024" w14:textId="449866BA" w:rsidR="00876DB4" w:rsidRPr="000049BB" w:rsidRDefault="00C044D3" w:rsidP="000F4DF4">
      <w:pPr>
        <w:spacing w:line="360" w:lineRule="auto"/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7E689DDB" wp14:editId="08A7678B">
            <wp:extent cx="3423289" cy="3240000"/>
            <wp:effectExtent l="0" t="0" r="5715" b="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ABA3" w14:textId="25A9D799" w:rsidR="000F4DF4" w:rsidRPr="000049BB" w:rsidRDefault="008C7C31" w:rsidP="000F4DF4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Microsoft</w:t>
      </w:r>
    </w:p>
    <w:p w14:paraId="356FC411" w14:textId="6E3BAFA7" w:rsidR="008C7C31" w:rsidRPr="000049BB" w:rsidRDefault="008C7C31" w:rsidP="000F4DF4">
      <w:pPr>
        <w:spacing w:line="360" w:lineRule="auto"/>
        <w:rPr>
          <w:rFonts w:ascii="Arial" w:hAnsi="Arial" w:cs="Arial"/>
          <w:b/>
          <w:bCs/>
          <w:i/>
          <w:iCs/>
          <w:sz w:val="15"/>
          <w:szCs w:val="15"/>
          <w:lang w:val="es-ES"/>
        </w:rPr>
      </w:pP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Tabla </w:t>
      </w:r>
      <w:r w:rsidR="00640C9B"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5A0418A9" w14:textId="3CCFFFED" w:rsidR="006B01A4" w:rsidRPr="008C7C31" w:rsidRDefault="008C7C31" w:rsidP="000F4DF4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049BB">
        <w:rPr>
          <w:rFonts w:ascii="Arial" w:hAnsi="Arial" w:cs="Arial"/>
          <w:i/>
          <w:iCs/>
          <w:sz w:val="20"/>
          <w:szCs w:val="20"/>
          <w:lang w:val="es-ES"/>
        </w:rPr>
        <w:t>Estadística descriptiva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rendimientos de</w:t>
      </w:r>
      <w:r w:rsidRPr="000049BB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lang w:val="es-ES"/>
        </w:rPr>
        <w:t>MSFT</w:t>
      </w:r>
      <w:r w:rsidR="00684F58">
        <w:rPr>
          <w:rFonts w:ascii="Arial" w:hAnsi="Arial" w:cs="Arial"/>
          <w:i/>
          <w:iCs/>
          <w:sz w:val="20"/>
          <w:szCs w:val="20"/>
          <w:lang w:val="es-E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559"/>
      </w:tblGrid>
      <w:tr w:rsidR="006B01A4" w:rsidRPr="000049BB" w14:paraId="1854C4B5" w14:textId="77777777" w:rsidTr="008C7C31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48B36B6" w14:textId="77777777" w:rsidR="006B01A4" w:rsidRPr="008C7C31" w:rsidRDefault="006B01A4" w:rsidP="000F4DF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Parámetro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BBE8DDA" w14:textId="77777777" w:rsidR="006B01A4" w:rsidRPr="008C7C31" w:rsidRDefault="006B01A4" w:rsidP="000F4DF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Valor</w:t>
            </w:r>
          </w:p>
        </w:tc>
      </w:tr>
      <w:tr w:rsidR="006B01A4" w:rsidRPr="000049BB" w14:paraId="373EDBD3" w14:textId="77777777" w:rsidTr="008C7C31">
        <w:tc>
          <w:tcPr>
            <w:tcW w:w="2972" w:type="dxa"/>
            <w:tcBorders>
              <w:top w:val="single" w:sz="4" w:space="0" w:color="auto"/>
            </w:tcBorders>
          </w:tcPr>
          <w:p w14:paraId="070B056F" w14:textId="0039EA7D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Media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C3735" w14:textId="2387B8E4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0.14%</w:t>
            </w:r>
          </w:p>
        </w:tc>
      </w:tr>
      <w:tr w:rsidR="006B01A4" w:rsidRPr="000049BB" w14:paraId="1764B4E0" w14:textId="77777777" w:rsidTr="008C7C31">
        <w:tc>
          <w:tcPr>
            <w:tcW w:w="2972" w:type="dxa"/>
          </w:tcPr>
          <w:p w14:paraId="0183F2E4" w14:textId="55E141CD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Mediana</w:t>
            </w:r>
          </w:p>
        </w:tc>
        <w:tc>
          <w:tcPr>
            <w:tcW w:w="1559" w:type="dxa"/>
          </w:tcPr>
          <w:p w14:paraId="3E09C203" w14:textId="2D466CA8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0.14%</w:t>
            </w:r>
          </w:p>
        </w:tc>
      </w:tr>
      <w:tr w:rsidR="006B01A4" w:rsidRPr="000049BB" w14:paraId="71F6D6A7" w14:textId="77777777" w:rsidTr="008C7C31">
        <w:tc>
          <w:tcPr>
            <w:tcW w:w="2972" w:type="dxa"/>
          </w:tcPr>
          <w:p w14:paraId="0D7BB4C5" w14:textId="37E9B937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Moda</w:t>
            </w:r>
          </w:p>
        </w:tc>
        <w:tc>
          <w:tcPr>
            <w:tcW w:w="1559" w:type="dxa"/>
          </w:tcPr>
          <w:p w14:paraId="5DD2904E" w14:textId="0C7132D3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6B01A4" w:rsidRPr="000049BB" w14:paraId="3E89CCD2" w14:textId="77777777" w:rsidTr="008C7C31">
        <w:tc>
          <w:tcPr>
            <w:tcW w:w="2972" w:type="dxa"/>
          </w:tcPr>
          <w:p w14:paraId="2595A81A" w14:textId="3297D5DE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Desviación estándar</w:t>
            </w:r>
          </w:p>
        </w:tc>
        <w:tc>
          <w:tcPr>
            <w:tcW w:w="1559" w:type="dxa"/>
          </w:tcPr>
          <w:p w14:paraId="795EA26B" w14:textId="10A62642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1.73%</w:t>
            </w:r>
          </w:p>
        </w:tc>
      </w:tr>
      <w:tr w:rsidR="006B01A4" w:rsidRPr="000049BB" w14:paraId="5DF24A88" w14:textId="77777777" w:rsidTr="008C7C31">
        <w:tc>
          <w:tcPr>
            <w:tcW w:w="2972" w:type="dxa"/>
          </w:tcPr>
          <w:p w14:paraId="47836822" w14:textId="623C3073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Curtosis</w:t>
            </w:r>
          </w:p>
        </w:tc>
        <w:tc>
          <w:tcPr>
            <w:tcW w:w="1559" w:type="dxa"/>
          </w:tcPr>
          <w:p w14:paraId="173EC402" w14:textId="50A7A49E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14.8</w:t>
            </w:r>
          </w:p>
        </w:tc>
      </w:tr>
      <w:tr w:rsidR="006B01A4" w:rsidRPr="000049BB" w14:paraId="32623D0B" w14:textId="77777777" w:rsidTr="008C7C31">
        <w:tc>
          <w:tcPr>
            <w:tcW w:w="2972" w:type="dxa"/>
          </w:tcPr>
          <w:p w14:paraId="33221A06" w14:textId="567D8BD1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Coeficiente de asimetría</w:t>
            </w:r>
          </w:p>
        </w:tc>
        <w:tc>
          <w:tcPr>
            <w:tcW w:w="1559" w:type="dxa"/>
          </w:tcPr>
          <w:p w14:paraId="3E4D311F" w14:textId="549280D7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-0.363</w:t>
            </w:r>
          </w:p>
        </w:tc>
      </w:tr>
      <w:tr w:rsidR="006B01A4" w:rsidRPr="000049BB" w14:paraId="78100F59" w14:textId="77777777" w:rsidTr="008C7C31">
        <w:tc>
          <w:tcPr>
            <w:tcW w:w="2972" w:type="dxa"/>
          </w:tcPr>
          <w:p w14:paraId="7DCC8D1C" w14:textId="3E00DB88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Rango</w:t>
            </w:r>
          </w:p>
        </w:tc>
        <w:tc>
          <w:tcPr>
            <w:tcW w:w="1559" w:type="dxa"/>
          </w:tcPr>
          <w:p w14:paraId="2B4E5B44" w14:textId="17AAC291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29.2%</w:t>
            </w:r>
          </w:p>
        </w:tc>
      </w:tr>
      <w:tr w:rsidR="006B01A4" w:rsidRPr="000049BB" w14:paraId="137E777C" w14:textId="77777777" w:rsidTr="008C7C31">
        <w:tc>
          <w:tcPr>
            <w:tcW w:w="2972" w:type="dxa"/>
          </w:tcPr>
          <w:p w14:paraId="1B29CCC2" w14:textId="76B0B7C9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Mínimo</w:t>
            </w:r>
          </w:p>
        </w:tc>
        <w:tc>
          <w:tcPr>
            <w:tcW w:w="1559" w:type="dxa"/>
          </w:tcPr>
          <w:p w14:paraId="2DA0F908" w14:textId="10CCD31D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-15.9%</w:t>
            </w:r>
          </w:p>
        </w:tc>
      </w:tr>
      <w:tr w:rsidR="006B01A4" w:rsidRPr="000049BB" w14:paraId="2D99108E" w14:textId="77777777" w:rsidTr="008C7C31">
        <w:tc>
          <w:tcPr>
            <w:tcW w:w="2972" w:type="dxa"/>
            <w:tcBorders>
              <w:bottom w:val="single" w:sz="4" w:space="0" w:color="auto"/>
            </w:tcBorders>
          </w:tcPr>
          <w:p w14:paraId="75BA7FC6" w14:textId="4DD8C92D" w:rsidR="006B01A4" w:rsidRPr="008C7C31" w:rsidRDefault="006B01A4" w:rsidP="008C7C3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Máximo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C4C3D2" w14:textId="7B7156B6" w:rsidR="006B01A4" w:rsidRPr="008C7C31" w:rsidRDefault="006B01A4" w:rsidP="008C7C3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C7C31">
              <w:rPr>
                <w:rFonts w:ascii="Arial" w:hAnsi="Arial" w:cs="Arial"/>
                <w:sz w:val="22"/>
                <w:szCs w:val="22"/>
                <w:lang w:val="es-ES"/>
              </w:rPr>
              <w:t>13.3%</w:t>
            </w:r>
          </w:p>
        </w:tc>
      </w:tr>
    </w:tbl>
    <w:p w14:paraId="6F9DD1EC" w14:textId="77777777" w:rsidR="006B01A4" w:rsidRPr="000049BB" w:rsidRDefault="006B01A4" w:rsidP="008C7C31">
      <w:pPr>
        <w:spacing w:line="360" w:lineRule="auto"/>
        <w:rPr>
          <w:rFonts w:ascii="Arial" w:hAnsi="Arial" w:cs="Arial"/>
          <w:lang w:val="es-ES"/>
        </w:rPr>
      </w:pPr>
    </w:p>
    <w:p w14:paraId="7C10BEEF" w14:textId="5C880F9A" w:rsidR="008C7C31" w:rsidRPr="000F4DF4" w:rsidRDefault="000F4DF4" w:rsidP="00D2687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En la tabla </w:t>
      </w:r>
      <w:r w:rsidR="00640C9B">
        <w:rPr>
          <w:rFonts w:ascii="Arial" w:hAnsi="Arial" w:cs="Arial"/>
          <w:sz w:val="22"/>
          <w:szCs w:val="22"/>
          <w:lang w:val="es-ES"/>
        </w:rPr>
        <w:t>3</w:t>
      </w:r>
      <w:r>
        <w:rPr>
          <w:rFonts w:ascii="Arial" w:hAnsi="Arial" w:cs="Arial"/>
          <w:sz w:val="22"/>
          <w:szCs w:val="22"/>
          <w:lang w:val="es-ES"/>
        </w:rPr>
        <w:t xml:space="preserve"> se presenta la estadística descriptiva del logaritmo de los rendimientos diarios de</w:t>
      </w:r>
      <w:r w:rsidR="00640C9B">
        <w:rPr>
          <w:rFonts w:ascii="Arial" w:hAnsi="Arial" w:cs="Arial"/>
          <w:sz w:val="22"/>
          <w:szCs w:val="22"/>
          <w:lang w:val="es-ES"/>
        </w:rPr>
        <w:t xml:space="preserve"> Microsoft</w:t>
      </w:r>
      <w:r>
        <w:rPr>
          <w:rFonts w:ascii="Arial" w:hAnsi="Arial" w:cs="Arial"/>
          <w:sz w:val="22"/>
          <w:szCs w:val="22"/>
          <w:lang w:val="es-ES"/>
        </w:rPr>
        <w:t>, se observa que la media, mediana y moda no son</w:t>
      </w:r>
      <w:r w:rsidR="00D26871">
        <w:rPr>
          <w:rFonts w:ascii="Arial" w:hAnsi="Arial" w:cs="Arial"/>
          <w:sz w:val="22"/>
          <w:szCs w:val="22"/>
          <w:lang w:val="es-ES"/>
        </w:rPr>
        <w:t xml:space="preserve"> todas</w:t>
      </w:r>
      <w:r>
        <w:rPr>
          <w:rFonts w:ascii="Arial" w:hAnsi="Arial" w:cs="Arial"/>
          <w:sz w:val="22"/>
          <w:szCs w:val="22"/>
          <w:lang w:val="es-ES"/>
        </w:rPr>
        <w:t xml:space="preserve"> iguales, sin embargo, las tres están muy cercanas a cero, en la figura </w:t>
      </w:r>
      <w:r w:rsidR="00D26871">
        <w:rPr>
          <w:rFonts w:ascii="Arial" w:hAnsi="Arial" w:cs="Arial"/>
          <w:sz w:val="22"/>
          <w:szCs w:val="22"/>
          <w:lang w:val="es-ES"/>
        </w:rPr>
        <w:t>5</w:t>
      </w:r>
      <w:r>
        <w:rPr>
          <w:rFonts w:ascii="Arial" w:hAnsi="Arial" w:cs="Arial"/>
          <w:sz w:val="22"/>
          <w:szCs w:val="22"/>
          <w:lang w:val="es-ES"/>
        </w:rPr>
        <w:t xml:space="preserve"> se puede apreciar que estos tres parámetros están muy cercanos a cero, esta </w:t>
      </w:r>
      <w:r w:rsidR="00D26871">
        <w:rPr>
          <w:rFonts w:ascii="Arial" w:hAnsi="Arial" w:cs="Arial"/>
          <w:sz w:val="22"/>
          <w:szCs w:val="22"/>
          <w:lang w:val="es-ES"/>
        </w:rPr>
        <w:t>parece ser la distribución más simétrica de las tres</w:t>
      </w:r>
      <w:r>
        <w:rPr>
          <w:rFonts w:ascii="Arial" w:hAnsi="Arial" w:cs="Arial"/>
          <w:sz w:val="22"/>
          <w:szCs w:val="22"/>
          <w:lang w:val="es-ES"/>
        </w:rPr>
        <w:t xml:space="preserve">. </w:t>
      </w:r>
    </w:p>
    <w:p w14:paraId="6F866E94" w14:textId="560ADBC4" w:rsidR="008C7C31" w:rsidRPr="000769E6" w:rsidRDefault="008C7C31" w:rsidP="008C7C31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5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419440CA" w14:textId="349B170C" w:rsidR="008C7C31" w:rsidRPr="008C7C31" w:rsidRDefault="008C7C31" w:rsidP="008C7C3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0769E6">
        <w:rPr>
          <w:rFonts w:ascii="Arial" w:hAnsi="Arial" w:cs="Arial"/>
          <w:i/>
          <w:iCs/>
          <w:sz w:val="20"/>
          <w:szCs w:val="20"/>
          <w:lang w:val="es-ES"/>
        </w:rPr>
        <w:t xml:space="preserve">Histograma de rendimientos </w:t>
      </w:r>
      <w:r>
        <w:rPr>
          <w:rFonts w:ascii="Arial" w:hAnsi="Arial" w:cs="Arial"/>
          <w:i/>
          <w:iCs/>
          <w:sz w:val="20"/>
          <w:szCs w:val="20"/>
          <w:lang w:val="es-ES"/>
        </w:rPr>
        <w:t>MSFT</w:t>
      </w:r>
      <w:r w:rsidR="00684F58">
        <w:rPr>
          <w:rFonts w:ascii="Arial" w:hAnsi="Arial" w:cs="Arial"/>
          <w:i/>
          <w:iCs/>
          <w:sz w:val="20"/>
          <w:szCs w:val="20"/>
          <w:lang w:val="es-ES"/>
        </w:rPr>
        <w:t>.</w:t>
      </w:r>
    </w:p>
    <w:p w14:paraId="595A3CEC" w14:textId="6FC2F08C" w:rsidR="00C044D3" w:rsidRDefault="00C044D3">
      <w:pPr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6A05B294" wp14:editId="3D54C7FF">
            <wp:extent cx="3423290" cy="3240000"/>
            <wp:effectExtent l="0" t="0" r="5715" b="0"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F283" w14:textId="3A8A471E" w:rsidR="008C7C31" w:rsidRPr="000769E6" w:rsidRDefault="008C7C31" w:rsidP="008C7C31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6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24932359" w14:textId="43655625" w:rsidR="008C7C31" w:rsidRPr="008C7C31" w:rsidRDefault="008C7C31" w:rsidP="008C7C3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Distribución</w:t>
      </w:r>
      <w:r w:rsidRPr="000769E6">
        <w:rPr>
          <w:rFonts w:ascii="Arial" w:hAnsi="Arial" w:cs="Arial"/>
          <w:i/>
          <w:iCs/>
          <w:sz w:val="20"/>
          <w:szCs w:val="20"/>
          <w:lang w:val="es-ES"/>
        </w:rPr>
        <w:t xml:space="preserve"> de rendimientos </w:t>
      </w:r>
      <w:r>
        <w:rPr>
          <w:rFonts w:ascii="Arial" w:hAnsi="Arial" w:cs="Arial"/>
          <w:i/>
          <w:iCs/>
          <w:sz w:val="20"/>
          <w:szCs w:val="20"/>
          <w:lang w:val="es-ES"/>
        </w:rPr>
        <w:t>MSFT</w:t>
      </w:r>
    </w:p>
    <w:p w14:paraId="6FE29BC6" w14:textId="2ED1F9AA" w:rsidR="00C044D3" w:rsidRPr="000049BB" w:rsidRDefault="00C044D3">
      <w:pPr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78EAC0DF" wp14:editId="1F44F2D9">
            <wp:extent cx="3423289" cy="3240000"/>
            <wp:effectExtent l="0" t="0" r="5715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FBE" w14:textId="122F42B6" w:rsidR="00C044D3" w:rsidRPr="000049BB" w:rsidRDefault="00C044D3">
      <w:pPr>
        <w:rPr>
          <w:rFonts w:ascii="Arial" w:hAnsi="Arial" w:cs="Arial"/>
          <w:lang w:val="es-ES"/>
        </w:rPr>
      </w:pPr>
    </w:p>
    <w:p w14:paraId="4C2230A8" w14:textId="6A284DA3" w:rsidR="00C044D3" w:rsidRPr="000049BB" w:rsidRDefault="00D26871" w:rsidP="00D26871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coeficiente de Curtosis es de </w:t>
      </w:r>
      <w:r>
        <w:rPr>
          <w:rFonts w:ascii="Arial" w:hAnsi="Arial" w:cs="Arial"/>
          <w:sz w:val="22"/>
          <w:szCs w:val="22"/>
          <w:lang w:val="es-ES"/>
        </w:rPr>
        <w:t>14</w:t>
      </w:r>
      <w:r>
        <w:rPr>
          <w:rFonts w:ascii="Arial" w:hAnsi="Arial" w:cs="Arial"/>
          <w:sz w:val="22"/>
          <w:szCs w:val="22"/>
          <w:lang w:val="es-ES"/>
        </w:rPr>
        <w:t>.</w:t>
      </w:r>
      <w:r>
        <w:rPr>
          <w:rFonts w:ascii="Arial" w:hAnsi="Arial" w:cs="Arial"/>
          <w:sz w:val="22"/>
          <w:szCs w:val="22"/>
          <w:lang w:val="es-ES"/>
        </w:rPr>
        <w:t>8</w:t>
      </w:r>
      <w:r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 xml:space="preserve">en </w:t>
      </w:r>
      <w:r>
        <w:rPr>
          <w:rFonts w:ascii="Arial" w:hAnsi="Arial" w:cs="Arial"/>
          <w:sz w:val="22"/>
          <w:szCs w:val="22"/>
          <w:lang w:val="es-ES"/>
        </w:rPr>
        <w:t xml:space="preserve">la figura </w:t>
      </w:r>
      <w:r>
        <w:rPr>
          <w:rFonts w:ascii="Arial" w:hAnsi="Arial" w:cs="Arial"/>
          <w:sz w:val="22"/>
          <w:szCs w:val="22"/>
          <w:lang w:val="es-ES"/>
        </w:rPr>
        <w:t>6 se aprecia que la distribución de Microsoft es la más alta de las tres, mucho más alta que la normal, en gris.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También se aprecia que al igual que las otras distribuciones esta tiene colas grandes a ambos extremos. </w:t>
      </w:r>
    </w:p>
    <w:p w14:paraId="72C977F5" w14:textId="21A6913A" w:rsidR="00C044D3" w:rsidRDefault="00C044D3">
      <w:pPr>
        <w:rPr>
          <w:rFonts w:ascii="Arial" w:hAnsi="Arial" w:cs="Arial"/>
          <w:lang w:val="es-ES"/>
        </w:rPr>
      </w:pPr>
    </w:p>
    <w:p w14:paraId="077F2B25" w14:textId="2737642C" w:rsidR="008C7C31" w:rsidRDefault="008C7C31">
      <w:pPr>
        <w:rPr>
          <w:rFonts w:ascii="Arial" w:hAnsi="Arial" w:cs="Arial"/>
          <w:lang w:val="es-ES"/>
        </w:rPr>
      </w:pPr>
    </w:p>
    <w:p w14:paraId="2254D89E" w14:textId="22BD11F2" w:rsidR="00D26871" w:rsidRDefault="00D26871" w:rsidP="00D26871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Valor en Riesgo</w:t>
      </w:r>
    </w:p>
    <w:p w14:paraId="130ABAD0" w14:textId="739F8192" w:rsidR="00D26871" w:rsidRDefault="00AD343A" w:rsidP="00697BAC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esta sección se analizará el valor en riesgo de</w:t>
      </w:r>
      <w:r>
        <w:rPr>
          <w:rFonts w:ascii="Arial" w:hAnsi="Arial" w:cs="Arial"/>
          <w:sz w:val="22"/>
          <w:szCs w:val="22"/>
          <w:lang w:val="es-ES"/>
        </w:rPr>
        <w:t xml:space="preserve"> las acciones mencionadas anteriormente. Se empezará por analizar cada VaR de manera individual y luego compararlos con las otras acciones estudiadas. </w:t>
      </w:r>
    </w:p>
    <w:p w14:paraId="1244ADEF" w14:textId="77777777" w:rsidR="00AD343A" w:rsidRPr="00AD343A" w:rsidRDefault="00AD343A" w:rsidP="00AD343A">
      <w:pPr>
        <w:spacing w:line="360" w:lineRule="auto"/>
        <w:ind w:firstLine="708"/>
        <w:rPr>
          <w:rFonts w:ascii="Arial" w:hAnsi="Arial" w:cs="Arial"/>
          <w:sz w:val="22"/>
          <w:szCs w:val="22"/>
          <w:lang w:val="es-ES"/>
        </w:rPr>
      </w:pPr>
    </w:p>
    <w:p w14:paraId="0244C993" w14:textId="77777777" w:rsidR="00684F58" w:rsidRPr="000049BB" w:rsidRDefault="00684F58" w:rsidP="00684F58">
      <w:pPr>
        <w:spacing w:line="360" w:lineRule="auto"/>
        <w:rPr>
          <w:rFonts w:ascii="Arial" w:hAnsi="Arial" w:cs="Arial"/>
          <w:b/>
          <w:bCs/>
          <w:i/>
          <w:iCs/>
          <w:sz w:val="15"/>
          <w:szCs w:val="15"/>
          <w:lang w:val="es-ES"/>
        </w:rPr>
      </w:pP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Tabla </w:t>
      </w:r>
      <w:r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0049BB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7C7CA85F" w14:textId="5736DE98" w:rsidR="00684F58" w:rsidRPr="00684F58" w:rsidRDefault="00684F58" w:rsidP="00D2687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Valor en Riesgo de tres 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8F106C" w:rsidRPr="00697BAC" w14:paraId="7277A3CC" w14:textId="77777777" w:rsidTr="00991224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00BD2B8" w14:textId="1DDFD805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Alfa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09FB63C" w14:textId="5E75DF96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SAN.MC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A1EEA06" w14:textId="083CA2E6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DBK.DE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F04B3EE" w14:textId="5439B1D8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MSFT</w:t>
            </w:r>
          </w:p>
        </w:tc>
      </w:tr>
      <w:tr w:rsidR="008F106C" w:rsidRPr="00697BAC" w14:paraId="551E56AD" w14:textId="77777777" w:rsidTr="00991224">
        <w:tc>
          <w:tcPr>
            <w:tcW w:w="2122" w:type="dxa"/>
            <w:tcBorders>
              <w:top w:val="single" w:sz="4" w:space="0" w:color="auto"/>
            </w:tcBorders>
          </w:tcPr>
          <w:p w14:paraId="72D3D081" w14:textId="6CB3C4CC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0.01</w:t>
            </w: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42F2C765" w14:textId="21ADB7C7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5.20%</w:t>
            </w: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76D84222" w14:textId="75B16548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7.06%</w:t>
            </w: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616E0763" w14:textId="5E1C79AA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4.67%</w:t>
            </w:r>
          </w:p>
        </w:tc>
      </w:tr>
      <w:tr w:rsidR="008F106C" w:rsidRPr="00697BAC" w14:paraId="5824E6E9" w14:textId="77777777" w:rsidTr="00991224">
        <w:tc>
          <w:tcPr>
            <w:tcW w:w="2122" w:type="dxa"/>
          </w:tcPr>
          <w:p w14:paraId="07F01267" w14:textId="0C509DD9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0.05</w:t>
            </w:r>
          </w:p>
        </w:tc>
        <w:tc>
          <w:tcPr>
            <w:tcW w:w="2122" w:type="dxa"/>
          </w:tcPr>
          <w:p w14:paraId="1FFEADF2" w14:textId="40874D4F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3.03%</w:t>
            </w:r>
          </w:p>
        </w:tc>
        <w:tc>
          <w:tcPr>
            <w:tcW w:w="2122" w:type="dxa"/>
          </w:tcPr>
          <w:p w14:paraId="0863DD0E" w14:textId="26B2FD05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3.81%</w:t>
            </w:r>
          </w:p>
        </w:tc>
        <w:tc>
          <w:tcPr>
            <w:tcW w:w="2122" w:type="dxa"/>
          </w:tcPr>
          <w:p w14:paraId="7A242824" w14:textId="69B056FA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2.62%</w:t>
            </w:r>
          </w:p>
        </w:tc>
      </w:tr>
      <w:tr w:rsidR="008F106C" w:rsidRPr="00697BAC" w14:paraId="2809F85A" w14:textId="77777777" w:rsidTr="00991224">
        <w:tc>
          <w:tcPr>
            <w:tcW w:w="2122" w:type="dxa"/>
            <w:tcBorders>
              <w:bottom w:val="single" w:sz="4" w:space="0" w:color="auto"/>
            </w:tcBorders>
          </w:tcPr>
          <w:p w14:paraId="1ABB5FF9" w14:textId="66A3ACD1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0.10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215D9971" w14:textId="75A15411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2.21%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1ED4508E" w14:textId="58AF7D6F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2.61%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52231C85" w14:textId="657DCAFC" w:rsidR="008F106C" w:rsidRPr="00697BAC" w:rsidRDefault="008F106C" w:rsidP="0099122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7BAC"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  <w:r w:rsidR="00991224" w:rsidRPr="00697BAC">
              <w:rPr>
                <w:rFonts w:ascii="Arial" w:hAnsi="Arial" w:cs="Arial"/>
                <w:sz w:val="22"/>
                <w:szCs w:val="22"/>
                <w:lang w:val="es-ES"/>
              </w:rPr>
              <w:t>1.58%</w:t>
            </w:r>
          </w:p>
        </w:tc>
      </w:tr>
    </w:tbl>
    <w:p w14:paraId="37681CC7" w14:textId="1E83CF69" w:rsidR="00684F58" w:rsidRPr="00697BAC" w:rsidRDefault="00684F58" w:rsidP="00D2687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41B8A744" w14:textId="13C41E29" w:rsidR="00AD343A" w:rsidRPr="00697BAC" w:rsidRDefault="00AD343A" w:rsidP="00697BAC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97BAC">
        <w:rPr>
          <w:rFonts w:ascii="Arial" w:hAnsi="Arial" w:cs="Arial"/>
          <w:sz w:val="22"/>
          <w:szCs w:val="22"/>
          <w:lang w:val="es-ES"/>
        </w:rPr>
        <w:tab/>
        <w:t>En la tabla 3 se muestra el VaR de cada acción para diferentes valores de alfa. Una inversión en el banco Santander tiene un 10% de pro</w:t>
      </w:r>
      <w:r w:rsidR="007B7241" w:rsidRPr="00697BAC">
        <w:rPr>
          <w:rFonts w:ascii="Arial" w:hAnsi="Arial" w:cs="Arial"/>
          <w:sz w:val="22"/>
          <w:szCs w:val="22"/>
          <w:lang w:val="es-ES"/>
        </w:rPr>
        <w:t xml:space="preserve">babilidad de perder 2.21% en un día o más, un 5% de probabilidades de perder en un día 3.03% o más y un 1% de probabilidad de perder en un día 5.2% o más. En otras palabras, si tengo una posición en banco Santander de cien mil dólares, tengo un 1% de probabilidad de perder $5,200 o más en un día. </w:t>
      </w:r>
    </w:p>
    <w:p w14:paraId="6E23A89D" w14:textId="1183B54E" w:rsidR="007B7241" w:rsidRPr="00697BAC" w:rsidRDefault="007B7241" w:rsidP="00697BAC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97BAC">
        <w:rPr>
          <w:rFonts w:ascii="Arial" w:hAnsi="Arial" w:cs="Arial"/>
          <w:sz w:val="22"/>
          <w:szCs w:val="22"/>
          <w:lang w:val="es-ES"/>
        </w:rPr>
        <w:tab/>
        <w:t xml:space="preserve">Una inversión en Deustche Bank </w:t>
      </w:r>
      <w:r w:rsidRPr="00697BAC">
        <w:rPr>
          <w:rFonts w:ascii="Arial" w:hAnsi="Arial" w:cs="Arial"/>
          <w:sz w:val="22"/>
          <w:szCs w:val="22"/>
          <w:lang w:val="es-ES"/>
        </w:rPr>
        <w:t>tiene un 10% de probabilidad de perder 2.</w:t>
      </w:r>
      <w:r w:rsidRPr="00697BAC">
        <w:rPr>
          <w:rFonts w:ascii="Arial" w:hAnsi="Arial" w:cs="Arial"/>
          <w:sz w:val="22"/>
          <w:szCs w:val="22"/>
          <w:lang w:val="es-ES"/>
        </w:rPr>
        <w:t>61</w:t>
      </w:r>
      <w:r w:rsidRPr="00697BAC">
        <w:rPr>
          <w:rFonts w:ascii="Arial" w:hAnsi="Arial" w:cs="Arial"/>
          <w:sz w:val="22"/>
          <w:szCs w:val="22"/>
          <w:lang w:val="es-ES"/>
        </w:rPr>
        <w:t>% en un día o más, un 5% de probabilidades de perder en un día 3.</w:t>
      </w:r>
      <w:r w:rsidRPr="00697BAC">
        <w:rPr>
          <w:rFonts w:ascii="Arial" w:hAnsi="Arial" w:cs="Arial"/>
          <w:sz w:val="22"/>
          <w:szCs w:val="22"/>
          <w:lang w:val="es-ES"/>
        </w:rPr>
        <w:t>81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% o más y un 1% de probabilidad de perder en un día </w:t>
      </w:r>
      <w:r w:rsidRPr="00697BAC">
        <w:rPr>
          <w:rFonts w:ascii="Arial" w:hAnsi="Arial" w:cs="Arial"/>
          <w:sz w:val="22"/>
          <w:szCs w:val="22"/>
          <w:lang w:val="es-ES"/>
        </w:rPr>
        <w:t>7</w:t>
      </w:r>
      <w:r w:rsidRPr="00697BAC">
        <w:rPr>
          <w:rFonts w:ascii="Arial" w:hAnsi="Arial" w:cs="Arial"/>
          <w:sz w:val="22"/>
          <w:szCs w:val="22"/>
          <w:lang w:val="es-ES"/>
        </w:rPr>
        <w:t>.</w:t>
      </w:r>
      <w:r w:rsidRPr="00697BAC">
        <w:rPr>
          <w:rFonts w:ascii="Arial" w:hAnsi="Arial" w:cs="Arial"/>
          <w:sz w:val="22"/>
          <w:szCs w:val="22"/>
          <w:lang w:val="es-ES"/>
        </w:rPr>
        <w:t>06</w:t>
      </w:r>
      <w:r w:rsidRPr="00697BAC">
        <w:rPr>
          <w:rFonts w:ascii="Arial" w:hAnsi="Arial" w:cs="Arial"/>
          <w:sz w:val="22"/>
          <w:szCs w:val="22"/>
          <w:lang w:val="es-ES"/>
        </w:rPr>
        <w:t>% o más.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 Esto es, si tengo una inversión de cien mil dólares en Deustche Bank, tengo un 1% de probabilidades de en un día perder $7,0</w:t>
      </w:r>
      <w:r w:rsidR="00697BAC" w:rsidRPr="00697BAC">
        <w:rPr>
          <w:rFonts w:ascii="Arial" w:hAnsi="Arial" w:cs="Arial"/>
          <w:sz w:val="22"/>
          <w:szCs w:val="22"/>
          <w:lang w:val="es-ES"/>
        </w:rPr>
        <w:t>6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0 o más. </w:t>
      </w:r>
    </w:p>
    <w:p w14:paraId="0D06ADEF" w14:textId="04CF3320" w:rsidR="007B7241" w:rsidRPr="00697BAC" w:rsidRDefault="007B7241" w:rsidP="00697BAC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97BAC">
        <w:rPr>
          <w:rFonts w:ascii="Arial" w:hAnsi="Arial" w:cs="Arial"/>
          <w:sz w:val="22"/>
          <w:szCs w:val="22"/>
          <w:lang w:val="es-ES"/>
        </w:rPr>
        <w:tab/>
        <w:t xml:space="preserve">Por último, una inversión en Microsoft 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tiene un 10% de probabilidad de perder </w:t>
      </w:r>
      <w:r w:rsidRPr="00697BAC">
        <w:rPr>
          <w:rFonts w:ascii="Arial" w:hAnsi="Arial" w:cs="Arial"/>
          <w:sz w:val="22"/>
          <w:szCs w:val="22"/>
          <w:lang w:val="es-ES"/>
        </w:rPr>
        <w:t>1</w:t>
      </w:r>
      <w:r w:rsidRPr="00697BAC">
        <w:rPr>
          <w:rFonts w:ascii="Arial" w:hAnsi="Arial" w:cs="Arial"/>
          <w:sz w:val="22"/>
          <w:szCs w:val="22"/>
          <w:lang w:val="es-ES"/>
        </w:rPr>
        <w:t>.</w:t>
      </w:r>
      <w:r w:rsidRPr="00697BAC">
        <w:rPr>
          <w:rFonts w:ascii="Arial" w:hAnsi="Arial" w:cs="Arial"/>
          <w:sz w:val="22"/>
          <w:szCs w:val="22"/>
          <w:lang w:val="es-ES"/>
        </w:rPr>
        <w:t>58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% en un día o más, un 5% de probabilidades de perder en un día </w:t>
      </w:r>
      <w:r w:rsidRPr="00697BAC">
        <w:rPr>
          <w:rFonts w:ascii="Arial" w:hAnsi="Arial" w:cs="Arial"/>
          <w:sz w:val="22"/>
          <w:szCs w:val="22"/>
          <w:lang w:val="es-ES"/>
        </w:rPr>
        <w:t>2</w:t>
      </w:r>
      <w:r w:rsidRPr="00697BAC">
        <w:rPr>
          <w:rFonts w:ascii="Arial" w:hAnsi="Arial" w:cs="Arial"/>
          <w:sz w:val="22"/>
          <w:szCs w:val="22"/>
          <w:lang w:val="es-ES"/>
        </w:rPr>
        <w:t>.</w:t>
      </w:r>
      <w:r w:rsidRPr="00697BAC">
        <w:rPr>
          <w:rFonts w:ascii="Arial" w:hAnsi="Arial" w:cs="Arial"/>
          <w:sz w:val="22"/>
          <w:szCs w:val="22"/>
          <w:lang w:val="es-ES"/>
        </w:rPr>
        <w:t>62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% o más y un 1% de probabilidad de perder en un día </w:t>
      </w:r>
      <w:r w:rsidRPr="00697BAC">
        <w:rPr>
          <w:rFonts w:ascii="Arial" w:hAnsi="Arial" w:cs="Arial"/>
          <w:sz w:val="22"/>
          <w:szCs w:val="22"/>
          <w:lang w:val="es-ES"/>
        </w:rPr>
        <w:t>4</w:t>
      </w:r>
      <w:r w:rsidRPr="00697BAC">
        <w:rPr>
          <w:rFonts w:ascii="Arial" w:hAnsi="Arial" w:cs="Arial"/>
          <w:sz w:val="22"/>
          <w:szCs w:val="22"/>
          <w:lang w:val="es-ES"/>
        </w:rPr>
        <w:t>.</w:t>
      </w:r>
      <w:r w:rsidRPr="00697BAC">
        <w:rPr>
          <w:rFonts w:ascii="Arial" w:hAnsi="Arial" w:cs="Arial"/>
          <w:sz w:val="22"/>
          <w:szCs w:val="22"/>
          <w:lang w:val="es-ES"/>
        </w:rPr>
        <w:t>67</w:t>
      </w:r>
      <w:r w:rsidRPr="00697BAC">
        <w:rPr>
          <w:rFonts w:ascii="Arial" w:hAnsi="Arial" w:cs="Arial"/>
          <w:sz w:val="22"/>
          <w:szCs w:val="22"/>
          <w:lang w:val="es-ES"/>
        </w:rPr>
        <w:t>% o más</w:t>
      </w:r>
      <w:r w:rsidRPr="00697BAC">
        <w:rPr>
          <w:rFonts w:ascii="Arial" w:hAnsi="Arial" w:cs="Arial"/>
          <w:sz w:val="22"/>
          <w:szCs w:val="22"/>
          <w:lang w:val="es-ES"/>
        </w:rPr>
        <w:t xml:space="preserve">. Esto quiere decir que, si tengo una inversión de cien mil dólares en Microsoft existe la probabilidad de perder en un día $4,670 dólares o más. </w:t>
      </w:r>
    </w:p>
    <w:p w14:paraId="1BE91889" w14:textId="692BED04" w:rsidR="00697BAC" w:rsidRPr="00697BAC" w:rsidRDefault="00697BAC" w:rsidP="00697BAC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97BAC">
        <w:rPr>
          <w:rFonts w:ascii="Arial" w:hAnsi="Arial" w:cs="Arial"/>
          <w:sz w:val="22"/>
          <w:szCs w:val="22"/>
          <w:lang w:val="es-ES"/>
        </w:rPr>
        <w:tab/>
        <w:t xml:space="preserve">En la figura 7 se puede ver una comparativa de la cola izquierda de cada distribución y líneas que representan el valor en riesgo, una línea azul para el VaR al 99%, roja 95% y verde 90%. Es evidente que Deustche Bank tiene un VaR superior a las otras dos empresas analizadas y es la empresa más riesgosa. Sin embargo, se ve que todas las empresas han tenido pérdidas superiores al VaR que no se están contabilizando si se toma en cuenta solo el VaR y no el Déficit Esperado. La empresa más riesgosa para invertir es Deustche Bank, seguido por Banco Santander, y, por último, la más segura parece ser Microsoft. </w:t>
      </w:r>
    </w:p>
    <w:p w14:paraId="2B2D30F6" w14:textId="77777777" w:rsidR="00697BAC" w:rsidRDefault="00697BAC" w:rsidP="00D26871">
      <w:pPr>
        <w:spacing w:line="360" w:lineRule="auto"/>
        <w:rPr>
          <w:rFonts w:ascii="Arial" w:hAnsi="Arial" w:cs="Arial"/>
          <w:lang w:val="es-ES"/>
        </w:rPr>
      </w:pPr>
    </w:p>
    <w:p w14:paraId="3E2FDF6E" w14:textId="0C91687E" w:rsidR="008C7C31" w:rsidRPr="000769E6" w:rsidRDefault="008C7C31" w:rsidP="00D26871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769E6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Figura </w:t>
      </w:r>
      <w:r>
        <w:rPr>
          <w:rFonts w:ascii="Arial" w:hAnsi="Arial" w:cs="Arial"/>
          <w:b/>
          <w:bCs/>
          <w:sz w:val="20"/>
          <w:szCs w:val="20"/>
          <w:lang w:val="es-ES"/>
        </w:rPr>
        <w:t>7</w:t>
      </w:r>
      <w:r w:rsidRPr="000769E6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</w:p>
    <w:p w14:paraId="7F350235" w14:textId="13FE970B" w:rsidR="008C7C31" w:rsidRPr="008C7C31" w:rsidRDefault="008C7C31" w:rsidP="00D26871">
      <w:pPr>
        <w:spacing w:line="36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Cola izquierda de distribuciones y VaR.</w:t>
      </w:r>
    </w:p>
    <w:p w14:paraId="45CA9616" w14:textId="574C2066" w:rsidR="00C044D3" w:rsidRDefault="00C044D3">
      <w:pPr>
        <w:rPr>
          <w:rFonts w:ascii="Arial" w:hAnsi="Arial" w:cs="Arial"/>
          <w:lang w:val="es-ES"/>
        </w:rPr>
      </w:pPr>
      <w:r w:rsidRPr="000049BB">
        <w:rPr>
          <w:rFonts w:ascii="Arial" w:hAnsi="Arial" w:cs="Arial"/>
          <w:noProof/>
          <w:lang w:val="es-ES"/>
        </w:rPr>
        <w:drawing>
          <wp:inline distT="0" distB="0" distL="0" distR="0" wp14:anchorId="21ED38E9" wp14:editId="55B600AA">
            <wp:extent cx="5705483" cy="5400000"/>
            <wp:effectExtent l="0" t="0" r="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8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1637" w14:textId="77777777" w:rsidR="00586E8F" w:rsidRPr="000049BB" w:rsidRDefault="00586E8F">
      <w:pPr>
        <w:rPr>
          <w:rFonts w:ascii="Arial" w:hAnsi="Arial" w:cs="Arial"/>
          <w:lang w:val="es-ES"/>
        </w:rPr>
      </w:pPr>
    </w:p>
    <w:sectPr w:rsidR="00586E8F" w:rsidRPr="000049BB" w:rsidSect="005947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947C" w14:textId="77777777" w:rsidR="00856087" w:rsidRDefault="00856087" w:rsidP="00697BAC">
      <w:r>
        <w:separator/>
      </w:r>
    </w:p>
  </w:endnote>
  <w:endnote w:type="continuationSeparator" w:id="0">
    <w:p w14:paraId="6BA8FCEB" w14:textId="77777777" w:rsidR="00856087" w:rsidRDefault="00856087" w:rsidP="0069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Light">
    <w:altName w:val="Segoe Script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l Bayan">
    <w:altName w:val="Al Baya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0F477" w14:textId="77777777" w:rsidR="00856087" w:rsidRDefault="00856087" w:rsidP="00697BAC">
      <w:r>
        <w:separator/>
      </w:r>
    </w:p>
  </w:footnote>
  <w:footnote w:type="continuationSeparator" w:id="0">
    <w:p w14:paraId="4845596C" w14:textId="77777777" w:rsidR="00856087" w:rsidRDefault="00856087" w:rsidP="0069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EA"/>
    <w:rsid w:val="000049BB"/>
    <w:rsid w:val="000148B2"/>
    <w:rsid w:val="000769E6"/>
    <w:rsid w:val="000F4DF4"/>
    <w:rsid w:val="001F12EA"/>
    <w:rsid w:val="00250B92"/>
    <w:rsid w:val="003856CA"/>
    <w:rsid w:val="0039398F"/>
    <w:rsid w:val="00454E90"/>
    <w:rsid w:val="00586E8F"/>
    <w:rsid w:val="00594703"/>
    <w:rsid w:val="00640C9B"/>
    <w:rsid w:val="00682C52"/>
    <w:rsid w:val="00684F58"/>
    <w:rsid w:val="00697BAC"/>
    <w:rsid w:val="006B01A4"/>
    <w:rsid w:val="007B7241"/>
    <w:rsid w:val="00856087"/>
    <w:rsid w:val="00876DB4"/>
    <w:rsid w:val="008C7C31"/>
    <w:rsid w:val="008F106C"/>
    <w:rsid w:val="00991224"/>
    <w:rsid w:val="009C7018"/>
    <w:rsid w:val="00AD343A"/>
    <w:rsid w:val="00C044D3"/>
    <w:rsid w:val="00D26871"/>
    <w:rsid w:val="00DF3CB0"/>
    <w:rsid w:val="00E5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CCAA"/>
  <w15:chartTrackingRefBased/>
  <w15:docId w15:val="{8F237F02-232E-8E4E-B238-3C5479F3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1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qFormat/>
    <w:rsid w:val="000148B2"/>
    <w:pPr>
      <w:tabs>
        <w:tab w:val="center" w:pos="4252"/>
        <w:tab w:val="right" w:pos="8504"/>
      </w:tabs>
      <w:jc w:val="both"/>
    </w:pPr>
    <w:rPr>
      <w:rFonts w:ascii="UnitOT-Light" w:eastAsia="Times New Roman" w:hAnsi="UnitOT-Light"/>
      <w:color w:val="333333"/>
      <w:sz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148B2"/>
    <w:rPr>
      <w:rFonts w:ascii="UnitOT-Light" w:eastAsia="Times New Roman" w:hAnsi="UnitOT-Light"/>
      <w:color w:val="333333"/>
      <w:sz w:val="22"/>
      <w:lang w:val="es-ES" w:eastAsia="es-ES"/>
    </w:rPr>
  </w:style>
  <w:style w:type="table" w:customStyle="1" w:styleId="TablaUNIR31">
    <w:name w:val="Tabla UNIR 31"/>
    <w:basedOn w:val="Tablanormal"/>
    <w:uiPriority w:val="99"/>
    <w:rsid w:val="000148B2"/>
    <w:pPr>
      <w:spacing w:after="160"/>
    </w:pPr>
    <w:rPr>
      <w:rFonts w:ascii="UnitOT-Light" w:eastAsia="Times New Roman" w:hAnsi="UnitOT-Light"/>
      <w:color w:val="333333"/>
      <w:sz w:val="20"/>
      <w:szCs w:val="22"/>
      <w:lang w:val="es-ES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/>
      <w:vAlign w:val="center"/>
    </w:tcPr>
    <w:tblStylePr w:type="firstRow">
      <w:pPr>
        <w:jc w:val="center"/>
      </w:pPr>
      <w:rPr>
        <w:rFonts w:ascii="Al Bayan" w:hAnsi="Al Bayan" w:cs="Al Bayan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004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9BB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697B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ee593/Historic_VaR_model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ENRIQUEZ EGUIGUREN</dc:creator>
  <cp:keywords/>
  <dc:description/>
  <cp:lastModifiedBy>DANIEL ESTEBAN ENRIQUEZ EGUIGUREN</cp:lastModifiedBy>
  <cp:revision>2</cp:revision>
  <dcterms:created xsi:type="dcterms:W3CDTF">2021-12-19T19:34:00Z</dcterms:created>
  <dcterms:modified xsi:type="dcterms:W3CDTF">2021-12-19T19:34:00Z</dcterms:modified>
</cp:coreProperties>
</file>