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10da641206683f1e4f916954d95c4b1557344c"/>
    <w:p>
      <w:pPr>
        <w:pStyle w:val="Heading1"/>
      </w:pPr>
      <w:r>
        <w:t xml:space="preserve">Technical appendix: Restormel Keys — need, technical development, validation and outputs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Restormel Keys — a drop-in BYOK (Bring Your Own Key) and multi-provider routing layer for AI-powered applications</w:t>
      </w:r>
      <w:r>
        <w:br/>
      </w:r>
      <w:r>
        <w:rPr>
          <w:b/>
          <w:bCs/>
        </w:rPr>
        <w:t xml:space="preserve">Applicant:</w:t>
      </w:r>
      <w:r>
        <w:t xml:space="preserve"> </w:t>
      </w:r>
      <w:r>
        <w:t xml:space="preserve">ALLOTMENT TECHNOLOGY LTD (solo-founder startup)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Torquay, UK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6 months</w:t>
      </w:r>
      <w:r>
        <w:br/>
      </w:r>
      <w:r>
        <w:rPr>
          <w:b/>
          <w:bCs/>
        </w:rPr>
        <w:t xml:space="preserve">Technology Readiness Level (TRL):</w:t>
      </w:r>
      <w:r>
        <w:t xml:space="preserve"> </w:t>
      </w:r>
      <w:r>
        <w:t xml:space="preserve">TRL 3 — experimental proof of concept</w:t>
      </w:r>
      <w:r>
        <w:br/>
      </w:r>
      <w:r>
        <w:rPr>
          <w:b/>
          <w:bCs/>
        </w:rPr>
        <w:t xml:space="preserve">Market Readiness Level (MRL):</w:t>
      </w:r>
      <w:r>
        <w:t xml:space="preserve"> </w:t>
      </w:r>
      <w:r>
        <w:t xml:space="preserve">MRL 2 — identification of potential business opportunities</w:t>
      </w:r>
    </w:p>
    <w:p>
      <w:r>
        <w:pict>
          <v:rect style="width:0;height:1.5pt" o:hralign="center" o:hrstd="t" o:hr="t"/>
        </w:pict>
      </w:r>
    </w:p>
    <w:bookmarkStart w:id="9" w:name="need-and-opportunity"/>
    <w:p>
      <w:pPr>
        <w:pStyle w:val="Heading2"/>
      </w:pPr>
      <w:r>
        <w:t xml:space="preserve">1. Need and opportunity</w:t>
      </w:r>
    </w:p>
    <w:p>
      <w:pPr>
        <w:pStyle w:val="FirstParagraph"/>
      </w:pPr>
      <w:r>
        <w:t xml:space="preserve">Individuals and small and medium-sized businesses (SMBs) increasingly depend on third-party AI APIs for product features and internal workflows. That dependence creates</w:t>
      </w:r>
      <w:r>
        <w:t xml:space="preserve"> </w:t>
      </w:r>
      <w:r>
        <w:rPr>
          <w:b/>
          <w:bCs/>
        </w:rPr>
        <w:t xml:space="preserve">vendor lock-in</w:t>
      </w:r>
      <w:r>
        <w:t xml:space="preserve">: switching providers means rewriting integrations, re-tuning prompts, and accepting different pricing, availability, and policy models. Many teams also need</w:t>
      </w:r>
      <w:r>
        <w:t xml:space="preserve"> </w:t>
      </w:r>
      <w:r>
        <w:rPr>
          <w:b/>
          <w:bCs/>
        </w:rPr>
        <w:t xml:space="preserve">explicit control</w:t>
      </w:r>
      <w:r>
        <w:t xml:space="preserve"> </w:t>
      </w:r>
      <w:r>
        <w:t xml:space="preserve">over which models run for which tasks, under what</w:t>
      </w:r>
      <w:r>
        <w:t xml:space="preserve"> </w:t>
      </w:r>
      <w:r>
        <w:rPr>
          <w:b/>
          <w:bCs/>
        </w:rPr>
        <w:t xml:space="preserve">cost ceilings</w:t>
      </w:r>
      <w:r>
        <w:t xml:space="preserve">, and with what</w:t>
      </w:r>
      <w:r>
        <w:t xml:space="preserve"> </w:t>
      </w:r>
      <w:r>
        <w:rPr>
          <w:b/>
          <w:bCs/>
        </w:rPr>
        <w:t xml:space="preserve">compliance or operational constraints</w:t>
      </w:r>
      <w:r>
        <w:t xml:space="preserve">—without giving up quality.</w:t>
      </w:r>
    </w:p>
    <w:p>
      <w:pPr>
        <w:pStyle w:val="BodyText"/>
      </w:pPr>
      <w:r>
        <w:rPr>
          <w:b/>
          <w:bCs/>
        </w:rPr>
        <w:t xml:space="preserve">Restormel Keys</w:t>
      </w:r>
      <w:r>
        <w:t xml:space="preserve"> </w:t>
      </w:r>
      <w:r>
        <w:t xml:space="preserve">addresses this by proposing a</w:t>
      </w:r>
      <w:r>
        <w:t xml:space="preserve"> </w:t>
      </w:r>
      <w:r>
        <w:rPr>
          <w:b/>
          <w:bCs/>
        </w:rPr>
        <w:t xml:space="preserve">controlled multi-provider AI execution architecture</w:t>
      </w:r>
      <w:r>
        <w:t xml:space="preserve">: a layer that sits in front of multiple providers, uses the customer’s own API keys (BYOK), and</w:t>
      </w:r>
      <w:r>
        <w:t xml:space="preserve"> </w:t>
      </w:r>
      <w:r>
        <w:rPr>
          <w:b/>
          <w:bCs/>
        </w:rPr>
        <w:t xml:space="preserve">governs model selection and routing</w:t>
      </w:r>
      <w:r>
        <w:t xml:space="preserve"> </w:t>
      </w:r>
      <w:r>
        <w:t xml:space="preserve">so that execution remains predictable under stated constraints. The target market is</w:t>
      </w:r>
      <w:r>
        <w:t xml:space="preserve"> </w:t>
      </w:r>
      <w:r>
        <w:rPr>
          <w:b/>
          <w:bCs/>
        </w:rPr>
        <w:t xml:space="preserve">B2C SaaS</w:t>
      </w:r>
      <w:r>
        <w:t xml:space="preserve"> </w:t>
      </w:r>
      <w:r>
        <w:t xml:space="preserve">at an accessible price point (</w:t>
      </w:r>
      <w:r>
        <w:rPr>
          <w:b/>
          <w:bCs/>
        </w:rPr>
        <w:t xml:space="preserve">£10/month subscription</w:t>
      </w:r>
      <w:r>
        <w:t xml:space="preserve">), aimed at users who care about</w:t>
      </w:r>
      <w:r>
        <w:t xml:space="preserve"> </w:t>
      </w:r>
      <w:r>
        <w:rPr>
          <w:b/>
          <w:bCs/>
        </w:rPr>
        <w:t xml:space="preserve">portability</w:t>
      </w:r>
      <w:r>
        <w:t xml:space="preserve">,</w:t>
      </w:r>
      <w:r>
        <w:t xml:space="preserve"> </w:t>
      </w:r>
      <w:r>
        <w:rPr>
          <w:b/>
          <w:bCs/>
        </w:rPr>
        <w:t xml:space="preserve">operational control</w:t>
      </w:r>
      <w:r>
        <w:t xml:space="preserve">, and</w:t>
      </w:r>
      <w:r>
        <w:t xml:space="preserve"> </w:t>
      </w:r>
      <w:r>
        <w:rPr>
          <w:b/>
          <w:bCs/>
        </w:rPr>
        <w:t xml:space="preserve">reduced lock-in</w:t>
      </w:r>
      <w:r>
        <w:t xml:space="preserve"> </w:t>
      </w:r>
      <w:r>
        <w:t xml:space="preserve">rather than a single-vendor default.</w:t>
      </w:r>
    </w:p>
    <w:p>
      <w:r>
        <w:pict>
          <v:rect style="width:0;height:1.5pt" o:hralign="center" o:hrstd="t" o:hr="t"/>
        </w:pict>
      </w:r>
    </w:p>
    <w:bookmarkEnd w:id="9"/>
    <w:bookmarkStart w:id="10" w:name="innovation-what-is-new"/>
    <w:p>
      <w:pPr>
        <w:pStyle w:val="Heading2"/>
      </w:pPr>
      <w:r>
        <w:t xml:space="preserve">2. Innovation (what is new)</w:t>
      </w:r>
    </w:p>
    <w:p>
      <w:pPr>
        <w:pStyle w:val="FirstParagraph"/>
      </w:pPr>
      <w:r>
        <w:t xml:space="preserve">The innovation is not “another chat UI” but a</w:t>
      </w:r>
      <w:r>
        <w:t xml:space="preserve"> </w:t>
      </w:r>
      <w:r>
        <w:rPr>
          <w:b/>
          <w:bCs/>
        </w:rPr>
        <w:t xml:space="preserve">policy- and constraint-aware routing and execution substrate</w:t>
      </w:r>
      <w:r>
        <w:t xml:space="preserve"> </w:t>
      </w:r>
      <w:r>
        <w:t xml:space="preserve">that can: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Dynamically govern</w:t>
      </w:r>
      <w:r>
        <w:t xml:space="preserve"> </w:t>
      </w:r>
      <w:r>
        <w:t xml:space="preserve">model selection and routing across providers.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Preserve quality, policy compliance, and operational control</w:t>
      </w:r>
      <w:r>
        <w:t xml:space="preserve"> </w:t>
      </w:r>
      <w:r>
        <w:t xml:space="preserve">through explicit rules rather than ad hoc manual switching.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vendor lock-in</w:t>
      </w:r>
      <w:r>
        <w:t xml:space="preserve"> </w:t>
      </w:r>
      <w:r>
        <w:t xml:space="preserve">by making provider changes a configuration and policy problem, not a full application rewrite.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Encode constraints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cost ceilings</w:t>
      </w:r>
      <w:r>
        <w:t xml:space="preserve">,</w:t>
      </w:r>
      <w:r>
        <w:t xml:space="preserve"> </w:t>
      </w:r>
      <w:r>
        <w:rPr>
          <w:b/>
          <w:bCs/>
        </w:rPr>
        <w:t xml:space="preserve">entitlements</w:t>
      </w:r>
      <w:r>
        <w:t xml:space="preserve"> </w:t>
      </w:r>
      <w:r>
        <w:t xml:space="preserve">(who may use what), and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 </w:t>
      </w:r>
      <w:r>
        <w:t xml:space="preserve">(fallback when a provider or model is degraded or unavailable).</w:t>
      </w:r>
    </w:p>
    <w:p>
      <w:pPr>
        <w:pStyle w:val="FirstParagraph"/>
      </w:pPr>
      <w:r>
        <w:t xml:space="preserve">At TRL 3, the emphasis is on</w:t>
      </w:r>
      <w:r>
        <w:t xml:space="preserve"> </w:t>
      </w:r>
      <w:r>
        <w:rPr>
          <w:b/>
          <w:bCs/>
        </w:rPr>
        <w:t xml:space="preserve">demonstrating</w:t>
      </w:r>
      <w:r>
        <w:t xml:space="preserve"> </w:t>
      </w:r>
      <w:r>
        <w:t xml:space="preserve">these properties on representative tasks in a</w:t>
      </w:r>
      <w:r>
        <w:t xml:space="preserve"> </w:t>
      </w:r>
      <w:r>
        <w:rPr>
          <w:b/>
          <w:bCs/>
        </w:rPr>
        <w:t xml:space="preserve">controlled demonstrator</w:t>
      </w:r>
      <w:r>
        <w:t xml:space="preserve">, with</w:t>
      </w:r>
      <w:r>
        <w:t xml:space="preserve"> </w:t>
      </w:r>
      <w:r>
        <w:rPr>
          <w:b/>
          <w:bCs/>
        </w:rPr>
        <w:t xml:space="preserve">measurable comparison</w:t>
      </w:r>
      <w:r>
        <w:t xml:space="preserve"> </w:t>
      </w:r>
      <w:r>
        <w:t xml:space="preserve">to simpler baselines.</w:t>
      </w:r>
    </w:p>
    <w:p>
      <w:r>
        <w:pict>
          <v:rect style="width:0;height:1.5pt" o:hralign="center" o:hrstd="t" o:hr="t"/>
        </w:pict>
      </w:r>
    </w:p>
    <w:bookmarkEnd w:id="10"/>
    <w:bookmarkStart w:id="15" w:name="Xe8d931c4e59e8ffa18191acce071ea969df2f10"/>
    <w:p>
      <w:pPr>
        <w:pStyle w:val="Heading2"/>
      </w:pPr>
      <w:r>
        <w:t xml:space="preserve">3. Technical development plan (four workstreams)</w:t>
      </w:r>
    </w:p>
    <w:p>
      <w:pPr>
        <w:pStyle w:val="FirstParagraph"/>
      </w:pPr>
      <w:r>
        <w:t xml:space="preserve">The six-month programme is organised into four workstreams. Sequencing assumes</w:t>
      </w:r>
      <w:r>
        <w:t xml:space="preserve"> </w:t>
      </w:r>
      <w:r>
        <w:rPr>
          <w:b/>
          <w:bCs/>
        </w:rPr>
        <w:t xml:space="preserve">architecture and evaluation design</w:t>
      </w:r>
      <w:r>
        <w:t xml:space="preserve"> </w:t>
      </w:r>
      <w:r>
        <w:t xml:space="preserve">early,</w:t>
      </w:r>
      <w:r>
        <w:t xml:space="preserve"> </w:t>
      </w:r>
      <w:r>
        <w:rPr>
          <w:b/>
          <w:bCs/>
        </w:rPr>
        <w:t xml:space="preserve">core logic</w:t>
      </w:r>
      <w:r>
        <w:t xml:space="preserve"> </w:t>
      </w:r>
      <w:r>
        <w:t xml:space="preserve">in the middle, and</w:t>
      </w:r>
      <w:r>
        <w:t xml:space="preserve"> </w:t>
      </w:r>
      <w:r>
        <w:rPr>
          <w:b/>
          <w:bCs/>
        </w:rPr>
        <w:t xml:space="preserve">demonstrator plus comparative validation</w:t>
      </w:r>
      <w:r>
        <w:t xml:space="preserve"> </w:t>
      </w:r>
      <w:r>
        <w:t xml:space="preserve">toward the end, with continuous integration of lessons learned.</w:t>
      </w:r>
    </w:p>
    <w:bookmarkStart w:id="11" w:name="Xe0e93ed127dafb2d7d1677ed7cf3dc2ad260dc4"/>
    <w:p>
      <w:pPr>
        <w:pStyle w:val="Heading3"/>
      </w:pPr>
      <w:r>
        <w:t xml:space="preserve">Workstream 1 — Formalise system architecture for controlled multi-provider AI execution</w:t>
      </w:r>
    </w:p>
    <w:p>
      <w:pPr>
        <w:pStyle w:val="Compact"/>
        <w:numPr>
          <w:ilvl w:val="0"/>
          <w:numId w:val="1002"/>
        </w:numPr>
      </w:pPr>
      <w:r>
        <w:t xml:space="preserve">Define a clear</w:t>
      </w:r>
      <w:r>
        <w:t xml:space="preserve"> </w:t>
      </w:r>
      <w:r>
        <w:rPr>
          <w:b/>
          <w:bCs/>
        </w:rPr>
        <w:t xml:space="preserve">provider abstraction</w:t>
      </w:r>
      <w:r>
        <w:t xml:space="preserve"> </w:t>
      </w:r>
      <w:r>
        <w:t xml:space="preserve">(capabilities, authentication via BYOK, error and rate-limit semantics).</w:t>
      </w:r>
    </w:p>
    <w:p>
      <w:pPr>
        <w:pStyle w:val="Compact"/>
        <w:numPr>
          <w:ilvl w:val="0"/>
          <w:numId w:val="1002"/>
        </w:numPr>
      </w:pPr>
      <w:r>
        <w:t xml:space="preserve">Specify</w:t>
      </w:r>
      <w:r>
        <w:t xml:space="preserve"> </w:t>
      </w:r>
      <w:r>
        <w:rPr>
          <w:b/>
          <w:bCs/>
        </w:rPr>
        <w:t xml:space="preserve">routing state</w:t>
      </w:r>
      <w:r>
        <w:t xml:space="preserve">: how requests are classified, how routes are selected, and how decisions are recorded for auditability and debugging.</w:t>
      </w:r>
    </w:p>
    <w:p>
      <w:pPr>
        <w:pStyle w:val="Compact"/>
        <w:numPr>
          <w:ilvl w:val="0"/>
          <w:numId w:val="1002"/>
        </w:numPr>
      </w:pPr>
      <w:r>
        <w:t xml:space="preserve">Specify</w:t>
      </w:r>
      <w:r>
        <w:t xml:space="preserve"> </w:t>
      </w:r>
      <w:r>
        <w:rPr>
          <w:b/>
          <w:bCs/>
        </w:rPr>
        <w:t xml:space="preserve">policy enforcement</w:t>
      </w:r>
      <w:r>
        <w:t xml:space="preserve"> </w:t>
      </w:r>
      <w:r>
        <w:t xml:space="preserve">points (before execution, on failure, on retry) and how policies interact with entitlements.</w:t>
      </w:r>
    </w:p>
    <w:p>
      <w:pPr>
        <w:pStyle w:val="Compact"/>
        <w:numPr>
          <w:ilvl w:val="0"/>
          <w:numId w:val="1002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monitoring and observability</w:t>
      </w:r>
      <w:r>
        <w:t xml:space="preserve"> </w:t>
      </w:r>
      <w:r>
        <w:t xml:space="preserve">requirements: structured decision metadata, health signals, and minimal PII-safe logging aligned with security-by-design (no raw key material in logs).</w:t>
      </w:r>
    </w:p>
    <w:bookmarkEnd w:id="11"/>
    <w:bookmarkStart w:id="12" w:name="X9f4794058d11a39e2adf5472f02c98defdf0d97"/>
    <w:p>
      <w:pPr>
        <w:pStyle w:val="Heading3"/>
      </w:pPr>
      <w:r>
        <w:t xml:space="preserve">Workstream 2 — Implement core control logic for request routing under explicit constraints</w:t>
      </w:r>
    </w:p>
    <w:p>
      <w:pPr>
        <w:pStyle w:val="Compact"/>
        <w:numPr>
          <w:ilvl w:val="0"/>
          <w:numId w:val="1003"/>
        </w:numPr>
      </w:pPr>
      <w:r>
        <w:t xml:space="preserve">Implement routing that optimises or satisfies stated objectives under</w:t>
      </w:r>
      <w:r>
        <w:t xml:space="preserve"> </w:t>
      </w:r>
      <w:r>
        <w:rPr>
          <w:b/>
          <w:bCs/>
        </w:rPr>
        <w:t xml:space="preserve">cost ceilings</w:t>
      </w:r>
      <w:r>
        <w:t xml:space="preserve">,</w:t>
      </w:r>
      <w:r>
        <w:t xml:space="preserve"> </w:t>
      </w:r>
      <w:r>
        <w:rPr>
          <w:b/>
          <w:bCs/>
        </w:rPr>
        <w:t xml:space="preserve">entitlements</w:t>
      </w:r>
      <w:r>
        <w:t xml:space="preserve">,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, and</w:t>
      </w:r>
      <w:r>
        <w:t xml:space="preserve"> </w:t>
      </w:r>
      <w:r>
        <w:rPr>
          <w:b/>
          <w:bCs/>
        </w:rPr>
        <w:t xml:space="preserve">task requirements</w:t>
      </w:r>
      <w:r>
        <w:t xml:space="preserve"> </w:t>
      </w:r>
      <w:r>
        <w:t xml:space="preserve">(e.g. modality, context length, latency sensitivity).</w:t>
      </w:r>
    </w:p>
    <w:p>
      <w:pPr>
        <w:pStyle w:val="Compact"/>
        <w:numPr>
          <w:ilvl w:val="0"/>
          <w:numId w:val="100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deterministic or explainable</w:t>
      </w:r>
      <w:r>
        <w:t xml:space="preserve"> </w:t>
      </w:r>
      <w:r>
        <w:t xml:space="preserve">decision paths suitable for a PoC (e.g. documented precedence rules, simulation/explain outputs where applicable).</w:t>
      </w:r>
    </w:p>
    <w:p>
      <w:pPr>
        <w:pStyle w:val="Compact"/>
        <w:numPr>
          <w:ilvl w:val="0"/>
          <w:numId w:val="100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failure handling</w:t>
      </w:r>
      <w:r>
        <w:t xml:space="preserve">: bounded retries, degradation paths, and safe fallbacks consistent with policy.</w:t>
      </w:r>
    </w:p>
    <w:bookmarkEnd w:id="12"/>
    <w:bookmarkStart w:id="13" w:name="X14d4ed89d8ca94758ab12ac9c63c085e03dbfb0"/>
    <w:p>
      <w:pPr>
        <w:pStyle w:val="Heading3"/>
      </w:pPr>
      <w:r>
        <w:t xml:space="preserve">Workstream 3 — Build demonstrator environment using an existing reference application context</w:t>
      </w:r>
    </w:p>
    <w:p>
      <w:pPr>
        <w:pStyle w:val="Compact"/>
        <w:numPr>
          <w:ilvl w:val="0"/>
          <w:numId w:val="1004"/>
        </w:numPr>
      </w:pPr>
      <w:r>
        <w:t xml:space="preserve">Integrate the routing layer with a</w:t>
      </w:r>
      <w:r>
        <w:t xml:space="preserve"> </w:t>
      </w:r>
      <w:r>
        <w:rPr>
          <w:b/>
          <w:bCs/>
        </w:rPr>
        <w:t xml:space="preserve">reference application</w:t>
      </w:r>
      <w:r>
        <w:t xml:space="preserve"> </w:t>
      </w:r>
      <w:r>
        <w:t xml:space="preserve">(existing internal or open scaffold) that exercises realistic flows (e.g. summarisation, structured extraction, light agentic steps).</w:t>
      </w:r>
    </w:p>
    <w:p>
      <w:pPr>
        <w:pStyle w:val="Compact"/>
        <w:numPr>
          <w:ilvl w:val="0"/>
          <w:numId w:val="1004"/>
        </w:numPr>
      </w:pPr>
      <w:r>
        <w:t xml:space="preserve">Ensure the demonstrator shows</w:t>
      </w:r>
      <w:r>
        <w:t xml:space="preserve"> </w:t>
      </w:r>
      <w:r>
        <w:rPr>
          <w:b/>
          <w:bCs/>
        </w:rPr>
        <w:t xml:space="preserve">BYOK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multi-provider</w:t>
      </w:r>
      <w:r>
        <w:t xml:space="preserve"> </w:t>
      </w:r>
      <w:r>
        <w:t xml:space="preserve">behaviour without requiring a full production SaaS stack; focus on</w:t>
      </w:r>
      <w:r>
        <w:t xml:space="preserve"> </w:t>
      </w:r>
      <w:r>
        <w:rPr>
          <w:b/>
          <w:bCs/>
        </w:rPr>
        <w:t xml:space="preserve">traceable</w:t>
      </w:r>
      <w:r>
        <w:t xml:space="preserve"> </w:t>
      </w:r>
      <w:r>
        <w:t xml:space="preserve">runs suitable for evaluation.</w:t>
      </w:r>
    </w:p>
    <w:bookmarkEnd w:id="13"/>
    <w:bookmarkStart w:id="14" w:name="X5a8f674aa192ddb421be4c47465602fa5d73d84"/>
    <w:p>
      <w:pPr>
        <w:pStyle w:val="Heading3"/>
      </w:pPr>
      <w:r>
        <w:t xml:space="preserve">Workstream 4 — Define and run comparative evaluation against baselines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 A:</w:t>
      </w:r>
      <w:r>
        <w:t xml:space="preserve"> </w:t>
      </w:r>
      <w:r>
        <w:t xml:space="preserve">fixed single-provider execution (typical “pick one vendor and stay there”).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 B:</w:t>
      </w:r>
      <w:r>
        <w:t xml:space="preserve"> </w:t>
      </w:r>
      <w:r>
        <w:t xml:space="preserve">manual provider choice (user or developer switches provider without systematic policy).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Treatment:</w:t>
      </w:r>
      <w:r>
        <w:t xml:space="preserve"> </w:t>
      </w:r>
      <w:r>
        <w:t xml:space="preserve">Restormel Keys routing under the same tasks and comparable keys/budgets.</w:t>
      </w:r>
    </w:p>
    <w:p>
      <w:pPr>
        <w:pStyle w:val="Compact"/>
        <w:numPr>
          <w:ilvl w:val="0"/>
          <w:numId w:val="1005"/>
        </w:numPr>
      </w:pPr>
      <w:r>
        <w:t xml:space="preserve">Pre-register success metrics (see Section 4) and document protocol limitations appropriate to TRL 3.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validation-approach"/>
    <w:p>
      <w:pPr>
        <w:pStyle w:val="Heading2"/>
      </w:pPr>
      <w:r>
        <w:t xml:space="preserve">4. Validation approach</w:t>
      </w:r>
    </w:p>
    <w:p>
      <w:pPr>
        <w:pStyle w:val="FirstParagraph"/>
      </w:pPr>
      <w:r>
        <w:t xml:space="preserve">Validation is</w:t>
      </w:r>
      <w:r>
        <w:t xml:space="preserve"> </w:t>
      </w:r>
      <w:r>
        <w:rPr>
          <w:b/>
          <w:bCs/>
        </w:rPr>
        <w:t xml:space="preserve">benchmark-led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task-grounded</w:t>
      </w:r>
      <w:r>
        <w:t xml:space="preserve">, not solely qualitative.</w:t>
      </w:r>
    </w:p>
    <w:bookmarkStart w:id="16" w:name="method"/>
    <w:p>
      <w:pPr>
        <w:pStyle w:val="Heading3"/>
      </w:pPr>
      <w:r>
        <w:t xml:space="preserve">Method</w:t>
      </w:r>
    </w:p>
    <w:p>
      <w:pPr>
        <w:pStyle w:val="Compact"/>
        <w:numPr>
          <w:ilvl w:val="0"/>
          <w:numId w:val="1006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small, representative task suite</w:t>
      </w:r>
      <w:r>
        <w:t xml:space="preserve"> </w:t>
      </w:r>
      <w:r>
        <w:t xml:space="preserve">aligned with SMB and individual use (e.g. short-form assistance, document summarisation, light tool-using flows if in scope).</w:t>
      </w:r>
    </w:p>
    <w:p>
      <w:pPr>
        <w:pStyle w:val="Compact"/>
        <w:numPr>
          <w:ilvl w:val="0"/>
          <w:numId w:val="1006"/>
        </w:numPr>
      </w:pPr>
      <w:r>
        <w:t xml:space="preserve">For each task, run repeated trials with controlled inputs (and fixed random seeds where randomness matters) to reduce noise.</w:t>
      </w:r>
    </w:p>
    <w:p>
      <w:pPr>
        <w:pStyle w:val="Compact"/>
        <w:numPr>
          <w:ilvl w:val="0"/>
          <w:numId w:val="1006"/>
        </w:numPr>
      </w:pPr>
      <w:r>
        <w:t xml:space="preserve">Compare baselines and the Restormel Keys treatment under</w:t>
      </w:r>
      <w:r>
        <w:t xml:space="preserve"> </w:t>
      </w:r>
      <w:r>
        <w:rPr>
          <w:b/>
          <w:bCs/>
        </w:rPr>
        <w:t xml:space="preserve">matched constraints</w:t>
      </w:r>
      <w:r>
        <w:t xml:space="preserve"> </w:t>
      </w:r>
      <w:r>
        <w:t xml:space="preserve">(e.g. comparable monthly budget caps expressed as test harness limits).</w:t>
      </w:r>
    </w:p>
    <w:bookmarkEnd w:id="16"/>
    <w:bookmarkStart w:id="17" w:name="measures"/>
    <w:p>
      <w:pPr>
        <w:pStyle w:val="Heading3"/>
      </w:pPr>
      <w:r>
        <w:t xml:space="preserve">Measures</w:t>
      </w:r>
    </w:p>
    <w:p>
      <w:pPr>
        <w:pStyle w:val="FirstParagraph"/>
      </w:pPr>
      <w:r>
        <w:t xml:space="preserve">(Indicative; final set fixed during Workstreams 1–2 and documented before main runs.)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Execution quality:</w:t>
      </w:r>
      <w:r>
        <w:t xml:space="preserve"> </w:t>
      </w:r>
      <w:r>
        <w:t xml:space="preserve">task-specific scores (e.g. rubric-based grading, structured output correctness checks, human spot-checks on a stratified subset where appropriate).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Cost behaviour:</w:t>
      </w:r>
      <w:r>
        <w:t xml:space="preserve"> </w:t>
      </w:r>
      <w:r>
        <w:t xml:space="preserve">total inferred cost per task suite, variance across runs, and behaviour under</w:t>
      </w:r>
      <w:r>
        <w:t xml:space="preserve"> </w:t>
      </w:r>
      <w:r>
        <w:rPr>
          <w:b/>
          <w:bCs/>
        </w:rPr>
        <w:t xml:space="preserve">cost ceilings</w:t>
      </w:r>
      <w:r>
        <w:t xml:space="preserve"> </w:t>
      </w:r>
      <w:r>
        <w:t xml:space="preserve">(e.g. graceful degradation vs hard failure).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Operational control:</w:t>
      </w:r>
      <w:r>
        <w:t xml:space="preserve"> </w:t>
      </w:r>
      <w:r>
        <w:t xml:space="preserve">rate of policy violations (should be zero in harness), clarity of routing decisions (explain/simulate outputs), and recovery from injected provider faults in 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Availability / resilience:</w:t>
      </w:r>
      <w:r>
        <w:t xml:space="preserve"> </w:t>
      </w:r>
      <w:r>
        <w:t xml:space="preserve">outcome distribution under simulated degradation (throttling, temporary errors) when fallback routes are permitted by policy.</w:t>
      </w:r>
    </w:p>
    <w:bookmarkEnd w:id="17"/>
    <w:bookmarkStart w:id="18" w:name="limitations-explicit-for-trl-3"/>
    <w:p>
      <w:pPr>
        <w:pStyle w:val="Heading3"/>
      </w:pPr>
      <w:r>
        <w:t xml:space="preserve">Limitations (explicit for TRL 3)</w:t>
      </w:r>
    </w:p>
    <w:p>
      <w:pPr>
        <w:pStyle w:val="FirstParagraph"/>
      </w:pPr>
      <w:r>
        <w:t xml:space="preserve">Sample sizes and generalisation claims remain</w:t>
      </w:r>
      <w:r>
        <w:t xml:space="preserve"> </w:t>
      </w:r>
      <w:r>
        <w:rPr>
          <w:b/>
          <w:bCs/>
        </w:rPr>
        <w:t xml:space="preserve">proportionate to a PoC</w:t>
      </w:r>
      <w:r>
        <w:t xml:space="preserve">; the goal is</w:t>
      </w:r>
      <w:r>
        <w:t xml:space="preserve"> </w:t>
      </w:r>
      <w:r>
        <w:rPr>
          <w:b/>
          <w:bCs/>
        </w:rPr>
        <w:t xml:space="preserve">credible comparative evidence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repeatable evaluation protocol</w:t>
      </w:r>
      <w:r>
        <w:t xml:space="preserve">, not exhaustive market-wide benchmarking.</w:t>
      </w:r>
    </w:p>
    <w:p>
      <w:pPr>
        <w:pStyle w:val="BodyText"/>
      </w:pPr>
      <w:r>
        <w:rPr>
          <w:b/>
          <w:bCs/>
        </w:rPr>
        <w:t xml:space="preserve">One-line summary for forms:</w:t>
      </w:r>
      <w:r>
        <w:t xml:space="preserve"> </w:t>
      </w:r>
      <w:r>
        <w:rPr>
          <w:i/>
          <w:iCs/>
        </w:rPr>
        <w:t xml:space="preserve">Measures: execution quality, cost behaviour under ceilings, policy compliance, and resilience under controlled failure injection.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outputs-and-success-criteria-6-months"/>
    <w:p>
      <w:pPr>
        <w:pStyle w:val="Heading2"/>
      </w:pPr>
      <w:r>
        <w:t xml:space="preserve">5. Outputs and success criteria (6 months)</w:t>
      </w:r>
    </w:p>
    <w:bookmarkStart w:id="20" w:name="technical-outputs"/>
    <w:p>
      <w:pPr>
        <w:pStyle w:val="Heading3"/>
      </w:pPr>
      <w:r>
        <w:t xml:space="preserve">Technical outputs</w:t>
      </w:r>
    </w:p>
    <w:p>
      <w:pPr>
        <w:pStyle w:val="Compact"/>
        <w:numPr>
          <w:ilvl w:val="0"/>
          <w:numId w:val="1008"/>
        </w:numPr>
      </w:pPr>
      <w:r>
        <w:t xml:space="preserve">Architecture specification for multi-provider execution, routing state, policy enforcement, and monitoring.</w:t>
      </w:r>
    </w:p>
    <w:p>
      <w:pPr>
        <w:pStyle w:val="Compact"/>
        <w:numPr>
          <w:ilvl w:val="0"/>
          <w:numId w:val="1008"/>
        </w:numPr>
      </w:pPr>
      <w:r>
        <w:t xml:space="preserve">Implementable</w:t>
      </w:r>
      <w:r>
        <w:t xml:space="preserve"> </w:t>
      </w:r>
      <w:r>
        <w:rPr>
          <w:b/>
          <w:bCs/>
        </w:rPr>
        <w:t xml:space="preserve">core routing and constraint logic</w:t>
      </w:r>
      <w:r>
        <w:t xml:space="preserve"> </w:t>
      </w:r>
      <w:r>
        <w:t xml:space="preserve">in the PoC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Demonstrator</w:t>
      </w:r>
      <w:r>
        <w:t xml:space="preserve"> </w:t>
      </w:r>
      <w:r>
        <w:t xml:space="preserve">integrated with a reference application context.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Evaluation report:</w:t>
      </w:r>
      <w:r>
        <w:t xml:space="preserve"> </w:t>
      </w:r>
      <w:r>
        <w:t xml:space="preserve">comparative results vs baselines, with methodology, metrics, and limitations.</w:t>
      </w:r>
    </w:p>
    <w:bookmarkEnd w:id="20"/>
    <w:bookmarkStart w:id="21" w:name="success-criteria-poc-appropriate"/>
    <w:p>
      <w:pPr>
        <w:pStyle w:val="Heading3"/>
      </w:pPr>
      <w:r>
        <w:t xml:space="preserve">Success criteria (PoC-appropriate)</w:t>
      </w:r>
    </w:p>
    <w:p>
      <w:pPr>
        <w:pStyle w:val="Compact"/>
        <w:numPr>
          <w:ilvl w:val="0"/>
          <w:numId w:val="1009"/>
        </w:numPr>
      </w:pPr>
      <w:r>
        <w:t xml:space="preserve">Demonstrated</w:t>
      </w:r>
      <w:r>
        <w:t xml:space="preserve"> </w:t>
      </w:r>
      <w:r>
        <w:rPr>
          <w:b/>
          <w:bCs/>
        </w:rPr>
        <w:t xml:space="preserve">multi-provider routing under explicit constraints</w:t>
      </w:r>
      <w:r>
        <w:t xml:space="preserve"> </w:t>
      </w:r>
      <w:r>
        <w:t xml:space="preserve">on the task suite.</w:t>
      </w:r>
    </w:p>
    <w:p>
      <w:pPr>
        <w:pStyle w:val="Compact"/>
        <w:numPr>
          <w:ilvl w:val="0"/>
          <w:numId w:val="1009"/>
        </w:numPr>
      </w:pPr>
      <w:r>
        <w:t xml:space="preserve">Measurable</w:t>
      </w:r>
      <w:r>
        <w:t xml:space="preserve"> </w:t>
      </w:r>
      <w:r>
        <w:rPr>
          <w:b/>
          <w:bCs/>
        </w:rPr>
        <w:t xml:space="preserve">quality–cost–control trade-offs</w:t>
      </w:r>
      <w:r>
        <w:t xml:space="preserve"> </w:t>
      </w:r>
      <w:r>
        <w:t xml:space="preserve">documented vs baselines.</w:t>
      </w:r>
    </w:p>
    <w:p>
      <w:pPr>
        <w:pStyle w:val="Compact"/>
        <w:numPr>
          <w:ilvl w:val="0"/>
          <w:numId w:val="1009"/>
        </w:numPr>
      </w:pPr>
      <w:r>
        <w:t xml:space="preserve">Clear</w:t>
      </w:r>
      <w:r>
        <w:t xml:space="preserve"> </w:t>
      </w:r>
      <w:r>
        <w:rPr>
          <w:b/>
          <w:bCs/>
        </w:rPr>
        <w:t xml:space="preserve">path to TRL 4</w:t>
      </w:r>
      <w:r>
        <w:t xml:space="preserve"> </w:t>
      </w:r>
      <w:r>
        <w:t xml:space="preserve">(validation in relevant environment) articulated as follow-on work, without over-claiming production scale.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arket-alignment-mrl-2"/>
    <w:p>
      <w:pPr>
        <w:pStyle w:val="Heading2"/>
      </w:pPr>
      <w:r>
        <w:t xml:space="preserve">6. Market alignment (MRL 2)</w:t>
      </w:r>
    </w:p>
    <w:p>
      <w:pPr>
        <w:pStyle w:val="FirstParagraph"/>
      </w:pPr>
      <w:r>
        <w:t xml:space="preserve">Within the grant period, market activity focuses on</w:t>
      </w:r>
      <w:r>
        <w:t xml:space="preserve"> </w:t>
      </w:r>
      <w:r>
        <w:rPr>
          <w:b/>
          <w:bCs/>
        </w:rPr>
        <w:t xml:space="preserve">validating the problem–solution fit narrative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pricing hypothesis</w:t>
      </w:r>
      <w:r>
        <w:t xml:space="preserve"> </w:t>
      </w:r>
      <w:r>
        <w:t xml:space="preserve">(£10/month B2C SaaS) through</w:t>
      </w:r>
      <w:r>
        <w:t xml:space="preserve"> </w:t>
      </w:r>
      <w:r>
        <w:rPr>
          <w:b/>
          <w:bCs/>
        </w:rPr>
        <w:t xml:space="preserve">structured customer discovery</w:t>
      </w:r>
      <w:r>
        <w:t xml:space="preserve"> </w:t>
      </w:r>
      <w:r>
        <w:t xml:space="preserve">(interviews, landing-page learning, waitlist or early-access cohort if pursued)—kept distinct from TRL technical claims. Outputs may include a</w:t>
      </w:r>
      <w:r>
        <w:t xml:space="preserve"> </w:t>
      </w:r>
      <w:r>
        <w:rPr>
          <w:b/>
          <w:bCs/>
        </w:rPr>
        <w:t xml:space="preserve">concise market note</w:t>
      </w:r>
      <w:r>
        <w:t xml:space="preserve"> </w:t>
      </w:r>
      <w:r>
        <w:t xml:space="preserve">summarising segments, objections, and willingness-to-pay signals; this supports MRL 2 without implying large-scale commercial traction.</w:t>
      </w:r>
    </w:p>
    <w:p>
      <w:r>
        <w:pict>
          <v:rect style="width:0;height:1.5pt" o:hralign="center" o:hrstd="t" o:hr="t"/>
        </w:pict>
      </w:r>
    </w:p>
    <w:bookmarkEnd w:id="23"/>
    <w:bookmarkStart w:id="24" w:name="risks-and-mitigation-summary"/>
    <w:p>
      <w:pPr>
        <w:pStyle w:val="Heading2"/>
      </w:pPr>
      <w:r>
        <w:t xml:space="preserve">7. Risks and mitigation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API churn and heterogeneity</w:t>
            </w:r>
          </w:p>
        </w:tc>
        <w:tc>
          <w:tcPr/>
          <w:p>
            <w:pPr>
              <w:pStyle w:val="Compact"/>
            </w:pPr>
            <w:r>
              <w:t xml:space="preserve">Strict provider abstraction; versioned adapters; narrow initial provider set for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noise (quality/cost)</w:t>
            </w:r>
          </w:p>
        </w:tc>
        <w:tc>
          <w:tcPr/>
          <w:p>
            <w:pPr>
              <w:pStyle w:val="Compact"/>
            </w:pPr>
            <w:r>
              <w:t xml:space="preserve">Fixed task suite; repeated trials; documented harness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beyond PoC</w:t>
            </w:r>
          </w:p>
        </w:tc>
        <w:tc>
          <w:tcPr/>
          <w:p>
            <w:pPr>
              <w:pStyle w:val="Compact"/>
            </w:pPr>
            <w:r>
              <w:t xml:space="preserve">Time-box workstreams; defer full production SaaS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Security/privacy (BYOK)</w:t>
            </w:r>
          </w:p>
        </w:tc>
        <w:tc>
          <w:tcPr/>
          <w:p>
            <w:pPr>
              <w:pStyle w:val="Compact"/>
            </w:pPr>
            <w:r>
              <w:t xml:space="preserve">Keys handled as secrets; minimised logging; threat-informed design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eam-and-delivery"/>
    <w:p>
      <w:pPr>
        <w:pStyle w:val="Heading2"/>
      </w:pPr>
      <w:r>
        <w:t xml:space="preserve">8. Team and delivery</w:t>
      </w:r>
    </w:p>
    <w:p>
      <w:pPr>
        <w:pStyle w:val="FirstParagraph"/>
      </w:pPr>
      <w:r>
        <w:rPr>
          <w:b/>
          <w:bCs/>
        </w:rPr>
        <w:t xml:space="preserve">ALLOTMENT TECHNOLOGY LTD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solo-founder</w:t>
      </w:r>
      <w:r>
        <w:t xml:space="preserve"> </w:t>
      </w:r>
      <w:r>
        <w:t xml:space="preserve">company based in</w:t>
      </w:r>
      <w:r>
        <w:t xml:space="preserve"> </w:t>
      </w:r>
      <w:r>
        <w:rPr>
          <w:b/>
          <w:bCs/>
        </w:rPr>
        <w:t xml:space="preserve">Torquay</w:t>
      </w:r>
      <w:r>
        <w:t xml:space="preserve">. Delivery is organised around the workstreams above, with</w:t>
      </w:r>
      <w:r>
        <w:t xml:space="preserve"> </w:t>
      </w:r>
      <w:r>
        <w:rPr>
          <w:b/>
          <w:bCs/>
        </w:rPr>
        <w:t xml:space="preserve">monthly milestones</w:t>
      </w:r>
      <w:r>
        <w:t xml:space="preserve"> </w:t>
      </w:r>
      <w:r>
        <w:t xml:space="preserve">and explicit</w:t>
      </w:r>
      <w:r>
        <w:t xml:space="preserve"> </w:t>
      </w:r>
      <w:r>
        <w:rPr>
          <w:b/>
          <w:bCs/>
        </w:rPr>
        <w:t xml:space="preserve">go/no-go</w:t>
      </w:r>
      <w:r>
        <w:t xml:space="preserve"> </w:t>
      </w:r>
      <w:r>
        <w:t xml:space="preserve">checks before large evaluation runs. External advisors or collaborators may be named in the main application if applicable.</w:t>
      </w:r>
    </w:p>
    <w:p>
      <w:r>
        <w:pict>
          <v:rect style="width:0;height:1.5pt" o:hralign="center" o:hrstd="t" o:hr="t"/>
        </w:pict>
      </w:r>
    </w:p>
    <w:bookmarkEnd w:id="25"/>
    <w:bookmarkStart w:id="26" w:name="X12356629af10af8f8b5441d5d2eeb3e1f4109c6"/>
    <w:p>
      <w:pPr>
        <w:pStyle w:val="Heading2"/>
      </w:pPr>
      <w:r>
        <w:t xml:space="preserve">9. Suggested six-month milestone map (illustrative)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Workstream 1: architecture, policy model, evaluation protocol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Workstream 2: core routing and constraint logic; early unit/integration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Workstream 3: demonstrator integration and dry-run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Workstream 4: comparative runs, analysis, report; MRL 2 discovery synthesis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 copy for grant applications. Not a legal or commercial commitment.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2026-03-24T09:02:08Z</dcterms:created>
  <dcterms:modified xsi:type="dcterms:W3CDTF">2026-03-24T09:02:08Z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