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8AE91">
      <w:pPr>
        <w:spacing w:after="80"/>
        <w:jc w:val="center"/>
      </w:pPr>
      <w:r>
        <w:rPr>
          <w:rFonts w:ascii="Arial" w:hAnsi="Arial" w:eastAsia="黑体"/>
          <w:b/>
          <w:bCs/>
          <w:color w:val="1F3864"/>
          <w:sz w:val="40"/>
          <w:szCs w:val="40"/>
        </w:rPr>
        <w:t>腹膜筋膜层面标注协议</w:t>
      </w:r>
    </w:p>
    <w:p w14:paraId="5547DDFB">
      <w:pPr>
        <w:spacing w:after="200"/>
        <w:jc w:val="center"/>
      </w:pPr>
      <w:r>
        <w:rPr>
          <w:rFonts w:ascii="Times New Roman" w:hAnsi="Times New Roman" w:eastAsia="宋体"/>
          <w:color w:val="44546A"/>
          <w:sz w:val="24"/>
          <w:szCs w:val="24"/>
        </w:rPr>
        <w:t>肝肾隐窝层面 / 脾肾韧带层面 · 三位独立标注者盲法标注</w:t>
      </w:r>
    </w:p>
    <w:tbl>
      <w:tblPr>
        <w:tblStyle w:val="12"/>
        <w:tblW w:w="9026" w:type="dxa"/>
        <w:tblInd w:w="0" w:type="dxa"/>
        <w:tblBorders>
          <w:top w:val="single" w:color="9BA7BC" w:sz="4" w:space="0"/>
          <w:left w:val="single" w:color="9BA7BC" w:sz="4" w:space="0"/>
          <w:bottom w:val="single" w:color="9BA7BC" w:sz="4" w:space="0"/>
          <w:right w:val="single" w:color="9BA7BC" w:sz="4" w:space="0"/>
          <w:insideH w:val="single" w:color="C2CBDC" w:sz="2" w:space="0"/>
          <w:insideV w:val="single" w:color="C2CBDC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53C82631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DC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91F80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7226" w:type="dxa"/>
            <w:shd w:val="clear" w:color="auto" w:fill="DC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A4698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>内容</w:t>
            </w:r>
          </w:p>
        </w:tc>
      </w:tr>
      <w:tr w14:paraId="6F12D350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D9997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文件版本</w:t>
            </w:r>
          </w:p>
        </w:tc>
        <w:tc>
          <w:tcPr>
            <w:tcW w:w="7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4602F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v1.0（草案，待临床作者签署确认）</w:t>
            </w:r>
          </w:p>
        </w:tc>
      </w:tr>
      <w:tr w14:paraId="6A83C4AD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624F1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适用研究</w:t>
            </w:r>
          </w:p>
        </w:tc>
        <w:tc>
          <w:tcPr>
            <w:tcW w:w="7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37FA1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npj  投稿 d6294e10 修回实验</w:t>
            </w:r>
          </w:p>
        </w:tc>
      </w:tr>
      <w:tr w14:paraId="305D0EDA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700AE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标注软件</w:t>
            </w:r>
          </w:p>
        </w:tc>
        <w:tc>
          <w:tcPr>
            <w:tcW w:w="7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98668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3D Slicer 5.6 或更高版本（三位标注者须使用完全相同版本）</w:t>
            </w:r>
          </w:p>
        </w:tc>
      </w:tr>
      <w:tr w14:paraId="2B92CF69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A8A3E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发放日期</w:t>
            </w:r>
          </w:p>
        </w:tc>
        <w:tc>
          <w:tcPr>
            <w:tcW w:w="7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E6ACB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＿＿＿＿年＿＿月＿＿日</w:t>
            </w:r>
          </w:p>
        </w:tc>
      </w:tr>
    </w:tbl>
    <w:p w14:paraId="47A5A50B">
      <w:pPr>
        <w:spacing w:after="300"/>
      </w:pPr>
    </w:p>
    <w:p w14:paraId="7C9333DF">
      <w:pPr>
        <w:pStyle w:val="2"/>
        <w:spacing w:before="400" w:after="200"/>
      </w:pPr>
      <w:r>
        <w:rPr>
          <w:rFonts w:ascii="Arial" w:hAnsi="Arial" w:eastAsia="黑体"/>
          <w:b/>
          <w:bCs/>
          <w:color w:val="1F3864"/>
          <w:sz w:val="30"/>
          <w:szCs w:val="30"/>
        </w:rPr>
        <w:t>一、标注目的</w:t>
      </w:r>
    </w:p>
    <w:p w14:paraId="467A8005">
      <w:pPr>
        <w:spacing w:after="120" w:line="320" w:lineRule="auto"/>
      </w:pPr>
      <w:r>
        <w:rPr>
          <w:rFonts w:ascii="Times New Roman" w:hAnsi="Times New Roman" w:eastAsia="宋体"/>
          <w:sz w:val="22"/>
          <w:szCs w:val="22"/>
        </w:rPr>
        <w:t>本研究评估外科医生在术前 CT 上识别特定解剖层面的一致性。请您依据自身外科解剖经验，在 CT 上勾画出您在手术中会实际进入并加以游离的组织层面。</w:t>
      </w:r>
    </w:p>
    <w:p w14:paraId="3B2FBE8B">
      <w:p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请注意以下几点：</w:t>
      </w:r>
    </w:p>
    <w:p w14:paraId="04C42D2A">
      <w:pPr>
        <w:pStyle w:val="17"/>
        <w:numPr>
          <w:ilvl w:val="0"/>
          <w:numId w:val="1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本研究关注的是您的临床判断，不存在标准答案；</w:t>
      </w:r>
    </w:p>
    <w:p w14:paraId="7DD0707B">
      <w:pPr>
        <w:pStyle w:val="17"/>
        <w:numPr>
          <w:ilvl w:val="0"/>
          <w:numId w:val="1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请勿与其他标注者讨论任何病例；</w:t>
      </w:r>
    </w:p>
    <w:p w14:paraId="365DBCDF">
      <w:pPr>
        <w:pStyle w:val="17"/>
        <w:numPr>
          <w:ilvl w:val="0"/>
          <w:numId w:val="1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请勿参考任何自动分割结果或既往标注；</w:t>
      </w:r>
    </w:p>
    <w:p w14:paraId="227604FC">
      <w:pPr>
        <w:pStyle w:val="17"/>
        <w:numPr>
          <w:ilvl w:val="0"/>
          <w:numId w:val="1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若您对某一病例判断困难，请如实标记为难以判断，不要勉强勾画。</w:t>
      </w:r>
    </w:p>
    <w:p w14:paraId="0F4BC567">
      <w:pPr>
        <w:spacing w:after="160"/>
      </w:pPr>
    </w:p>
    <w:p w14:paraId="21A66C34">
      <w:pPr>
        <w:spacing w:after="120" w:line="32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您本次的标注任务范围如下：</w:t>
      </w:r>
    </w:p>
    <w:tbl>
      <w:tblPr>
        <w:tblStyle w:val="12"/>
        <w:tblW w:w="9026" w:type="dxa"/>
        <w:tblInd w:w="0" w:type="dxa"/>
        <w:tblBorders>
          <w:top w:val="single" w:color="9BA7BC" w:sz="4" w:space="0"/>
          <w:left w:val="single" w:color="9BA7BC" w:sz="4" w:space="0"/>
          <w:bottom w:val="single" w:color="9BA7BC" w:sz="4" w:space="0"/>
          <w:right w:val="single" w:color="9BA7BC" w:sz="4" w:space="0"/>
          <w:insideH w:val="single" w:color="C2CBDC" w:sz="2" w:space="0"/>
          <w:insideV w:val="single" w:color="C2CBDC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6542F81D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DC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E2403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6426" w:type="dxa"/>
            <w:shd w:val="clear" w:color="auto" w:fill="DC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C8A1F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>内容</w:t>
            </w:r>
          </w:p>
        </w:tc>
      </w:tr>
      <w:tr w14:paraId="4B242765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312F6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病例总数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0358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40 例（匿名编号，乱序发放）</w:t>
            </w:r>
          </w:p>
        </w:tc>
      </w:tr>
      <w:tr w14:paraId="42E99B26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5F1D8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每例标注层面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6A50D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肝肾隐窝（HR）与脾肾韧带（SR），共 2 个层面</w:t>
            </w:r>
          </w:p>
        </w:tc>
      </w:tr>
      <w:tr w14:paraId="27A9B95A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F4B42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您的工作量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7F4B7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40 例 × 2 层面 = 80 次标注</w:t>
            </w:r>
          </w:p>
        </w:tc>
      </w:tr>
      <w:tr w14:paraId="4BD061AC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450D0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标注者人数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71690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共 3 位，任务完全相同，各自独立完成</w:t>
            </w:r>
          </w:p>
        </w:tc>
      </w:tr>
    </w:tbl>
    <w:p w14:paraId="0BAFAF98">
      <w:pPr>
        <w:spacing w:after="140"/>
      </w:pPr>
    </w:p>
    <w:p w14:paraId="7534EA21">
      <w:pPr>
        <w:pBdr>
          <w:left w:val="single" w:color="8EAADB" w:sz="12" w:space="12"/>
        </w:pBdr>
        <w:spacing w:before="120" w:after="160" w:line="320" w:lineRule="auto"/>
        <w:ind w:left="360"/>
      </w:pPr>
      <w:r>
        <w:rPr>
          <w:rFonts w:ascii="Times New Roman" w:hAnsi="Times New Roman" w:eastAsia="宋体"/>
          <w:i/>
          <w:iCs/>
          <w:color w:val="44546A"/>
          <w:sz w:val="21"/>
          <w:szCs w:val="21"/>
        </w:rPr>
        <w:t>每一例都需要标注两个层面，请勿遗漏。若某一层面在该例中无法评估，仍须提交空标注并在质控表中说明，不要跳过不交。</w:t>
      </w:r>
    </w:p>
    <w:p w14:paraId="0B229278">
      <w:pPr>
        <w:pStyle w:val="2"/>
        <w:spacing w:before="400" w:after="200"/>
      </w:pPr>
      <w:r>
        <w:rPr>
          <w:rFonts w:ascii="Arial" w:hAnsi="Arial" w:eastAsia="黑体"/>
          <w:b/>
          <w:bCs/>
          <w:color w:val="1F3864"/>
          <w:sz w:val="30"/>
          <w:szCs w:val="30"/>
        </w:rPr>
        <w:t>二、标注对象的解剖定义</w:t>
      </w:r>
    </w:p>
    <w:p w14:paraId="7706C548">
      <w:pPr>
        <w:pStyle w:val="3"/>
        <w:spacing w:before="280" w:after="140"/>
      </w:pPr>
      <w:r>
        <w:rPr>
          <w:rFonts w:ascii="Arial" w:hAnsi="Arial" w:eastAsia="黑体"/>
          <w:b/>
          <w:bCs/>
          <w:color w:val="2E5496"/>
          <w:sz w:val="25"/>
          <w:szCs w:val="25"/>
        </w:rPr>
        <w:t>2.1　肝肾隐窝层面（Hepatorenal recess plane，Morison's pouch）</w:t>
      </w:r>
    </w:p>
    <w:p w14:paraId="4CA11470">
      <w:pPr>
        <w:spacing w:after="80" w:line="32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解剖实质（重要，请仔细阅读）：</w:t>
      </w:r>
    </w:p>
    <w:p w14:paraId="6CB1CCAC">
      <w:p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肝脏与右肾之间并非单一筋膜，而是由多层结构叠合构成，从前向后依次为：</w:t>
      </w:r>
    </w:p>
    <w:p w14:paraId="6B32FA75">
      <w:pPr>
        <w:spacing w:after="120" w:line="320" w:lineRule="auto"/>
        <w:ind w:left="360"/>
      </w:pPr>
      <w:r>
        <w:rPr>
          <w:rFonts w:ascii="Times New Roman" w:hAnsi="Times New Roman" w:eastAsia="宋体"/>
          <w:sz w:val="22"/>
          <w:szCs w:val="22"/>
        </w:rPr>
        <w:t xml:space="preserve">肝实质 → 肝脏面被覆的脏层腹膜 → </w:t>
      </w:r>
      <w:r>
        <w:rPr>
          <w:rFonts w:ascii="Times New Roman" w:hAnsi="Times New Roman" w:eastAsia="宋体"/>
          <w:b/>
          <w:bCs/>
          <w:sz w:val="22"/>
          <w:szCs w:val="22"/>
        </w:rPr>
        <w:t>肝肾隐窝（腹膜潜在腔隙）</w:t>
      </w:r>
      <w:r>
        <w:rPr>
          <w:rFonts w:ascii="Times New Roman" w:hAnsi="Times New Roman" w:eastAsia="宋体"/>
          <w:sz w:val="22"/>
          <w:szCs w:val="22"/>
        </w:rPr>
        <w:t xml:space="preserve"> → 壁层腹膜 → 肾前旁间隙脂肪 → </w:t>
      </w:r>
      <w:r>
        <w:rPr>
          <w:rFonts w:ascii="Times New Roman" w:hAnsi="Times New Roman" w:eastAsia="宋体"/>
          <w:b/>
          <w:bCs/>
          <w:sz w:val="22"/>
          <w:szCs w:val="22"/>
        </w:rPr>
        <w:t>肾前筋膜（Gerota 筋膜）</w:t>
      </w:r>
      <w:r>
        <w:rPr>
          <w:rFonts w:ascii="Times New Roman" w:hAnsi="Times New Roman" w:eastAsia="宋体"/>
          <w:sz w:val="22"/>
          <w:szCs w:val="22"/>
        </w:rPr>
        <w:t xml:space="preserve"> → 肾周脂肪 → 肾被膜 → 肾实质</w:t>
      </w:r>
    </w:p>
    <w:p w14:paraId="75277847">
      <w:pPr>
        <w:spacing w:after="120" w:line="32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本研究要求您勾画的范围：</w:t>
      </w:r>
      <w:r>
        <w:rPr>
          <w:rFonts w:ascii="Times New Roman" w:hAnsi="Times New Roman" w:eastAsia="宋体"/>
          <w:sz w:val="22"/>
          <w:szCs w:val="22"/>
        </w:rPr>
        <w:t>从肝脏脏面腹膜的后界，到右肾前方肾筋膜的前界之间的全部间隔组织，即上述加粗的两层及其之间的脂肪组织。</w:t>
      </w:r>
    </w:p>
    <w:p w14:paraId="13D92B5B">
      <w:pPr>
        <w:spacing w:after="120" w:line="320" w:lineRule="auto"/>
      </w:pPr>
      <w:r>
        <w:rPr>
          <w:rFonts w:ascii="Times New Roman" w:hAnsi="Times New Roman" w:eastAsia="宋体"/>
          <w:sz w:val="22"/>
          <w:szCs w:val="22"/>
        </w:rPr>
        <w:t>这对应于您在游离右半肝、或行右半结肠切除翻起肝曲时所进入并推开的整个组织层面。</w:t>
      </w:r>
    </w:p>
    <w:p w14:paraId="426160FB">
      <w:pPr>
        <w:spacing w:after="100" w:line="320" w:lineRule="auto"/>
      </w:pPr>
      <w:r>
        <w:rPr>
          <w:rFonts w:ascii="Times New Roman" w:hAnsi="Times New Roman" w:eastAsia="宋体"/>
          <w:sz w:val="22"/>
          <w:szCs w:val="22"/>
        </w:rPr>
        <w:t>边界限定如下：</w:t>
      </w:r>
    </w:p>
    <w:tbl>
      <w:tblPr>
        <w:tblStyle w:val="12"/>
        <w:tblW w:w="9026" w:type="dxa"/>
        <w:tblInd w:w="0" w:type="dxa"/>
        <w:tblBorders>
          <w:top w:val="single" w:color="9BA7BC" w:sz="4" w:space="0"/>
          <w:left w:val="single" w:color="9BA7BC" w:sz="4" w:space="0"/>
          <w:bottom w:val="single" w:color="9BA7BC" w:sz="4" w:space="0"/>
          <w:right w:val="single" w:color="9BA7BC" w:sz="4" w:space="0"/>
          <w:insideH w:val="single" w:color="C2CBDC" w:sz="2" w:space="0"/>
          <w:insideV w:val="single" w:color="C2CBDC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626"/>
      </w:tblGrid>
      <w:tr w14:paraId="184CE5C6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DC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E1411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>方向</w:t>
            </w:r>
          </w:p>
        </w:tc>
        <w:tc>
          <w:tcPr>
            <w:tcW w:w="7626" w:type="dxa"/>
            <w:shd w:val="clear" w:color="auto" w:fill="DC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30F4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>界限</w:t>
            </w:r>
          </w:p>
        </w:tc>
      </w:tr>
      <w:tr w14:paraId="30264E60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9B416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上界</w:t>
            </w:r>
          </w:p>
        </w:tc>
        <w:tc>
          <w:tcPr>
            <w:tcW w:w="7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1DF50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肝脏脏面开始与右肾上极（或右肾上腺）相邻的最上层面</w:t>
            </w:r>
          </w:p>
        </w:tc>
      </w:tr>
      <w:tr w14:paraId="4EE07C37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673CE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下界</w:t>
            </w:r>
          </w:p>
        </w:tc>
        <w:tc>
          <w:tcPr>
            <w:tcW w:w="7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580C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右肾下极层面，或肝脏下缘消失层面，取先出现者</w:t>
            </w:r>
          </w:p>
        </w:tc>
      </w:tr>
      <w:tr w14:paraId="65242E9A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DB0C0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内侧界</w:t>
            </w:r>
          </w:p>
        </w:tc>
        <w:tc>
          <w:tcPr>
            <w:tcW w:w="7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A4A06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下腔静脉右缘 / 十二指肠降部外侧缘</w:t>
            </w:r>
          </w:p>
        </w:tc>
      </w:tr>
      <w:tr w14:paraId="0C86C9CE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6449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外侧界</w:t>
            </w:r>
          </w:p>
        </w:tc>
        <w:tc>
          <w:tcPr>
            <w:tcW w:w="7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FD3AA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肝肾两者向外侧分离、其间被侧腹壁脂肪取代处</w:t>
            </w:r>
          </w:p>
        </w:tc>
      </w:tr>
    </w:tbl>
    <w:p w14:paraId="3004F14E">
      <w:pPr>
        <w:spacing w:after="140"/>
      </w:pPr>
    </w:p>
    <w:p w14:paraId="1A89C580">
      <w:pPr>
        <w:spacing w:after="120" w:line="32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明确排除的结构：</w:t>
      </w:r>
      <w:r>
        <w:rPr>
          <w:rFonts w:ascii="Times New Roman" w:hAnsi="Times New Roman" w:eastAsia="宋体"/>
          <w:sz w:val="22"/>
          <w:szCs w:val="22"/>
        </w:rPr>
        <w:t>右肾上腺、十二指肠降部（D2）、结肠肝曲、下腔静脉、肝右静脉。若这些结构介入肝肾之间，请在该层面沿其表面绕行，不要将其包含在内。</w:t>
      </w:r>
    </w:p>
    <w:p w14:paraId="13C11E49">
      <w:pPr>
        <w:pStyle w:val="3"/>
        <w:spacing w:before="280" w:after="140"/>
      </w:pPr>
      <w:r>
        <w:rPr>
          <w:rFonts w:ascii="Arial" w:hAnsi="Arial" w:eastAsia="黑体"/>
          <w:b/>
          <w:bCs/>
          <w:color w:val="2E5496"/>
          <w:sz w:val="25"/>
          <w:szCs w:val="25"/>
        </w:rPr>
        <w:t>2.2　脾肾韧带层面（Splenorenal / lienorenal ligament）</w:t>
      </w:r>
    </w:p>
    <w:p w14:paraId="771DBDE8">
      <w:pPr>
        <w:spacing w:after="80" w:line="32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解剖实质：</w:t>
      </w:r>
    </w:p>
    <w:p w14:paraId="38B85154">
      <w:pPr>
        <w:spacing w:after="120" w:line="320" w:lineRule="auto"/>
      </w:pPr>
      <w:r>
        <w:rPr>
          <w:rFonts w:ascii="Times New Roman" w:hAnsi="Times New Roman" w:eastAsia="宋体"/>
          <w:sz w:val="22"/>
          <w:szCs w:val="22"/>
        </w:rPr>
        <w:t>脾肾韧带是由左肾前方向脾门反折的双层腹膜皱襞，为背侧胃系膜衍生结构，其内含胰尾及脾血管。</w:t>
      </w:r>
    </w:p>
    <w:p w14:paraId="65666065">
      <w:pPr>
        <w:spacing w:after="120" w:line="320" w:lineRule="auto"/>
        <w:ind w:left="360"/>
      </w:pPr>
      <w:r>
        <w:rPr>
          <w:rFonts w:ascii="Times New Roman" w:hAnsi="Times New Roman" w:eastAsia="宋体"/>
          <w:sz w:val="22"/>
          <w:szCs w:val="22"/>
        </w:rPr>
        <w:t xml:space="preserve">层次：脾实质 → 脏层腹膜 → </w:t>
      </w:r>
      <w:r>
        <w:rPr>
          <w:rFonts w:ascii="Times New Roman" w:hAnsi="Times New Roman" w:eastAsia="宋体"/>
          <w:b/>
          <w:bCs/>
          <w:sz w:val="22"/>
          <w:szCs w:val="22"/>
        </w:rPr>
        <w:t>韧带本体（含胰尾、脾动静脉、脂肪）</w:t>
      </w:r>
      <w:r>
        <w:rPr>
          <w:rFonts w:ascii="Times New Roman" w:hAnsi="Times New Roman" w:eastAsia="宋体"/>
          <w:sz w:val="22"/>
          <w:szCs w:val="22"/>
        </w:rPr>
        <w:t xml:space="preserve"> → 腹膜 → Gerota 筋膜 → 左肾实质</w:t>
      </w:r>
    </w:p>
    <w:p w14:paraId="02EDE1C0">
      <w:pPr>
        <w:spacing w:after="120" w:line="32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本研究要求您勾画的范围：</w:t>
      </w:r>
      <w:r>
        <w:rPr>
          <w:rFonts w:ascii="Times New Roman" w:hAnsi="Times New Roman" w:eastAsia="宋体"/>
          <w:sz w:val="22"/>
          <w:szCs w:val="22"/>
        </w:rPr>
        <w:t>脾门内侧面与左肾前内侧面之间的间隔组织层面。</w:t>
      </w:r>
    </w:p>
    <w:p w14:paraId="60EA0A26">
      <w:pPr>
        <w:spacing w:after="120" w:line="320" w:lineRule="auto"/>
      </w:pPr>
      <w:r>
        <w:rPr>
          <w:rFonts w:ascii="Times New Roman" w:hAnsi="Times New Roman" w:eastAsia="宋体"/>
          <w:sz w:val="22"/>
          <w:szCs w:val="22"/>
        </w:rPr>
        <w:t>这对应于您在游离脾脏（内侧或外侧入路）、或行胰体尾切除时所进入的层面。</w:t>
      </w:r>
    </w:p>
    <w:p w14:paraId="6EC36CF0">
      <w:pPr>
        <w:spacing w:after="100" w:line="320" w:lineRule="auto"/>
      </w:pPr>
      <w:r>
        <w:rPr>
          <w:rFonts w:ascii="Times New Roman" w:hAnsi="Times New Roman" w:eastAsia="宋体"/>
          <w:sz w:val="22"/>
          <w:szCs w:val="22"/>
        </w:rPr>
        <w:t>边界限定如下：</w:t>
      </w:r>
    </w:p>
    <w:tbl>
      <w:tblPr>
        <w:tblStyle w:val="12"/>
        <w:tblW w:w="9026" w:type="dxa"/>
        <w:tblInd w:w="0" w:type="dxa"/>
        <w:tblBorders>
          <w:top w:val="single" w:color="9BA7BC" w:sz="4" w:space="0"/>
          <w:left w:val="single" w:color="9BA7BC" w:sz="4" w:space="0"/>
          <w:bottom w:val="single" w:color="9BA7BC" w:sz="4" w:space="0"/>
          <w:right w:val="single" w:color="9BA7BC" w:sz="4" w:space="0"/>
          <w:insideH w:val="single" w:color="C2CBDC" w:sz="2" w:space="0"/>
          <w:insideV w:val="single" w:color="C2CBDC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626"/>
      </w:tblGrid>
      <w:tr w14:paraId="6E93911D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DC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9EE9D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>方向</w:t>
            </w:r>
          </w:p>
        </w:tc>
        <w:tc>
          <w:tcPr>
            <w:tcW w:w="7626" w:type="dxa"/>
            <w:shd w:val="clear" w:color="auto" w:fill="DC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7A88E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>界限</w:t>
            </w:r>
          </w:p>
        </w:tc>
      </w:tr>
      <w:tr w14:paraId="1DC87E2B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CBA2C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上界</w:t>
            </w:r>
          </w:p>
        </w:tc>
        <w:tc>
          <w:tcPr>
            <w:tcW w:w="7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62EE6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脾门血管进入脾实质的最上层面</w:t>
            </w:r>
          </w:p>
        </w:tc>
      </w:tr>
      <w:tr w14:paraId="21359060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24D1B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下界</w:t>
            </w:r>
          </w:p>
        </w:tc>
        <w:tc>
          <w:tcPr>
            <w:tcW w:w="7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C69A8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脾下极层面，或左肾下极层面，取先出现者</w:t>
            </w:r>
          </w:p>
        </w:tc>
      </w:tr>
      <w:tr w14:paraId="2A7D2B19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F0D87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内侧界</w:t>
            </w:r>
          </w:p>
        </w:tc>
        <w:tc>
          <w:tcPr>
            <w:tcW w:w="7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4A1BB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脾血管主干（脾动静脉）外侧缘</w:t>
            </w:r>
          </w:p>
        </w:tc>
      </w:tr>
      <w:tr w14:paraId="52E8CAD0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328F0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外侧界</w:t>
            </w:r>
          </w:p>
        </w:tc>
        <w:tc>
          <w:tcPr>
            <w:tcW w:w="7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828BF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脾与左肾向外侧分离处</w:t>
            </w:r>
          </w:p>
        </w:tc>
      </w:tr>
    </w:tbl>
    <w:p w14:paraId="1475EDA7">
      <w:pPr>
        <w:spacing w:after="140"/>
      </w:pPr>
    </w:p>
    <w:p w14:paraId="52403593">
      <w:pPr>
        <w:spacing w:after="80" w:line="320" w:lineRule="auto"/>
      </w:pPr>
      <w:r>
        <w:rPr>
          <w:rFonts w:ascii="Times New Roman" w:hAnsi="Times New Roman" w:eastAsia="宋体"/>
          <w:b/>
          <w:bCs/>
          <w:color w:val="C00000"/>
          <w:sz w:val="22"/>
          <w:szCs w:val="22"/>
        </w:rPr>
        <w:t>关于胰尾（关键，务必阅读）</w:t>
      </w:r>
    </w:p>
    <w:p w14:paraId="77330433">
      <w:p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约 30–50% 个体的胰尾可延伸至脾门，位于脾肾之间。请按以下规则处理：</w:t>
      </w:r>
    </w:p>
    <w:p w14:paraId="4098A3B6">
      <w:pPr>
        <w:pStyle w:val="17"/>
        <w:numPr>
          <w:ilvl w:val="0"/>
          <w:numId w:val="2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若该层面可见胰尾组织，请不要将胰腺实质包含在标注内；</w:t>
      </w:r>
    </w:p>
    <w:p w14:paraId="6FFDE950">
      <w:pPr>
        <w:pStyle w:val="17"/>
        <w:numPr>
          <w:ilvl w:val="0"/>
          <w:numId w:val="2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请勾画胰尾前方与后方的组织间隙，遇胰腺实质时沿其轮廓绕行；</w:t>
      </w:r>
    </w:p>
    <w:p w14:paraId="516B0223">
      <w:pPr>
        <w:pStyle w:val="17"/>
        <w:numPr>
          <w:ilvl w:val="0"/>
          <w:numId w:val="2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若某层面胰尾完全填塞脾肾之间、无可辨识间隙，请将该层面标记为「该层不可评估」。</w:t>
      </w:r>
    </w:p>
    <w:p w14:paraId="5CAFCB48">
      <w:pPr>
        <w:spacing w:after="80"/>
      </w:pPr>
    </w:p>
    <w:p w14:paraId="19EF11A9">
      <w:pPr>
        <w:spacing w:after="120" w:line="32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明确排除的结构：</w:t>
      </w:r>
      <w:r>
        <w:rPr>
          <w:rFonts w:ascii="Times New Roman" w:hAnsi="Times New Roman" w:eastAsia="宋体"/>
          <w:sz w:val="22"/>
          <w:szCs w:val="22"/>
        </w:rPr>
        <w:t>胰腺实质、脾动静脉主干、结肠脾曲、左肾上腺。</w:t>
      </w:r>
    </w:p>
    <w:p w14:paraId="424E563E">
      <w:pPr>
        <w:pStyle w:val="2"/>
        <w:spacing w:before="400" w:after="200"/>
      </w:pPr>
      <w:r>
        <w:rPr>
          <w:rFonts w:ascii="Arial" w:hAnsi="Arial" w:eastAsia="黑体"/>
          <w:b/>
          <w:bCs/>
          <w:color w:val="1F3864"/>
          <w:sz w:val="30"/>
          <w:szCs w:val="30"/>
        </w:rPr>
        <w:t>三、软件设置（三位标注者必须完全一致）</w:t>
      </w:r>
    </w:p>
    <w:p w14:paraId="4314C271">
      <w:pPr>
        <w:pStyle w:val="3"/>
        <w:spacing w:before="280" w:after="140"/>
      </w:pPr>
      <w:r>
        <w:rPr>
          <w:rFonts w:ascii="Arial" w:hAnsi="Arial" w:eastAsia="黑体"/>
          <w:b/>
          <w:bCs/>
          <w:color w:val="2E5496"/>
          <w:sz w:val="25"/>
          <w:szCs w:val="25"/>
        </w:rPr>
        <w:t>3.1　环境</w:t>
      </w:r>
    </w:p>
    <w:p w14:paraId="185A6513">
      <w:pPr>
        <w:pStyle w:val="17"/>
        <w:numPr>
          <w:ilvl w:val="0"/>
          <w:numId w:val="3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3D Slicer 5.6 或更高版本，三人版本号必须相同（请在质控表中填写实际版本号）；</w:t>
      </w:r>
    </w:p>
    <w:p w14:paraId="372AFD4D">
      <w:pPr>
        <w:pStyle w:val="17"/>
        <w:numPr>
          <w:ilvl w:val="0"/>
          <w:numId w:val="3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显示器：请尽量在同等条件的显示器上完成全部标注，中途不要更换。</w:t>
      </w:r>
    </w:p>
    <w:p w14:paraId="53FDBF0B">
      <w:pPr>
        <w:pStyle w:val="3"/>
        <w:spacing w:before="280" w:after="140"/>
      </w:pPr>
      <w:r>
        <w:rPr>
          <w:rFonts w:ascii="Arial" w:hAnsi="Arial" w:eastAsia="黑体"/>
          <w:b/>
          <w:bCs/>
          <w:color w:val="2E5496"/>
          <w:sz w:val="25"/>
          <w:szCs w:val="25"/>
        </w:rPr>
        <w:t>3.2　窗宽窗位</w:t>
      </w:r>
    </w:p>
    <w:p w14:paraId="0C8D68C1">
      <w:pPr>
        <w:pStyle w:val="17"/>
        <w:numPr>
          <w:ilvl w:val="0"/>
          <w:numId w:val="4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 xml:space="preserve">统一使用 Slicer 内置预设 </w:t>
      </w:r>
      <w:r>
        <w:rPr>
          <w:rFonts w:ascii="Times New Roman" w:hAnsi="Times New Roman" w:eastAsia="宋体"/>
          <w:b/>
          <w:bCs/>
          <w:sz w:val="22"/>
          <w:szCs w:val="22"/>
        </w:rPr>
        <w:t>CT-Abdomen</w:t>
      </w:r>
      <w:r>
        <w:rPr>
          <w:rFonts w:ascii="Times New Roman" w:hAnsi="Times New Roman" w:eastAsia="宋体"/>
          <w:sz w:val="22"/>
          <w:szCs w:val="22"/>
        </w:rPr>
        <w:t>（窗宽 350 / 窗位 40）；</w:t>
      </w:r>
    </w:p>
    <w:p w14:paraId="143049CB">
      <w:pPr>
        <w:pStyle w:val="17"/>
        <w:numPr>
          <w:ilvl w:val="0"/>
          <w:numId w:val="4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允许临时调整以辨认结构，但每例标注完成前必须调回该预设并复核一遍；</w:t>
      </w:r>
    </w:p>
    <w:p w14:paraId="6D98F3FD">
      <w:pPr>
        <w:pStyle w:val="17"/>
        <w:numPr>
          <w:ilvl w:val="0"/>
          <w:numId w:val="4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请勿使用阈值（Threshold）工具自动生成标注——本研究的目标层面为低对比结构，阈值法不适用。</w:t>
      </w:r>
    </w:p>
    <w:p w14:paraId="37AA05E5">
      <w:pPr>
        <w:pStyle w:val="3"/>
        <w:spacing w:before="280" w:after="140"/>
      </w:pPr>
      <w:r>
        <w:rPr>
          <w:rFonts w:ascii="Arial" w:hAnsi="Arial" w:eastAsia="黑体"/>
          <w:b/>
          <w:bCs/>
          <w:color w:val="2E5496"/>
          <w:sz w:val="25"/>
          <w:szCs w:val="25"/>
        </w:rPr>
        <w:t>3.3　标注工具设置</w:t>
      </w:r>
    </w:p>
    <w:p w14:paraId="5C5F5D90">
      <w:pPr>
        <w:spacing w:after="100" w:line="320" w:lineRule="auto"/>
      </w:pPr>
      <w:r>
        <w:rPr>
          <w:rFonts w:ascii="Times New Roman" w:hAnsi="Times New Roman" w:eastAsia="宋体"/>
          <w:sz w:val="22"/>
          <w:szCs w:val="22"/>
        </w:rPr>
        <w:t xml:space="preserve">在 </w:t>
      </w:r>
      <w:r>
        <w:rPr>
          <w:rFonts w:ascii="Times New Roman" w:hAnsi="Times New Roman" w:eastAsia="宋体"/>
          <w:b/>
          <w:bCs/>
          <w:sz w:val="22"/>
          <w:szCs w:val="22"/>
        </w:rPr>
        <w:t>Segment Editor</w:t>
      </w:r>
      <w:r>
        <w:rPr>
          <w:rFonts w:ascii="Times New Roman" w:hAnsi="Times New Roman" w:eastAsia="宋体"/>
          <w:sz w:val="22"/>
          <w:szCs w:val="22"/>
        </w:rPr>
        <w:t xml:space="preserve"> 模块中，请按下表设置：</w:t>
      </w:r>
    </w:p>
    <w:tbl>
      <w:tblPr>
        <w:tblStyle w:val="12"/>
        <w:tblW w:w="9026" w:type="dxa"/>
        <w:tblInd w:w="0" w:type="dxa"/>
        <w:tblBorders>
          <w:top w:val="single" w:color="9BA7BC" w:sz="4" w:space="0"/>
          <w:left w:val="single" w:color="9BA7BC" w:sz="4" w:space="0"/>
          <w:bottom w:val="single" w:color="9BA7BC" w:sz="4" w:space="0"/>
          <w:right w:val="single" w:color="9BA7BC" w:sz="4" w:space="0"/>
          <w:insideH w:val="single" w:color="C2CBDC" w:sz="2" w:space="0"/>
          <w:insideV w:val="single" w:color="C2CBDC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1B58E198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DC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D62CD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6026" w:type="dxa"/>
            <w:shd w:val="clear" w:color="auto" w:fill="DC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9F0F7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>设置</w:t>
            </w:r>
          </w:p>
        </w:tc>
      </w:tr>
      <w:tr w14:paraId="16EED559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D6651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主用工具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3BCE5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Paint（画笔）</w:t>
            </w:r>
          </w:p>
        </w:tc>
      </w:tr>
      <w:tr w14:paraId="3171FBFD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ECCBE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球形画笔 Sphere brush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5B5C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关闭（逐层二维标注）</w:t>
            </w:r>
          </w:p>
        </w:tc>
      </w:tr>
      <w:tr w14:paraId="264F5BDC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38689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画笔尺寸单位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A3E71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mm（不要用 pixel）</w:t>
            </w:r>
          </w:p>
        </w:tc>
      </w:tr>
      <w:tr w14:paraId="6BFB91F0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98B8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Edit in 3D views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9152D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关闭</w:t>
            </w:r>
          </w:p>
        </w:tc>
      </w:tr>
      <w:tr w14:paraId="7555F9DD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41BA3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Masking → Editable area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EBA9C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Everywhere</w:t>
            </w:r>
          </w:p>
        </w:tc>
      </w:tr>
      <w:tr w14:paraId="5517A95F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1A606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Overwrite other segments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DF9BB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Overwrite none</w:t>
            </w:r>
          </w:p>
        </w:tc>
      </w:tr>
      <w:tr w14:paraId="145C671F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609B3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禁止使用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B4211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Threshold、Grow from seeds、Fill between slices、Islands（保留最大连通域）</w:t>
            </w:r>
          </w:p>
        </w:tc>
      </w:tr>
    </w:tbl>
    <w:p w14:paraId="6C248DEC">
      <w:pPr>
        <w:spacing w:after="140"/>
      </w:pPr>
    </w:p>
    <w:p w14:paraId="01372882">
      <w:pPr>
        <w:pBdr>
          <w:left w:val="single" w:color="8EAADB" w:sz="12" w:space="12"/>
        </w:pBdr>
        <w:spacing w:before="120" w:after="160" w:line="320" w:lineRule="auto"/>
        <w:ind w:left="360"/>
      </w:pPr>
      <w:r>
        <w:rPr>
          <w:rFonts w:ascii="Times New Roman" w:hAnsi="Times New Roman" w:eastAsia="宋体"/>
          <w:i/>
          <w:iCs/>
          <w:color w:val="44546A"/>
          <w:sz w:val="21"/>
          <w:szCs w:val="21"/>
        </w:rPr>
        <w:t>禁用 Fill between slices 与 Islands 的原因：这些自动化工具会引入非人工的几何规则性，破坏本研究对「人类判断」的测量。请逐层手工勾画。</w:t>
      </w:r>
    </w:p>
    <w:p w14:paraId="0EF506A1">
      <w:pPr>
        <w:pStyle w:val="3"/>
        <w:spacing w:before="280" w:after="140"/>
      </w:pPr>
      <w:r>
        <w:rPr>
          <w:rFonts w:ascii="Arial" w:hAnsi="Arial" w:eastAsia="黑体"/>
          <w:b/>
          <w:bCs/>
          <w:color w:val="2E5496"/>
          <w:sz w:val="25"/>
          <w:szCs w:val="25"/>
        </w:rPr>
        <w:t>3.4　标注方位</w:t>
      </w:r>
    </w:p>
    <w:p w14:paraId="2D94E957">
      <w:pPr>
        <w:pStyle w:val="17"/>
        <w:numPr>
          <w:ilvl w:val="0"/>
          <w:numId w:val="5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主标注方位：</w:t>
      </w:r>
      <w:r>
        <w:rPr>
          <w:rFonts w:ascii="Times New Roman" w:hAnsi="Times New Roman" w:eastAsia="宋体"/>
          <w:b/>
          <w:bCs/>
          <w:sz w:val="22"/>
          <w:szCs w:val="22"/>
        </w:rPr>
        <w:t>轴位（Axial）</w:t>
      </w:r>
      <w:r>
        <w:rPr>
          <w:rFonts w:ascii="Times New Roman" w:hAnsi="Times New Roman" w:eastAsia="宋体"/>
          <w:sz w:val="22"/>
          <w:szCs w:val="22"/>
        </w:rPr>
        <w:t>；</w:t>
      </w:r>
    </w:p>
    <w:p w14:paraId="29CF6925">
      <w:pPr>
        <w:pStyle w:val="17"/>
        <w:numPr>
          <w:ilvl w:val="0"/>
          <w:numId w:val="5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每例完成后，必须切换到冠状位与矢状位各复核一遍，修正上下方向的连续性问题；</w:t>
      </w:r>
    </w:p>
    <w:p w14:paraId="2689D7C6">
      <w:pPr>
        <w:pStyle w:val="17"/>
        <w:numPr>
          <w:ilvl w:val="0"/>
          <w:numId w:val="5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允许跳层标注后再补齐，但最终提交的标注必须逐层连续，不得有空层。</w:t>
      </w:r>
    </w:p>
    <w:p w14:paraId="47767801">
      <w:pPr>
        <w:pStyle w:val="2"/>
        <w:spacing w:before="400" w:after="200"/>
      </w:pPr>
      <w:r>
        <w:rPr>
          <w:rFonts w:ascii="Arial" w:hAnsi="Arial" w:eastAsia="黑体"/>
          <w:b/>
          <w:bCs/>
          <w:color w:val="1F3864"/>
          <w:sz w:val="30"/>
          <w:szCs w:val="30"/>
        </w:rPr>
        <w:t>四、标注流程（逐例）</w:t>
      </w:r>
    </w:p>
    <w:p w14:paraId="6A0037C6">
      <w:pPr>
        <w:pBdr>
          <w:left w:val="single" w:color="8EAADB" w:sz="12" w:space="12"/>
        </w:pBdr>
        <w:spacing w:before="120" w:after="160" w:line="320" w:lineRule="auto"/>
        <w:ind w:left="360"/>
      </w:pPr>
      <w:r>
        <w:rPr>
          <w:rFonts w:ascii="Times New Roman" w:hAnsi="Times New Roman" w:eastAsia="宋体"/>
          <w:i/>
          <w:iCs/>
          <w:color w:val="44546A"/>
          <w:sz w:val="21"/>
          <w:szCs w:val="21"/>
        </w:rPr>
        <w:t>下列流程针对一个层面。每一例病例需完整执行两遍：一遍标注肝肾隐窝（HR），一遍标注脾肾韧带（SR），分别导出为两个文件。</w:t>
      </w:r>
    </w:p>
    <w:p w14:paraId="0C7A7CE6">
      <w:pPr>
        <w:pStyle w:val="17"/>
        <w:numPr>
          <w:ilvl w:val="0"/>
          <w:numId w:val="6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打开 3D Slicer，选择 File → Add Data 载入指定 CT（.nii.gz）；</w:t>
      </w:r>
    </w:p>
    <w:p w14:paraId="312A7ACD">
      <w:pPr>
        <w:pStyle w:val="17"/>
        <w:numPr>
          <w:ilvl w:val="0"/>
          <w:numId w:val="6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应用窗宽窗位预设 CT-Abdomen；</w:t>
      </w:r>
    </w:p>
    <w:p w14:paraId="2373678A">
      <w:pPr>
        <w:pStyle w:val="17"/>
        <w:numPr>
          <w:ilvl w:val="0"/>
          <w:numId w:val="6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进入 Segment Editor，点击 Create new segmentation；</w:t>
      </w:r>
    </w:p>
    <w:p w14:paraId="0D8AE8F1">
      <w:pPr>
        <w:pStyle w:val="17"/>
        <w:numPr>
          <w:ilvl w:val="0"/>
          <w:numId w:val="6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新建 Segment 并按下表命名（</w:t>
      </w:r>
      <w:r>
        <w:rPr>
          <w:rFonts w:ascii="Times New Roman" w:hAnsi="Times New Roman" w:eastAsia="宋体"/>
          <w:b/>
          <w:bCs/>
          <w:sz w:val="22"/>
          <w:szCs w:val="22"/>
        </w:rPr>
        <w:t>命名必须严格一致，否则自动化统计会失败</w:t>
      </w:r>
      <w:r>
        <w:rPr>
          <w:rFonts w:ascii="Times New Roman" w:hAnsi="Times New Roman" w:eastAsia="宋体"/>
          <w:sz w:val="22"/>
          <w:szCs w:val="22"/>
        </w:rPr>
        <w:t>）；</w:t>
      </w:r>
    </w:p>
    <w:p w14:paraId="0CBB217D">
      <w:pPr>
        <w:spacing w:after="60"/>
      </w:pPr>
    </w:p>
    <w:tbl>
      <w:tblPr>
        <w:tblStyle w:val="12"/>
        <w:tblW w:w="9026" w:type="dxa"/>
        <w:tblInd w:w="0" w:type="dxa"/>
        <w:tblBorders>
          <w:top w:val="single" w:color="9BA7BC" w:sz="4" w:space="0"/>
          <w:left w:val="single" w:color="9BA7BC" w:sz="4" w:space="0"/>
          <w:bottom w:val="single" w:color="9BA7BC" w:sz="4" w:space="0"/>
          <w:right w:val="single" w:color="9BA7BC" w:sz="4" w:space="0"/>
          <w:insideH w:val="single" w:color="C2CBDC" w:sz="2" w:space="0"/>
          <w:insideV w:val="single" w:color="C2CBDC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7A5D4113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DC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3458D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>标注对象</w:t>
            </w:r>
          </w:p>
        </w:tc>
        <w:tc>
          <w:tcPr>
            <w:tcW w:w="6026" w:type="dxa"/>
            <w:shd w:val="clear" w:color="auto" w:fill="DC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93F8A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>Segment 名称</w:t>
            </w:r>
          </w:p>
        </w:tc>
      </w:tr>
      <w:tr w14:paraId="06DD0CD7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93DDA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肝肾隐窝层面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7226E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HR_plane</w:t>
            </w:r>
          </w:p>
        </w:tc>
      </w:tr>
      <w:tr w14:paraId="190D12C2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D62A2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脾肾韧带层面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94AE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SR_plane</w:t>
            </w:r>
          </w:p>
        </w:tc>
      </w:tr>
    </w:tbl>
    <w:p w14:paraId="7EC73128">
      <w:pPr>
        <w:spacing w:after="140"/>
      </w:pPr>
    </w:p>
    <w:p w14:paraId="51A9AAAF">
      <w:pPr>
        <w:pStyle w:val="17"/>
        <w:numPr>
          <w:ilvl w:val="0"/>
          <w:numId w:val="6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先通读全部层面一遍再开始勾画，了解该例整体解剖；</w:t>
      </w:r>
    </w:p>
    <w:p w14:paraId="2D5F0D30">
      <w:pPr>
        <w:pStyle w:val="17"/>
        <w:numPr>
          <w:ilvl w:val="0"/>
          <w:numId w:val="6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用 Paint 工具逐层勾画；</w:t>
      </w:r>
    </w:p>
    <w:p w14:paraId="7FE584B2">
      <w:pPr>
        <w:pStyle w:val="17"/>
        <w:numPr>
          <w:ilvl w:val="0"/>
          <w:numId w:val="6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切换冠状位、矢状位复核；</w:t>
      </w:r>
    </w:p>
    <w:p w14:paraId="18A6F8E2">
      <w:pPr>
        <w:pStyle w:val="17"/>
        <w:numPr>
          <w:ilvl w:val="0"/>
          <w:numId w:val="6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点击 Show 3D，目视检查三维形态是否连续、有无孤立碎片；</w:t>
      </w:r>
    </w:p>
    <w:p w14:paraId="0AEEF307">
      <w:pPr>
        <w:pStyle w:val="17"/>
        <w:numPr>
          <w:ilvl w:val="0"/>
          <w:numId w:val="6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按第六节要求导出；</w:t>
      </w:r>
    </w:p>
    <w:p w14:paraId="48112313">
      <w:pPr>
        <w:pStyle w:val="17"/>
        <w:numPr>
          <w:ilvl w:val="0"/>
          <w:numId w:val="6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填写第七节质控表。</w:t>
      </w:r>
    </w:p>
    <w:p w14:paraId="6582AB93">
      <w:pPr>
        <w:pStyle w:val="2"/>
        <w:spacing w:before="400" w:after="200"/>
      </w:pPr>
      <w:r>
        <w:rPr>
          <w:rFonts w:ascii="Arial" w:hAnsi="Arial" w:eastAsia="黑体"/>
          <w:b/>
          <w:bCs/>
          <w:color w:val="1F3864"/>
          <w:sz w:val="30"/>
          <w:szCs w:val="30"/>
        </w:rPr>
        <w:t>五、特殊情况处理规则</w:t>
      </w:r>
    </w:p>
    <w:tbl>
      <w:tblPr>
        <w:tblStyle w:val="12"/>
        <w:tblW w:w="9026" w:type="dxa"/>
        <w:tblInd w:w="0" w:type="dxa"/>
        <w:tblBorders>
          <w:top w:val="single" w:color="9BA7BC" w:sz="4" w:space="0"/>
          <w:left w:val="single" w:color="9BA7BC" w:sz="4" w:space="0"/>
          <w:bottom w:val="single" w:color="9BA7BC" w:sz="4" w:space="0"/>
          <w:right w:val="single" w:color="9BA7BC" w:sz="4" w:space="0"/>
          <w:insideH w:val="single" w:color="C2CBDC" w:sz="2" w:space="0"/>
          <w:insideV w:val="single" w:color="C2CBDC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826"/>
      </w:tblGrid>
      <w:tr w14:paraId="26F23EAD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DC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7E2FD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>情况</w:t>
            </w:r>
          </w:p>
        </w:tc>
        <w:tc>
          <w:tcPr>
            <w:tcW w:w="5826" w:type="dxa"/>
            <w:shd w:val="clear" w:color="auto" w:fill="DC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2B05F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>处理方式</w:t>
            </w:r>
          </w:p>
        </w:tc>
      </w:tr>
      <w:tr w14:paraId="6B5371F4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26149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两器官该层面未相邻、其间为大量脂肪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502BB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仍按解剖边界勾画间隔组织；若间距过大以致无法判断层面归属，标记该层「不可评估」</w:t>
            </w:r>
          </w:p>
        </w:tc>
      </w:tr>
      <w:tr w14:paraId="663BA05A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82F30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两器官该层面直接紧贴、无可辨识间隙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F5820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勾画一条最薄的可辨识分界；若完全无法辨识，标记该层「不可评估」</w:t>
            </w:r>
          </w:p>
        </w:tc>
      </w:tr>
      <w:tr w14:paraId="13B02600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16322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呼吸运动伪影导致边界模糊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CFE3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按可辨识部分勾画，并在质控表「图像质量」栏标记为「差」</w:t>
            </w:r>
          </w:p>
        </w:tc>
      </w:tr>
      <w:tr w14:paraId="4736ECA2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1F47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既往肾切除术后（该侧肾缺如）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EE947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整例标记为「不可评估」，在质控表注明原因</w:t>
            </w:r>
          </w:p>
        </w:tc>
      </w:tr>
      <w:tr w14:paraId="3702C35E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17940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严重脂肪肝导致肝缘辨识困难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9E518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正常勾画，质控表标记「肝脏边界辨识困难」</w:t>
            </w:r>
          </w:p>
        </w:tc>
      </w:tr>
      <w:tr w14:paraId="5B9F3B3A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42DE3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占位性病变推移正常解剖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01886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按实际解剖勾画，质控表注明</w:t>
            </w:r>
          </w:p>
        </w:tc>
      </w:tr>
      <w:tr w14:paraId="4F93083B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CAA69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整例无法判断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8B37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提交空标注并在质控表说明原因，不要勉强勾画</w:t>
            </w:r>
          </w:p>
        </w:tc>
      </w:tr>
    </w:tbl>
    <w:p w14:paraId="51CEF411">
      <w:pPr>
        <w:spacing w:after="140"/>
      </w:pPr>
    </w:p>
    <w:p w14:paraId="3BBC20EF">
      <w:pPr>
        <w:pBdr>
          <w:left w:val="single" w:color="8EAADB" w:sz="12" w:space="12"/>
        </w:pBdr>
        <w:spacing w:before="120" w:after="160" w:line="320" w:lineRule="auto"/>
        <w:ind w:left="360"/>
      </w:pPr>
      <w:r>
        <w:rPr>
          <w:rFonts w:ascii="Times New Roman" w:hAnsi="Times New Roman" w:eastAsia="宋体"/>
          <w:b/>
          <w:bCs/>
          <w:i/>
          <w:iCs/>
          <w:color w:val="44546A"/>
          <w:sz w:val="21"/>
          <w:szCs w:val="21"/>
        </w:rPr>
        <w:t>重要：标记「不可评估」并非标注失败，而是有价值的数据。请如实标记，不要为求完整而勉强勾画。</w:t>
      </w:r>
    </w:p>
    <w:p w14:paraId="44B9AA73">
      <w:pPr>
        <w:pStyle w:val="2"/>
        <w:spacing w:before="400" w:after="200"/>
      </w:pPr>
      <w:r>
        <w:rPr>
          <w:rFonts w:ascii="Arial" w:hAnsi="Arial" w:eastAsia="黑体"/>
          <w:b/>
          <w:bCs/>
          <w:color w:val="1F3864"/>
          <w:sz w:val="30"/>
          <w:szCs w:val="30"/>
        </w:rPr>
        <w:t>六、导出与文件命名</w:t>
      </w:r>
    </w:p>
    <w:p w14:paraId="4E5AC569">
      <w:pPr>
        <w:pStyle w:val="3"/>
        <w:spacing w:before="280" w:after="140"/>
      </w:pPr>
      <w:r>
        <w:rPr>
          <w:rFonts w:ascii="Arial" w:hAnsi="Arial" w:eastAsia="黑体"/>
          <w:b/>
          <w:bCs/>
          <w:color w:val="2E5496"/>
          <w:sz w:val="25"/>
          <w:szCs w:val="25"/>
        </w:rPr>
        <w:t>6.1　导出步骤</w:t>
      </w:r>
    </w:p>
    <w:p w14:paraId="0A8393DD">
      <w:pPr>
        <w:spacing w:after="100" w:line="320" w:lineRule="auto"/>
      </w:pPr>
      <w:r>
        <w:rPr>
          <w:rFonts w:ascii="Times New Roman" w:hAnsi="Times New Roman" w:eastAsia="宋体"/>
          <w:sz w:val="22"/>
          <w:szCs w:val="22"/>
        </w:rPr>
        <w:t>导出后的标注几何必须与原始 CT 完全一致，请严格按以下顺序操作：</w:t>
      </w:r>
    </w:p>
    <w:p w14:paraId="7444AAD5">
      <w:pPr>
        <w:pStyle w:val="17"/>
        <w:numPr>
          <w:ilvl w:val="0"/>
          <w:numId w:val="7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切换到 Segmentations 模块；</w:t>
      </w:r>
    </w:p>
    <w:p w14:paraId="585E163D">
      <w:pPr>
        <w:pStyle w:val="17"/>
        <w:numPr>
          <w:ilvl w:val="0"/>
          <w:numId w:val="7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展开 Export / import models and labelmaps；</w:t>
      </w:r>
    </w:p>
    <w:p w14:paraId="6B2B5478">
      <w:pPr>
        <w:pStyle w:val="17"/>
        <w:numPr>
          <w:ilvl w:val="0"/>
          <w:numId w:val="7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Operation 选择 Export，Output type 选择 Labelmap；</w:t>
      </w:r>
    </w:p>
    <w:p w14:paraId="6ECB9648">
      <w:pPr>
        <w:pStyle w:val="17"/>
        <w:numPr>
          <w:ilvl w:val="0"/>
          <w:numId w:val="7"/>
        </w:numPr>
        <w:spacing w:after="80" w:line="320" w:lineRule="auto"/>
      </w:pPr>
      <w:r>
        <w:rPr>
          <w:rFonts w:ascii="Times New Roman" w:hAnsi="Times New Roman" w:eastAsia="宋体"/>
          <w:b/>
          <w:bCs/>
          <w:color w:val="C00000"/>
          <w:sz w:val="22"/>
          <w:szCs w:val="22"/>
        </w:rPr>
        <w:t>Reference volume 必须选择本例的原始 CT 影像节点</w:t>
      </w:r>
      <w:r>
        <w:rPr>
          <w:rFonts w:ascii="Times New Roman" w:hAnsi="Times New Roman" w:eastAsia="宋体"/>
          <w:sz w:val="22"/>
          <w:szCs w:val="22"/>
        </w:rPr>
        <w:t>；</w:t>
      </w:r>
    </w:p>
    <w:p w14:paraId="7CF0EC15">
      <w:pPr>
        <w:pStyle w:val="17"/>
        <w:numPr>
          <w:ilvl w:val="0"/>
          <w:numId w:val="7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点击 Export；</w:t>
      </w:r>
    </w:p>
    <w:p w14:paraId="5D1C4B47">
      <w:pPr>
        <w:pStyle w:val="17"/>
        <w:numPr>
          <w:ilvl w:val="0"/>
          <w:numId w:val="7"/>
        </w:num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选择 File → Save As，格式选择 NIfTI（.nii.gz）。</w:t>
      </w:r>
    </w:p>
    <w:p w14:paraId="6DD0075C">
      <w:pPr>
        <w:spacing w:after="80"/>
      </w:pPr>
    </w:p>
    <w:p w14:paraId="4FF01884">
      <w:pPr>
        <w:pBdr>
          <w:left w:val="single" w:color="8EAADB" w:sz="12" w:space="12"/>
        </w:pBdr>
        <w:spacing w:before="120" w:after="160" w:line="320" w:lineRule="auto"/>
        <w:ind w:left="360"/>
      </w:pPr>
      <w:r>
        <w:rPr>
          <w:rFonts w:ascii="Times New Roman" w:hAnsi="Times New Roman" w:eastAsia="宋体"/>
          <w:b/>
          <w:bCs/>
          <w:i/>
          <w:iCs/>
          <w:color w:val="44546A"/>
          <w:sz w:val="21"/>
          <w:szCs w:val="21"/>
        </w:rPr>
        <w:t>第 4 步最为关键。Reference volume 若选错，导出的标注在尺寸与体素间距上将与 CT 不匹配，该例数据即作废，须重新标注。</w:t>
      </w:r>
    </w:p>
    <w:p w14:paraId="02484E5E">
      <w:pPr>
        <w:pStyle w:val="3"/>
        <w:spacing w:before="280" w:after="140"/>
      </w:pPr>
      <w:r>
        <w:rPr>
          <w:rFonts w:ascii="Arial" w:hAnsi="Arial" w:eastAsia="黑体"/>
          <w:b/>
          <w:bCs/>
          <w:color w:val="2E5496"/>
          <w:sz w:val="25"/>
          <w:szCs w:val="25"/>
        </w:rPr>
        <w:t>6.2　文件命名</w:t>
      </w:r>
    </w:p>
    <w:p w14:paraId="33A67FBB">
      <w:pPr>
        <w:spacing w:after="80" w:line="320" w:lineRule="auto"/>
      </w:pPr>
      <w:r>
        <w:rPr>
          <w:rFonts w:ascii="Times New Roman" w:hAnsi="Times New Roman" w:eastAsia="宋体"/>
          <w:sz w:val="22"/>
          <w:szCs w:val="22"/>
        </w:rPr>
        <w:t>请按以下格式命名：</w:t>
      </w:r>
    </w:p>
    <w:p w14:paraId="33497208">
      <w:pPr>
        <w:spacing w:after="120" w:line="320" w:lineRule="auto"/>
        <w:ind w:left="360"/>
      </w:pPr>
      <w:r>
        <w:rPr>
          <w:rFonts w:ascii="Times New Roman" w:hAnsi="Times New Roman" w:eastAsia="宋体"/>
          <w:b/>
          <w:bCs/>
          <w:sz w:val="22"/>
          <w:szCs w:val="22"/>
        </w:rPr>
        <w:t>｛病例ID｝_｛层面代码｝_｛标注者代码｝.nii.gz</w:t>
      </w:r>
    </w:p>
    <w:p w14:paraId="73AD6376">
      <w:pPr>
        <w:spacing w:after="120" w:line="320" w:lineRule="auto"/>
        <w:ind w:left="360"/>
      </w:pPr>
      <w:r>
        <w:rPr>
          <w:rFonts w:ascii="Times New Roman" w:hAnsi="Times New Roman" w:eastAsia="宋体"/>
          <w:sz w:val="22"/>
          <w:szCs w:val="22"/>
        </w:rPr>
        <w:t>示例：ANNO_007_HR_A.nii.gz　　ANNO_007_SR_B.nii.gz</w:t>
      </w:r>
    </w:p>
    <w:p w14:paraId="66A3C0AA">
      <w:pPr>
        <w:spacing w:after="60"/>
      </w:pPr>
    </w:p>
    <w:tbl>
      <w:tblPr>
        <w:tblStyle w:val="12"/>
        <w:tblW w:w="9026" w:type="dxa"/>
        <w:tblInd w:w="0" w:type="dxa"/>
        <w:tblBorders>
          <w:top w:val="single" w:color="9BA7BC" w:sz="4" w:space="0"/>
          <w:left w:val="single" w:color="9BA7BC" w:sz="4" w:space="0"/>
          <w:bottom w:val="single" w:color="9BA7BC" w:sz="4" w:space="0"/>
          <w:right w:val="single" w:color="9BA7BC" w:sz="4" w:space="0"/>
          <w:insideH w:val="single" w:color="C2CBDC" w:sz="2" w:space="0"/>
          <w:insideV w:val="single" w:color="C2CBDC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219FF976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DC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DDE80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>组成部分</w:t>
            </w:r>
          </w:p>
        </w:tc>
        <w:tc>
          <w:tcPr>
            <w:tcW w:w="6826" w:type="dxa"/>
            <w:shd w:val="clear" w:color="auto" w:fill="DC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B9C7E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>说明</w:t>
            </w:r>
          </w:p>
        </w:tc>
      </w:tr>
      <w:tr w14:paraId="28DD447C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81F2D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病例ID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6AD7A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使用协调人下发的匿名编号，请勿使用原始数据集编号</w:t>
            </w:r>
          </w:p>
        </w:tc>
      </w:tr>
      <w:tr w14:paraId="786F5F3E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66AE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层面代码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97661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HR（肝肾隐窝）／ SR（脾肾韧带）</w:t>
            </w:r>
          </w:p>
        </w:tc>
      </w:tr>
      <w:tr w14:paraId="32D6EB98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23E7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标注者代码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70FB0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由协调人分配（A / B / C），请勿使用姓名</w:t>
            </w:r>
          </w:p>
        </w:tc>
      </w:tr>
    </w:tbl>
    <w:p w14:paraId="4CD6EEEC">
      <w:pPr>
        <w:spacing w:after="140"/>
      </w:pPr>
    </w:p>
    <w:p w14:paraId="716615A9">
      <w:pPr>
        <w:spacing w:after="120" w:line="320" w:lineRule="auto"/>
      </w:pPr>
      <w:r>
        <w:rPr>
          <w:rFonts w:ascii="Times New Roman" w:hAnsi="Times New Roman" w:eastAsia="宋体"/>
          <w:sz w:val="22"/>
          <w:szCs w:val="22"/>
        </w:rPr>
        <w:t>请同时保存一份 Slicer 原生场景文件（.mrb）备查。</w:t>
      </w:r>
    </w:p>
    <w:p w14:paraId="023F7331">
      <w:pPr>
        <w:pStyle w:val="2"/>
        <w:spacing w:before="400" w:after="200"/>
      </w:pPr>
      <w:r>
        <w:rPr>
          <w:rFonts w:ascii="Arial" w:hAnsi="Arial" w:eastAsia="黑体"/>
          <w:b/>
          <w:bCs/>
          <w:color w:val="1F3864"/>
          <w:sz w:val="30"/>
          <w:szCs w:val="30"/>
        </w:rPr>
        <w:t>七、每例质控表</w:t>
      </w:r>
    </w:p>
    <w:p w14:paraId="4CB76444">
      <w:pPr>
        <w:spacing w:after="140" w:line="320" w:lineRule="auto"/>
      </w:pPr>
      <w:r>
        <w:rPr>
          <w:rFonts w:ascii="Times New Roman" w:hAnsi="Times New Roman" w:eastAsia="宋体"/>
          <w:sz w:val="22"/>
          <w:szCs w:val="22"/>
        </w:rPr>
        <w:t>每完成一个层面填写一份本表。即每一例病例需提交两份质控表（HR 一份、SR 一份），全部 40 例合计 80 份。</w:t>
      </w:r>
    </w:p>
    <w:tbl>
      <w:tblPr>
        <w:tblStyle w:val="12"/>
        <w:tblW w:w="9026" w:type="dxa"/>
        <w:tblInd w:w="0" w:type="dxa"/>
        <w:tblBorders>
          <w:top w:val="single" w:color="9BA7BC" w:sz="4" w:space="0"/>
          <w:left w:val="single" w:color="9BA7BC" w:sz="4" w:space="0"/>
          <w:bottom w:val="single" w:color="9BA7BC" w:sz="4" w:space="0"/>
          <w:right w:val="single" w:color="9BA7BC" w:sz="4" w:space="0"/>
          <w:insideH w:val="single" w:color="C2CBDC" w:sz="2" w:space="0"/>
          <w:insideV w:val="single" w:color="C2CBDC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0"/>
        <w:gridCol w:w="4026"/>
      </w:tblGrid>
      <w:tr w14:paraId="14A8311C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shd w:val="clear" w:color="auto" w:fill="DC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F7D02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026" w:type="dxa"/>
            <w:shd w:val="clear" w:color="auto" w:fill="DCE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ACA5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>填写</w:t>
            </w:r>
          </w:p>
        </w:tc>
      </w:tr>
      <w:tr w14:paraId="15BB1C16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E2BEA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病例 ID</w:t>
            </w:r>
          </w:p>
        </w:tc>
        <w:tc>
          <w:tcPr>
            <w:tcW w:w="4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200F">
            <w:pPr>
              <w:spacing w:before="20" w:after="20" w:line="300" w:lineRule="auto"/>
            </w:pPr>
          </w:p>
        </w:tc>
      </w:tr>
      <w:tr w14:paraId="296BC527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8BCEA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标注者代码</w:t>
            </w:r>
          </w:p>
        </w:tc>
        <w:tc>
          <w:tcPr>
            <w:tcW w:w="4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D9F02">
            <w:pPr>
              <w:spacing w:before="20" w:after="20" w:line="300" w:lineRule="auto"/>
            </w:pPr>
          </w:p>
        </w:tc>
      </w:tr>
      <w:tr w14:paraId="2F817B41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76397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层面（HR / SR）</w:t>
            </w:r>
          </w:p>
        </w:tc>
        <w:tc>
          <w:tcPr>
            <w:tcW w:w="4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1ED74">
            <w:pPr>
              <w:spacing w:before="20" w:after="20" w:line="300" w:lineRule="auto"/>
            </w:pPr>
          </w:p>
        </w:tc>
      </w:tr>
      <w:tr w14:paraId="3FBF861E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245C0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标注日期</w:t>
            </w:r>
          </w:p>
        </w:tc>
        <w:tc>
          <w:tcPr>
            <w:tcW w:w="4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EC34">
            <w:pPr>
              <w:spacing w:before="20" w:after="20" w:line="300" w:lineRule="auto"/>
            </w:pPr>
          </w:p>
        </w:tc>
      </w:tr>
      <w:tr w14:paraId="772E7BF4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1EC6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3D Slicer 版本号</w:t>
            </w:r>
          </w:p>
        </w:tc>
        <w:tc>
          <w:tcPr>
            <w:tcW w:w="4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B5C1B">
            <w:pPr>
              <w:spacing w:before="20" w:after="20" w:line="300" w:lineRule="auto"/>
            </w:pPr>
          </w:p>
        </w:tc>
      </w:tr>
      <w:tr w14:paraId="50203393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19930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标注耗时（分钟）</w:t>
            </w:r>
          </w:p>
        </w:tc>
        <w:tc>
          <w:tcPr>
            <w:tcW w:w="4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20CCB">
            <w:pPr>
              <w:spacing w:before="20" w:after="20" w:line="300" w:lineRule="auto"/>
            </w:pPr>
          </w:p>
        </w:tc>
      </w:tr>
      <w:tr w14:paraId="04209729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DFEC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图像质量（好 / 中 / 差）</w:t>
            </w:r>
          </w:p>
        </w:tc>
        <w:tc>
          <w:tcPr>
            <w:tcW w:w="4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2A58B">
            <w:pPr>
              <w:spacing w:before="20" w:after="20" w:line="300" w:lineRule="auto"/>
            </w:pPr>
          </w:p>
        </w:tc>
      </w:tr>
      <w:tr w14:paraId="417FB15A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69510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是否存在不可评估层面（是 / 否；若是请注明层号范围）</w:t>
            </w:r>
          </w:p>
        </w:tc>
        <w:tc>
          <w:tcPr>
            <w:tcW w:w="4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A039F">
            <w:pPr>
              <w:spacing w:before="20" w:after="20" w:line="300" w:lineRule="auto"/>
            </w:pPr>
          </w:p>
        </w:tc>
      </w:tr>
      <w:tr w14:paraId="2C004717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8E1A7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是否整例不可评估（是 / 否；若是请说明原因）</w:t>
            </w:r>
          </w:p>
        </w:tc>
        <w:tc>
          <w:tcPr>
            <w:tcW w:w="4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3DCD5">
            <w:pPr>
              <w:spacing w:before="20" w:after="20" w:line="300" w:lineRule="auto"/>
            </w:pPr>
          </w:p>
        </w:tc>
      </w:tr>
      <w:tr w14:paraId="0A013EEA">
        <w:tblPrEx>
          <w:tblBorders>
            <w:top w:val="single" w:color="9BA7BC" w:sz="4" w:space="0"/>
            <w:left w:val="single" w:color="9BA7BC" w:sz="4" w:space="0"/>
            <w:bottom w:val="single" w:color="9BA7BC" w:sz="4" w:space="0"/>
            <w:right w:val="single" w:color="9BA7BC" w:sz="4" w:space="0"/>
            <w:insideH w:val="single" w:color="C2CBDC" w:sz="2" w:space="0"/>
            <w:insideV w:val="single" w:color="C2CBD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78875">
            <w:pPr>
              <w:spacing w:before="20" w:after="2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特殊情况备注</w:t>
            </w:r>
          </w:p>
        </w:tc>
        <w:tc>
          <w:tcPr>
            <w:tcW w:w="4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8E69E">
            <w:pPr>
              <w:spacing w:before="20" w:after="20" w:line="300" w:lineRule="auto"/>
            </w:pPr>
          </w:p>
        </w:tc>
      </w:tr>
    </w:tbl>
    <w:p w14:paraId="0325E6D5">
      <w:pPr>
        <w:pStyle w:val="2"/>
        <w:spacing w:before="400" w:after="200"/>
      </w:pPr>
      <w:r>
        <w:rPr>
          <w:rFonts w:ascii="Arial" w:hAnsi="Arial" w:eastAsia="黑体"/>
          <w:b/>
          <w:bCs/>
          <w:color w:val="1F3864"/>
          <w:sz w:val="30"/>
          <w:szCs w:val="30"/>
        </w:rPr>
        <w:t>八、待临床作者确认事项</w:t>
      </w:r>
    </w:p>
    <w:p w14:paraId="75547DD7">
      <w:pPr>
        <w:pBdr>
          <w:left w:val="single" w:color="8EAADB" w:sz="12" w:space="12"/>
        </w:pBdr>
        <w:spacing w:before="120" w:after="160" w:line="320" w:lineRule="auto"/>
        <w:ind w:left="360"/>
      </w:pPr>
      <w:r>
        <w:rPr>
          <w:rFonts w:ascii="Times New Roman" w:hAnsi="Times New Roman" w:eastAsia="宋体"/>
          <w:i/>
          <w:iCs/>
          <w:color w:val="44546A"/>
          <w:sz w:val="21"/>
          <w:szCs w:val="21"/>
        </w:rPr>
        <w:t>本节供临床作者审阅使用，签字确认前请逐条核对。以下定义依据标准外科解剖学推导得出，其中若干取舍会直接影响标注结果，须经临床判断确认。</w:t>
      </w:r>
    </w:p>
    <w:p w14:paraId="0FD605C5">
      <w:pPr>
        <w:spacing w:after="140" w:line="320" w:lineRule="auto"/>
        <w:ind w:left="400" w:hanging="400"/>
      </w:pPr>
      <w:r>
        <w:rPr>
          <w:rFonts w:ascii="Times New Roman" w:hAnsi="Times New Roman" w:eastAsia="宋体"/>
          <w:sz w:val="24"/>
          <w:szCs w:val="24"/>
        </w:rPr>
        <w:t xml:space="preserve">□   </w:t>
      </w:r>
      <w:r>
        <w:rPr>
          <w:rFonts w:ascii="Times New Roman" w:hAnsi="Times New Roman" w:eastAsia="宋体"/>
          <w:sz w:val="22"/>
          <w:szCs w:val="22"/>
        </w:rPr>
        <w:t>2.1　肝肾层面是否应包含肾前旁间隙脂肪？（本协议选择包含。若临床判断认为只应包含腹膜隐窝本身、不含 Gerota 筋膜前脂肪，需修改定义并说明理由）</w:t>
      </w:r>
    </w:p>
    <w:p w14:paraId="21B96AC1">
      <w:pPr>
        <w:spacing w:after="140" w:line="320" w:lineRule="auto"/>
        <w:ind w:left="400" w:hanging="400"/>
      </w:pPr>
      <w:r>
        <w:rPr>
          <w:rFonts w:ascii="Times New Roman" w:hAnsi="Times New Roman" w:eastAsia="宋体"/>
          <w:sz w:val="24"/>
          <w:szCs w:val="24"/>
        </w:rPr>
        <w:t xml:space="preserve">□   </w:t>
      </w:r>
      <w:r>
        <w:rPr>
          <w:rFonts w:ascii="Times New Roman" w:hAnsi="Times New Roman" w:eastAsia="宋体"/>
          <w:sz w:val="22"/>
          <w:szCs w:val="22"/>
        </w:rPr>
        <w:t>2.1　内侧界定为「下腔静脉右缘 / 十二指肠降部外侧缘」是否合适？</w:t>
      </w:r>
    </w:p>
    <w:p w14:paraId="79423B97">
      <w:pPr>
        <w:spacing w:after="140" w:line="320" w:lineRule="auto"/>
        <w:ind w:left="400" w:hanging="400"/>
      </w:pPr>
      <w:r>
        <w:rPr>
          <w:rFonts w:ascii="Times New Roman" w:hAnsi="Times New Roman" w:eastAsia="宋体"/>
          <w:sz w:val="24"/>
          <w:szCs w:val="24"/>
        </w:rPr>
        <w:t xml:space="preserve">□   </w:t>
      </w:r>
      <w:r>
        <w:rPr>
          <w:rFonts w:ascii="Times New Roman" w:hAnsi="Times New Roman" w:eastAsia="宋体"/>
          <w:sz w:val="22"/>
          <w:szCs w:val="22"/>
        </w:rPr>
        <w:t>2.1　将右肾上腺排除在外是否合适？</w:t>
      </w:r>
    </w:p>
    <w:p w14:paraId="2BC510A4">
      <w:pPr>
        <w:spacing w:after="140" w:line="320" w:lineRule="auto"/>
        <w:ind w:left="400" w:hanging="400"/>
      </w:pPr>
      <w:r>
        <w:rPr>
          <w:rFonts w:ascii="Times New Roman" w:hAnsi="Times New Roman" w:eastAsia="宋体"/>
          <w:sz w:val="24"/>
          <w:szCs w:val="24"/>
        </w:rPr>
        <w:t xml:space="preserve">□   </w:t>
      </w:r>
      <w:r>
        <w:rPr>
          <w:rFonts w:ascii="Times New Roman" w:hAnsi="Times New Roman" w:eastAsia="宋体"/>
          <w:sz w:val="22"/>
          <w:szCs w:val="22"/>
        </w:rPr>
        <w:t>2.2　脾肾韧带中胰尾的处理规则（绕行、不含）是否符合临床实际？</w:t>
      </w:r>
    </w:p>
    <w:p w14:paraId="0AE3428B">
      <w:pPr>
        <w:spacing w:after="140" w:line="320" w:lineRule="auto"/>
        <w:ind w:left="400" w:hanging="400"/>
      </w:pPr>
      <w:r>
        <w:rPr>
          <w:rFonts w:ascii="Times New Roman" w:hAnsi="Times New Roman" w:eastAsia="宋体"/>
          <w:sz w:val="24"/>
          <w:szCs w:val="24"/>
        </w:rPr>
        <w:t xml:space="preserve">□   </w:t>
      </w:r>
      <w:r>
        <w:rPr>
          <w:rFonts w:ascii="Times New Roman" w:hAnsi="Times New Roman" w:eastAsia="宋体"/>
          <w:sz w:val="22"/>
          <w:szCs w:val="22"/>
        </w:rPr>
        <w:t>2.2　内侧界定为「脾血管主干外侧缘」是否合适？</w:t>
      </w:r>
    </w:p>
    <w:p w14:paraId="71C188CD">
      <w:pPr>
        <w:spacing w:after="140" w:line="320" w:lineRule="auto"/>
        <w:ind w:left="400" w:hanging="400"/>
      </w:pPr>
      <w:r>
        <w:rPr>
          <w:rFonts w:ascii="Times New Roman" w:hAnsi="Times New Roman" w:eastAsia="宋体"/>
          <w:sz w:val="24"/>
          <w:szCs w:val="24"/>
        </w:rPr>
        <w:t xml:space="preserve">□   </w:t>
      </w:r>
      <w:r>
        <w:rPr>
          <w:rFonts w:ascii="Times New Roman" w:hAnsi="Times New Roman" w:eastAsia="宋体"/>
          <w:sz w:val="22"/>
          <w:szCs w:val="22"/>
        </w:rPr>
        <w:t>2.2　若某例胰尾完全填塞，标记「不可评估」是否合理？</w:t>
      </w:r>
    </w:p>
    <w:p w14:paraId="706C8BFA">
      <w:pPr>
        <w:spacing w:after="140" w:line="320" w:lineRule="auto"/>
        <w:ind w:left="400" w:hanging="400"/>
      </w:pPr>
      <w:r>
        <w:rPr>
          <w:rFonts w:ascii="Times New Roman" w:hAnsi="Times New Roman" w:eastAsia="宋体"/>
          <w:sz w:val="24"/>
          <w:szCs w:val="24"/>
        </w:rPr>
        <w:t xml:space="preserve">□   </w:t>
      </w:r>
      <w:r>
        <w:rPr>
          <w:rFonts w:ascii="Times New Roman" w:hAnsi="Times New Roman" w:eastAsia="宋体"/>
          <w:sz w:val="22"/>
          <w:szCs w:val="22"/>
        </w:rPr>
        <w:t>第五节各特殊情况处理规则是否符合临床判断？</w:t>
      </w:r>
    </w:p>
    <w:p w14:paraId="53A5078C">
      <w:pPr>
        <w:spacing w:after="140" w:line="320" w:lineRule="auto"/>
        <w:ind w:left="400" w:hanging="400"/>
      </w:pPr>
      <w:r>
        <w:rPr>
          <w:rFonts w:ascii="Times New Roman" w:hAnsi="Times New Roman" w:eastAsia="宋体"/>
          <w:sz w:val="24"/>
          <w:szCs w:val="24"/>
        </w:rPr>
        <w:t xml:space="preserve">□   </w:t>
      </w:r>
      <w:r>
        <w:rPr>
          <w:rFonts w:ascii="Times New Roman" w:hAnsi="Times New Roman" w:eastAsia="宋体"/>
          <w:sz w:val="22"/>
          <w:szCs w:val="22"/>
        </w:rPr>
        <w:t>三位标注者人选是否满足独立性要求（须为全新标注者，且未参与既往标注、参数选择或病例筛选）？</w:t>
      </w:r>
    </w:p>
    <w:p w14:paraId="77DB9A5A">
      <w:pPr>
        <w:spacing w:after="400"/>
      </w:pPr>
    </w:p>
    <w:p w14:paraId="3B973662">
      <w:pPr>
        <w:spacing w:after="200" w:line="400" w:lineRule="auto"/>
        <w:rPr>
          <w:rFonts w:ascii="Times New Roman" w:hAnsi="Times New Roman" w:eastAsia="宋体"/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确认签字：＿＿＿＿＿＿＿＿＿＿＿＿　　　　日期：＿＿＿＿年＿＿月＿＿日</w:t>
      </w:r>
    </w:p>
    <w:p w14:paraId="166C4807">
      <w:pPr>
        <w:spacing w:after="200" w:line="400" w:lineRule="auto"/>
        <w:rPr>
          <w:rFonts w:ascii="Times New Roman" w:hAnsi="Times New Roman" w:eastAsia="宋体"/>
          <w:sz w:val="22"/>
          <w:szCs w:val="22"/>
        </w:rPr>
      </w:pPr>
    </w:p>
    <w:p w14:paraId="45986416">
      <w:pPr>
        <w:spacing w:after="200" w:line="400" w:lineRule="auto"/>
      </w:pPr>
      <w:bookmarkStart w:id="0" w:name="_GoBack"/>
      <w:bookmarkEnd w:id="0"/>
      <w:r>
        <w:rPr>
          <w:rFonts w:ascii="Times New Roman" w:hAnsi="Times New Roman" w:eastAsia="宋体"/>
          <w:i/>
          <w:iCs/>
          <w:color w:val="7F7F7F"/>
          <w:sz w:val="20"/>
          <w:szCs w:val="20"/>
        </w:rPr>
        <w:t>本协议将随论文作为 Supplementary Methods 公开发表。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4C25E">
    <w:pPr>
      <w:jc w:val="center"/>
    </w:pPr>
    <w:r>
      <w:rPr>
        <w:rFonts w:ascii="Times New Roman" w:hAnsi="Times New Roman" w:eastAsia="宋体"/>
        <w:color w:val="808080"/>
        <w:sz w:val="18"/>
        <w:szCs w:val="18"/>
      </w:rPr>
      <w:t xml:space="preserve">腹膜筋膜层面标注协议　·　第 </w:t>
    </w:r>
    <w:r>
      <w:rPr>
        <w:rFonts w:ascii="Times New Roman" w:hAnsi="Times New Roman" w:eastAsia="宋体"/>
        <w:color w:val="808080"/>
        <w:sz w:val="18"/>
        <w:szCs w:val="18"/>
      </w:rPr>
      <w:fldChar w:fldCharType="begin"/>
    </w:r>
    <w:r>
      <w:rPr>
        <w:rFonts w:ascii="Times New Roman" w:hAnsi="Times New Roman" w:eastAsia="宋体"/>
        <w:color w:val="808080"/>
        <w:sz w:val="18"/>
        <w:szCs w:val="18"/>
      </w:rPr>
      <w:instrText xml:space="preserve">PAGE</w:instrText>
    </w:r>
    <w:r>
      <w:rPr>
        <w:rFonts w:ascii="Times New Roman" w:hAnsi="Times New Roman" w:eastAsia="宋体"/>
        <w:color w:val="808080"/>
        <w:sz w:val="18"/>
        <w:szCs w:val="18"/>
      </w:rPr>
      <w:fldChar w:fldCharType="separate"/>
    </w:r>
    <w:r>
      <w:rPr>
        <w:rFonts w:ascii="Times New Roman" w:hAnsi="Times New Roman" w:eastAsia="宋体"/>
        <w:color w:val="808080"/>
        <w:sz w:val="18"/>
        <w:szCs w:val="18"/>
      </w:rPr>
      <w:fldChar w:fldCharType="end"/>
    </w:r>
    <w:r>
      <w:rPr>
        <w:rFonts w:ascii="Times New Roman" w:hAnsi="Times New Roman" w:eastAsia="宋体"/>
        <w:color w:val="808080"/>
        <w:sz w:val="18"/>
        <w:szCs w:val="18"/>
      </w:rPr>
      <w:t xml:space="preserve"> 页 / 共 </w:t>
    </w:r>
    <w:r>
      <w:rPr>
        <w:rFonts w:ascii="Times New Roman" w:hAnsi="Times New Roman" w:eastAsia="宋体"/>
        <w:color w:val="808080"/>
        <w:sz w:val="18"/>
        <w:szCs w:val="18"/>
      </w:rPr>
      <w:fldChar w:fldCharType="begin"/>
    </w:r>
    <w:r>
      <w:rPr>
        <w:rFonts w:ascii="Times New Roman" w:hAnsi="Times New Roman" w:eastAsia="宋体"/>
        <w:color w:val="808080"/>
        <w:sz w:val="18"/>
        <w:szCs w:val="18"/>
      </w:rPr>
      <w:instrText xml:space="preserve">NUMPAGES</w:instrText>
    </w:r>
    <w:r>
      <w:rPr>
        <w:rFonts w:ascii="Times New Roman" w:hAnsi="Times New Roman" w:eastAsia="宋体"/>
        <w:color w:val="808080"/>
        <w:sz w:val="18"/>
        <w:szCs w:val="18"/>
      </w:rPr>
      <w:fldChar w:fldCharType="separate"/>
    </w:r>
    <w:r>
      <w:rPr>
        <w:rFonts w:ascii="Times New Roman" w:hAnsi="Times New Roman" w:eastAsia="宋体"/>
        <w:color w:val="808080"/>
        <w:sz w:val="18"/>
        <w:szCs w:val="18"/>
      </w:rPr>
      <w:fldChar w:fldCharType="end"/>
    </w:r>
    <w:r>
      <w:rPr>
        <w:rFonts w:ascii="Times New Roman" w:hAnsi="Times New Roman" w:eastAsia="宋体"/>
        <w:color w:val="808080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•"/>
      <w:lvlJc w:val="left"/>
      <w:pPr>
        <w:ind w:left="640" w:hanging="320"/>
      </w:pPr>
    </w:lvl>
  </w:abstractNum>
  <w:abstractNum w:abstractNumId="1">
    <w:nsid w:val="C8879AEF"/>
    <w:multiLevelType w:val="singleLevel"/>
    <w:tmpl w:val="C8879AEF"/>
    <w:lvl w:ilvl="0" w:tentative="0">
      <w:start w:val="1"/>
      <w:numFmt w:val="decimal"/>
      <w:lvlText w:val="%1."/>
      <w:lvlJc w:val="left"/>
      <w:pPr>
        <w:ind w:left="640" w:hanging="360"/>
      </w:pPr>
    </w:lvl>
  </w:abstractNum>
  <w:abstractNum w:abstractNumId="2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640" w:hanging="320"/>
      </w:pPr>
    </w:lvl>
  </w:abstractNum>
  <w:abstractNum w:abstractNumId="3">
    <w:nsid w:val="0248C179"/>
    <w:multiLevelType w:val="singleLevel"/>
    <w:tmpl w:val="0248C179"/>
    <w:lvl w:ilvl="0" w:tentative="0">
      <w:start w:val="1"/>
      <w:numFmt w:val="bullet"/>
      <w:lvlText w:val="•"/>
      <w:lvlJc w:val="left"/>
      <w:pPr>
        <w:ind w:left="640" w:hanging="320"/>
      </w:pPr>
    </w:lvl>
  </w:abstractNum>
  <w:abstractNum w:abstractNumId="4">
    <w:nsid w:val="25B654F3"/>
    <w:multiLevelType w:val="singleLevel"/>
    <w:tmpl w:val="25B654F3"/>
    <w:lvl w:ilvl="0" w:tentative="0">
      <w:start w:val="1"/>
      <w:numFmt w:val="bullet"/>
      <w:lvlText w:val="•"/>
      <w:lvlJc w:val="left"/>
      <w:pPr>
        <w:ind w:left="640" w:hanging="320"/>
      </w:pPr>
    </w:lvl>
  </w:abstractNum>
  <w:abstractNum w:abstractNumId="5">
    <w:nsid w:val="2A8F537B"/>
    <w:multiLevelType w:val="singleLevel"/>
    <w:tmpl w:val="2A8F537B"/>
    <w:lvl w:ilvl="0" w:tentative="0">
      <w:start w:val="1"/>
      <w:numFmt w:val="decimal"/>
      <w:lvlText w:val="%1."/>
      <w:lvlJc w:val="left"/>
      <w:pPr>
        <w:ind w:left="640" w:hanging="360"/>
      </w:pPr>
    </w:lvl>
  </w:abstractNum>
  <w:abstractNum w:abstractNumId="6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2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DB747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/>
      <w:sz w:val="22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宋体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宋体"/>
      <w:color w:val="1F4D78"/>
      <w:sz w:val="22"/>
      <w:szCs w:val="2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pPr>
      <w:spacing w:after="0" w:line="240" w:lineRule="auto"/>
    </w:pPr>
    <w:rPr>
      <w:rFonts w:ascii="Times New Roman" w:hAnsi="Times New Roman" w:eastAsia="宋体"/>
      <w:sz w:val="20"/>
      <w:szCs w:val="20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/>
      <w:sz w:val="20"/>
      <w:szCs w:val="20"/>
    </w:rPr>
  </w:style>
  <w:style w:type="paragraph" w:styleId="11">
    <w:name w:val="Title"/>
    <w:qFormat/>
    <w:uiPriority w:val="0"/>
    <w:rPr>
      <w:rFonts w:ascii="Times New Roman" w:hAnsi="Times New Roman" w:eastAsia="宋体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Times New Roman" w:hAnsi="Times New Roman" w:eastAsia="宋体"/>
      <w:sz w:val="22"/>
      <w:szCs w:val="22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2017</Words>
  <Characters>2425</Characters>
  <TotalTime>1</TotalTime>
  <ScaleCrop>false</ScaleCrop>
  <LinksUpToDate>false</LinksUpToDate>
  <CharactersWithSpaces>2553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2026-08-23T13:13:00Z</dcterms:created>
  <dc:creator/>
  <cp:lastModifiedBy/>
  <dcterms:modified xsi:type="dcterms:W3CDTF">2026-08-23T13:15:08Z</dcterms:modified>
  <cp:revision>1</cp:revision>
</cp:coreProperties>
</file>