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z3xi4b2cyo3" w:id="0"/>
      <w:bookmarkEnd w:id="0"/>
      <w:r w:rsidDel="00000000" w:rsidR="00000000" w:rsidRPr="00000000">
        <w:rPr>
          <w:rtl w:val="0"/>
        </w:rPr>
        <w:t xml:space="preserve">Программа НИС по вычислительной филогенетике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С.А.Спирин, осень 2019</w:t>
        <w:br w:type="textWrapping"/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wzgszgw8nm08" w:id="1"/>
      <w:bookmarkEnd w:id="1"/>
      <w:r w:rsidDel="00000000" w:rsidR="00000000" w:rsidRPr="00000000">
        <w:rPr>
          <w:rtl w:val="0"/>
        </w:rPr>
        <w:t xml:space="preserve"> Комбинаторика деревьев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Терминология (лист, ветвь, узел, клада, корень).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Топология дерева как набор разбиений множества листьев.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Смысл длин ветвей.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Число различных разрешённых деревьев с n листьями (укоренённых и неукоренённых).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Что такое “ультраметричность” (применительно к филогенетическому дереву)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xen7sez4wgv" w:id="2"/>
      <w:bookmarkEnd w:id="2"/>
      <w:r w:rsidDel="00000000" w:rsidR="00000000" w:rsidRPr="00000000">
        <w:rPr>
          <w:rtl w:val="0"/>
        </w:rPr>
        <w:t xml:space="preserve"> Принципиальная схема реконструкции филогении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Дистанционные и символьные методы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Прямые и переборные методы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soclohec2dc6" w:id="3"/>
      <w:bookmarkEnd w:id="3"/>
      <w:r w:rsidDel="00000000" w:rsidR="00000000" w:rsidRPr="00000000">
        <w:rPr>
          <w:rtl w:val="0"/>
        </w:rPr>
        <w:t xml:space="preserve"> Оценка эволюционных расстояний между последовательностями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Формула Джукса – Кантора (Jukes-Cantor)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Оценка по принципу максимального правдоподобия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ud5x3tm99hx7" w:id="4"/>
      <w:bookmarkEnd w:id="4"/>
      <w:r w:rsidDel="00000000" w:rsidR="00000000" w:rsidRPr="00000000">
        <w:rPr>
          <w:rtl w:val="0"/>
        </w:rPr>
        <w:t xml:space="preserve"> Поиск в пространстве деревьев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Выращивание (stepwise addition)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(*) TBR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(*) Генетические алгоритмы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(*) Markov chain Monte Carlo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konik7ffkj2u" w:id="5"/>
      <w:bookmarkEnd w:id="5"/>
      <w:r w:rsidDel="00000000" w:rsidR="00000000" w:rsidRPr="00000000">
        <w:rPr>
          <w:rtl w:val="0"/>
        </w:rPr>
        <w:t xml:space="preserve">Критерии качества дерева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Максимальная экономия (parsimony)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Максимальное правдоподобие (likelihood)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Минимальная эволюция (minimum evolution)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Наименьшие квадраты (OLS = Ordinary least squares, Fitch – Margoliash)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(*) Другие (например, квартеты)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jkymmb32bkj3" w:id="6"/>
      <w:bookmarkEnd w:id="6"/>
      <w:r w:rsidDel="00000000" w:rsidR="00000000" w:rsidRPr="00000000">
        <w:rPr>
          <w:rtl w:val="0"/>
        </w:rPr>
        <w:t xml:space="preserve">Прямые методы реконструкции филогении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UPGMA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Neighbor-joining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720" w:hanging="360"/>
      </w:pPr>
      <w:bookmarkStart w:colFirst="0" w:colLast="0" w:name="_7b5cvfdyn2vp" w:id="7"/>
      <w:bookmarkEnd w:id="7"/>
      <w:r w:rsidDel="00000000" w:rsidR="00000000" w:rsidRPr="00000000">
        <w:rPr>
          <w:rtl w:val="0"/>
        </w:rPr>
        <w:t xml:space="preserve">Укоренение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Укоренение в среднюю точку (midpoint)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Внешняя группа (outgroup)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wslgmhzf233" w:id="8"/>
      <w:bookmarkEnd w:id="8"/>
      <w:r w:rsidDel="00000000" w:rsidR="00000000" w:rsidRPr="00000000">
        <w:rPr>
          <w:rtl w:val="0"/>
        </w:rPr>
        <w:t xml:space="preserve">Bootstrap и jackknife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t9ucz7lxxu1" w:id="9"/>
      <w:bookmarkEnd w:id="9"/>
      <w:r w:rsidDel="00000000" w:rsidR="00000000" w:rsidRPr="00000000">
        <w:rPr>
          <w:rtl w:val="0"/>
        </w:rPr>
        <w:t xml:space="preserve">Составные части зачёта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Две контрольные 25%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Журнальный клуб: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Собственный доклад 30%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Представление о содержании других докладов — в рамках экзамена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Практическая работа 25%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Экзамен 20%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f8447x9dhpee" w:id="10"/>
      <w:bookmarkEnd w:id="10"/>
      <w:r w:rsidDel="00000000" w:rsidR="00000000" w:rsidRPr="00000000">
        <w:rPr>
          <w:rtl w:val="0"/>
        </w:rPr>
        <w:t xml:space="preserve">Содержание практической работы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46ebm7s81js" w:id="11"/>
      <w:bookmarkEnd w:id="11"/>
      <w:r w:rsidDel="00000000" w:rsidR="00000000" w:rsidRPr="00000000">
        <w:rPr>
          <w:rtl w:val="0"/>
        </w:rPr>
        <w:t xml:space="preserve">Два варианта: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Взять статью, где описывается реконструкция филогении какой-либо группы организмов и повторить часть работы (15–30 организмов) другим способом (те же последовательности, но другой софт, или же другие последовательности из тех же видов или родов и т.п.). Сравнить результаты.</w:t>
        <w:br w:type="textWrapping"/>
        <w:t xml:space="preserve">Можно не организмы, а мультигенное семейство (ортологи и паралоги из нескольких организмов).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Взять набор организмов по своему усмотрению, подобрать ортологичные последовательности, реконструировать несколькими способами.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Технические вопросы задавайте по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sspirin@hse.ru</w:t>
        </w:r>
      </w:hyperlink>
      <w:r w:rsidDel="00000000" w:rsidR="00000000" w:rsidRPr="00000000">
        <w:rPr>
          <w:rtl w:val="0"/>
        </w:rPr>
        <w:t xml:space="preserve"> . Ответы на наиболее очевидные ниже.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kkgg0npxdf" w:id="12"/>
      <w:bookmarkEnd w:id="12"/>
      <w:r w:rsidDel="00000000" w:rsidR="00000000" w:rsidRPr="00000000">
        <w:rPr>
          <w:rtl w:val="0"/>
        </w:rPr>
        <w:t xml:space="preserve">Где брать последовательности?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Supplementary Data к статьям.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Uniprot (там хороший Advanced Search).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вас есть примерный список организмов, можно попробовать взять белки, закодированные в митохондриях, например цитохром B (Uniprot ID начинается с CYB_ ) или первую субъединицу цитохромоксидазы (начинается с COX1_ ). Все их проще всего их найти, вбив в окошко поиска на сайте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https://www.uniprot.org/</w:t>
        </w:r>
      </w:hyperlink>
      <w:r w:rsidDel="00000000" w:rsidR="00000000" w:rsidRPr="00000000">
        <w:rPr>
          <w:rtl w:val="0"/>
        </w:rPr>
        <w:t xml:space="preserve"> строку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mnemonic:cox1_*</w:t>
      </w:r>
      <w:r w:rsidDel="00000000" w:rsidR="00000000" w:rsidRPr="00000000">
        <w:rPr>
          <w:rtl w:val="0"/>
        </w:rPr>
        <w:br w:type="textWrapping"/>
        <w:t xml:space="preserve">или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mnemonic:cyb_*</w:t>
        <w:br w:type="textWrapping"/>
      </w:r>
      <w:r w:rsidDel="00000000" w:rsidR="00000000" w:rsidRPr="00000000">
        <w:rPr>
          <w:rtl w:val="0"/>
        </w:rPr>
        <w:t xml:space="preserve">В крайнем случае можно сначала найти все такие записи, а потом из полученного набора отобрать интересные организмы.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Если есть и организмы, и названия белков, разбирайтесь с поиском (ссылка Advanced справа вверху), там всё довольно интуитивно. Варианты названия организма или таксона выпадают как меню по первым буквам этого названия.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NCBI (там с поиском по аннотации плохо, но справиться можно, например, используя BLAST). Но часто в статьях приводятся идентификаторы GenBank или RefSeq, тогда проблемы нет.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qnewybfluxk6" w:id="13"/>
      <w:bookmarkEnd w:id="13"/>
      <w:r w:rsidDel="00000000" w:rsidR="00000000" w:rsidRPr="00000000">
        <w:rPr>
          <w:rtl w:val="0"/>
        </w:rPr>
        <w:t xml:space="preserve">Рекомендуемые программы реконструкции филогении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Бонус в случае использования </w:t>
      </w:r>
      <w:r w:rsidDel="00000000" w:rsidR="00000000" w:rsidRPr="00000000">
        <w:rPr>
          <w:b w:val="1"/>
          <w:rtl w:val="0"/>
        </w:rPr>
        <w:t xml:space="preserve">установленных на своём компьютере </w:t>
      </w:r>
      <w:r w:rsidDel="00000000" w:rsidR="00000000" w:rsidRPr="00000000">
        <w:rPr>
          <w:rtl w:val="0"/>
        </w:rPr>
        <w:t xml:space="preserve">программ из следующего списка: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FastME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TREE-PUZZLE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MrBayes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PhyloBayes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Но (без бонуса) можно и другими, например MEGA, или на сайте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phylogeny.fr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aloa9ndemwo" w:id="14"/>
      <w:bookmarkEnd w:id="14"/>
      <w:r w:rsidDel="00000000" w:rsidR="00000000" w:rsidRPr="00000000">
        <w:rPr>
          <w:rtl w:val="0"/>
        </w:rPr>
        <w:t xml:space="preserve">Программы выравнивания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Помните, что невыровненные последовательности нельзя подавать на вход программам реконструкции филогении!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Clustal Omega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https://www.ebi.ac.uk/Tools/msa/clustalo/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MAFFT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https://www.ebi.ac.uk/Tools/msa/mafft/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Muscle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https://www.ebi.ac.uk/Tools/msa/muscle/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Все три программы можно использовать не только онлайн, но и установив на своём компьютере, а также через редактор выравниваний Jalview.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Кроме того, алгоритмы Muscle и MAFFT встроены в MEGA.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qay2t41lhokp" w:id="15"/>
      <w:bookmarkEnd w:id="15"/>
      <w:r w:rsidDel="00000000" w:rsidR="00000000" w:rsidRPr="00000000">
        <w:rPr>
          <w:rtl w:val="0"/>
        </w:rPr>
        <w:t xml:space="preserve">Проблема переформатирования выравнивания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Многие филогенетические программы не понимают обычных форматов, выдаваемых программами выравнивания. Разберитесь, какие форматы требуются на вход (например, NEXUS/PAUP или PHYLIP), и переформатируйте выравнивание программой seqret: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Онлайн на сайте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https://www.ebi.ac.uk/Tools/sfc/emboss_seqret/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Или поставьте на своём компьютере и освойте  пакет EMBOSS (пригодится ещё не раз!), туда входит программа seqret.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eav19gmzansr" w:id="16"/>
      <w:bookmarkEnd w:id="16"/>
      <w:r w:rsidDel="00000000" w:rsidR="00000000" w:rsidRPr="00000000">
        <w:rPr>
          <w:rtl w:val="0"/>
        </w:rPr>
        <w:t xml:space="preserve">Изображение дерева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MEGA выдаёт довольно качественное изображение по формату Newick. Есть и другие программы для рисования деревьев, см.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https://en.wikipedia.org/wiki/List_of_phylogenetic_tree_visualization_software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Если выходной формат филогенетической программы —  NEXUS, то придумайте что-нибудь (например, найдите или напишите скрипт для переформатирования, или найдите в списке визуализирующую программу, которая понимает этот формат). 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2jwlgdtl09w0" w:id="17"/>
      <w:bookmarkEnd w:id="17"/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Очень краткий: что делалось, что получилось, выводы.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Но текст должен быть понятен стороннему читателю.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oal0wqmweayq" w:id="18"/>
      <w:bookmarkEnd w:id="18"/>
      <w:r w:rsidDel="00000000" w:rsidR="00000000" w:rsidRPr="00000000">
        <w:rPr>
          <w:rtl w:val="0"/>
        </w:rPr>
        <w:t xml:space="preserve">Несколько статей с описанием работы по реконструкции филогении (</w:t>
      </w:r>
      <w:r w:rsidDel="00000000" w:rsidR="00000000" w:rsidRPr="00000000">
        <w:rPr>
          <w:i w:val="1"/>
          <w:rtl w:val="0"/>
        </w:rPr>
        <w:t xml:space="preserve">список прошлогодний, будет дополняться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Erez Shpirer, Arik Diamant, Paulyn Cartwright and Dorothée Hucho. A genome wide survey reveals multiple nematocyst-specific genes in Myxozoa. BMC Evolutionary Biology 2018 18:138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https://doi.org/10.1186/s12862-018-1253-7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См. Additional Files 3–7. Там есть уже готовые выравнивания в формате NEXUS (под MrBayes, например).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Dong Zhang et al. Three new Diplozoidae mitogenomes expose unusual compositional biases within the Monogenea class: implications for phylogenetic studies. BMC Evolutionary Biology 2018 18:133.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https://doi.org/10.1186/s12862-018-1249-3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См. Additional File 13, тем есть идентификаторы в NCBI для полных митохондриальных геномов. Нужно будет выбрать штук 10, открыть каждый в NCBI (вот как здесь: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https://www.ncbi.nlm.nih.gov/nuccore/NC_014591.1/</w:t>
        </w:r>
      </w:hyperlink>
      <w:r w:rsidDel="00000000" w:rsidR="00000000" w:rsidRPr="00000000">
        <w:rPr>
          <w:rtl w:val="0"/>
        </w:rPr>
        <w:t xml:space="preserve"> ) и выбрать в описании какой-нибудь один и тот же белок (например, cytochrome B или COX1), по этим белкам строить дерево.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K.E. Bräuer et al. Phylogenetic and genomic analyses of the ribosomal oxygenases Riox1 (No66) and Riox2 (Mina53) provide new insights into their evolution. BMC Evolutionary Biology 2018 18:96.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https://doi.org/10.1186/s12862-018-1215-0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M.F. Medina et al. Molecular phylogeny of Panaspis and Afroablepharus skinks (Squamata: Scincidae) in the savannas of sub-Saharan Africa. Molecular Phylogenetics and Evolution. Volume 100, Pages 409-423.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https://doi.org/10.1016/j.ympev.2016.04.026</w:t>
        </w:r>
      </w:hyperlink>
      <w:r w:rsidDel="00000000" w:rsidR="00000000" w:rsidRPr="00000000">
        <w:rPr>
          <w:rtl w:val="0"/>
        </w:rPr>
        <w:br w:type="textWrapping"/>
        <w:t xml:space="preserve">Здесь прямо в тексте есть таблица с идентификаторами последовательностей.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Sunjoo Joo et al. Common ancestry of heterodimerizing TALE homeobox transcription factors across Metazoa and Archaeplastida. BMC Biology 2018 16:136.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https://doi.org/10.1186/s12915-018-0605-5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Additional File 1 (Table S2) содержит прямо последовательности доменов, но чтобы  отобрать нужные для, например, сравнения с рис. 1, потребуются некоторые усилия.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A.A. Krinitsina et al. The systematic position of Dryopteris blanfordii subsp. nigrosquamosa (Ching) Fraser-Jenkins within the genus Dryopteris Adans. PhytoKeys. 2017; (90): 89–112.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https://www.ncbi.nlm.nih.gov/pmc/articles/PMC5784233/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bi.nlm.nih.gov/pmc/articles/PMC5784233/" TargetMode="External"/><Relationship Id="rId11" Type="http://schemas.openxmlformats.org/officeDocument/2006/relationships/hyperlink" Target="https://www.ebi.ac.uk/Tools/msa/muscle/" TargetMode="External"/><Relationship Id="rId10" Type="http://schemas.openxmlformats.org/officeDocument/2006/relationships/hyperlink" Target="https://www.ebi.ac.uk/Tools/msa/mafft/" TargetMode="External"/><Relationship Id="rId13" Type="http://schemas.openxmlformats.org/officeDocument/2006/relationships/hyperlink" Target="https://en.wikipedia.org/wiki/List_of_phylogenetic_tree_visualization_software" TargetMode="External"/><Relationship Id="rId12" Type="http://schemas.openxmlformats.org/officeDocument/2006/relationships/hyperlink" Target="https://www.ebi.ac.uk/Tools/sfc/emboss_seqr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i.ac.uk/Tools/msa/clustalo/" TargetMode="External"/><Relationship Id="rId15" Type="http://schemas.openxmlformats.org/officeDocument/2006/relationships/hyperlink" Target="https://doi.org/10.1186/s12862-018-1249-3" TargetMode="External"/><Relationship Id="rId14" Type="http://schemas.openxmlformats.org/officeDocument/2006/relationships/hyperlink" Target="https://doi.org/10.1186/s12862-018-1253-7" TargetMode="External"/><Relationship Id="rId17" Type="http://schemas.openxmlformats.org/officeDocument/2006/relationships/hyperlink" Target="https://doi.org/10.1186/s12862-018-1215-0" TargetMode="External"/><Relationship Id="rId16" Type="http://schemas.openxmlformats.org/officeDocument/2006/relationships/hyperlink" Target="https://www.ncbi.nlm.nih.gov/nuccore/NC_014591.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1186/s12915-018-0605-5" TargetMode="External"/><Relationship Id="rId6" Type="http://schemas.openxmlformats.org/officeDocument/2006/relationships/hyperlink" Target="mailto:sspirin@hse.ru" TargetMode="External"/><Relationship Id="rId18" Type="http://schemas.openxmlformats.org/officeDocument/2006/relationships/hyperlink" Target="https://doi.org/10.1016/j.ympev.2016.04.026" TargetMode="External"/><Relationship Id="rId7" Type="http://schemas.openxmlformats.org/officeDocument/2006/relationships/hyperlink" Target="https://www.uniprot.org/" TargetMode="External"/><Relationship Id="rId8" Type="http://schemas.openxmlformats.org/officeDocument/2006/relationships/hyperlink" Target="http://www.phylogeny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