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200" w:after="0"/>
      </w:pPr>
      <w:r>
        <w:rPr>
          <w:rFonts w:ascii="Arial" w:cs="Arial" w:eastAsia="Arial" w:hAnsi="Arial"/>
          <w:b/>
          <w:bCs/>
          <w:color w:val="C9A84C"/>
          <w:sz w:val="52"/>
          <w:szCs w:val="52"/>
        </w:rPr>
        <w:t xml:space="preserve">DAY 3</w:t>
      </w:r>
    </w:p>
    <w:p>
      <w:pPr>
        <w:shd w:fill="1F3864" w:val="clear"/>
        <w:spacing w:before="0" w:after="0"/>
      </w:pPr>
      <w:r>
        <w:rPr>
          <w:rFonts w:ascii="Arial" w:cs="Arial" w:eastAsia="Arial" w:hAnsi="Arial"/>
          <w:b/>
          <w:bCs/>
          <w:color w:val="FFFFFF"/>
          <w:sz w:val="36"/>
          <w:szCs w:val="36"/>
        </w:rPr>
        <w:t xml:space="preserve">Python Learning — Task Report</w:t>
      </w:r>
    </w:p>
    <w:p>
      <w:pPr>
        <w:shd w:fill="1F3864" w:val="clear"/>
        <w:spacing w:before="0" w:after="280"/>
      </w:pPr>
      <w:r>
        <w:rPr>
          <w:rFonts w:ascii="Arial" w:cs="Arial" w:eastAsia="Arial" w:hAnsi="Arial"/>
          <w:color w:val="D6E4F0"/>
          <w:sz w:val="20"/>
          <w:szCs w:val="20"/>
        </w:rPr>
        <w:t xml:space="preserve">Research  ·  Documentation  ·  Real-World Code Analysis</w:t>
      </w:r>
    </w:p>
    <w:p>
      <w:pPr>
        <w:pBdr>
          <w:left w:val="single" w:color="C9A84C" w:sz="18"/>
        </w:pBdr>
        <w:shd w:fill="1F3864" w:val="clear"/>
        <w:spacing w:before="440" w:after="0"/>
        <w:ind w:left="0"/>
      </w:pPr>
      <w:r>
        <w:rPr>
          <w:rFonts w:ascii="Arial" w:cs="Arial" w:eastAsia="Arial" w:hAnsi="Arial"/>
          <w:b/>
          <w:bCs/>
          <w:color w:val="C9A84C"/>
          <w:sz w:val="18"/>
          <w:szCs w:val="18"/>
        </w:rPr>
        <w:t xml:space="preserve">TIER 1  </w:t>
      </w:r>
      <w:r>
        <w:rPr>
          <w:rFonts w:ascii="Arial" w:cs="Arial" w:eastAsia="Arial" w:hAnsi="Arial"/>
          <w:b/>
          <w:bCs/>
          <w:color w:val="FFFFFF"/>
          <w:sz w:val="20"/>
          <w:szCs w:val="20"/>
        </w:rPr>
        <w:t xml:space="preserve">  RESEARCH PYTHON IN INDIAN IT</w:t>
      </w:r>
    </w:p>
    <w:p>
      <w:pPr>
        <w:spacing w:before="200" w:after="0"/>
      </w:pPr>
    </w:p>
    <w:p>
      <w:pPr>
        <w:pBdr>
          <w:bottom w:val="single" w:color="4472C4" w:sz="4"/>
        </w:pBdr>
        <w:spacing w:before="280" w:after="100"/>
      </w:pPr>
      <w:r>
        <w:rPr>
          <w:rFonts w:ascii="Arial" w:cs="Arial" w:eastAsia="Arial" w:hAnsi="Arial"/>
          <w:b/>
          <w:bCs/>
          <w:color w:val="1F3864"/>
          <w:sz w:val="24"/>
          <w:szCs w:val="24"/>
        </w:rPr>
        <w:t xml:space="preserve">Objective</w:t>
      </w:r>
    </w:p>
    <w:p>
      <w:pPr>
        <w:spacing w:before="80" w:after="100"/>
      </w:pPr>
      <w:r>
        <w:rPr>
          <w:rFonts w:ascii="Arial" w:cs="Arial" w:eastAsia="Arial" w:hAnsi="Arial"/>
          <w:b w:val="false"/>
          <w:bCs w:val="false"/>
          <w:i w:val="false"/>
          <w:iCs w:val="false"/>
          <w:color w:val="2C2C2C"/>
          <w:sz w:val="20"/>
          <w:szCs w:val="20"/>
        </w:rPr>
        <w:t xml:space="preserve">Understand why you are learning this language and who is hiring.</w:t>
      </w:r>
    </w:p>
    <w:p>
      <w:pPr>
        <w:pBdr>
          <w:bottom w:val="single" w:color="4472C4" w:sz="4"/>
        </w:pBdr>
        <w:spacing w:before="280" w:after="100"/>
      </w:pPr>
      <w:r>
        <w:rPr>
          <w:rFonts w:ascii="Arial" w:cs="Arial" w:eastAsia="Arial" w:hAnsi="Arial"/>
          <w:b/>
          <w:bCs/>
          <w:color w:val="1F3864"/>
          <w:sz w:val="24"/>
          <w:szCs w:val="24"/>
        </w:rPr>
        <w:t xml:space="preserve">Research Summary</w:t>
      </w:r>
    </w:p>
    <w:p>
      <w:pPr>
        <w:spacing w:before="80" w:after="100"/>
      </w:pPr>
      <w:r>
        <w:rPr>
          <w:rFonts w:ascii="Arial" w:cs="Arial" w:eastAsia="Arial" w:hAnsi="Arial"/>
          <w:b w:val="false"/>
          <w:bCs w:val="false"/>
          <w:i w:val="false"/>
          <w:iCs w:val="false"/>
          <w:color w:val="2C2C2C"/>
          <w:sz w:val="20"/>
          <w:szCs w:val="20"/>
        </w:rPr>
        <w:t xml:space="preserve">In 2024, Python has officially shifted from being a secondary scripting language to the primary engine driving the Indian IT sector. While Java remains a legacy staple, Python's dominance is fueled by the massive surge in Artificial Intelligence (AI) and Machine Learning (ML).</w:t>
      </w:r>
    </w:p>
    <w:p>
      <w:pPr>
        <w:spacing w:before="80" w:after="100"/>
      </w:pPr>
      <w:r>
        <w:rPr>
          <w:rFonts w:ascii="Arial" w:cs="Arial" w:eastAsia="Arial" w:hAnsi="Arial"/>
          <w:b w:val="false"/>
          <w:bCs w:val="false"/>
          <w:i w:val="false"/>
          <w:iCs w:val="false"/>
          <w:color w:val="2C2C2C"/>
          <w:sz w:val="20"/>
          <w:szCs w:val="20"/>
        </w:rPr>
        <w:t xml:space="preserve">Indian IT giants are no longer just maintaining code — they are building complex predictive models and automation pipelines where Python's libraries (like Pandas and TensorFlow) are indispensable.</w:t>
      </w:r>
    </w:p>
    <w:p>
      <w:pPr>
        <w:spacing w:before="80" w:after="100"/>
      </w:pPr>
      <w:r>
        <w:rPr>
          <w:rFonts w:ascii="Arial" w:cs="Arial" w:eastAsia="Arial" w:hAnsi="Arial"/>
          <w:b w:val="false"/>
          <w:bCs w:val="false"/>
          <w:i w:val="false"/>
          <w:iCs w:val="false"/>
          <w:color w:val="2C2C2C"/>
          <w:sz w:val="20"/>
          <w:szCs w:val="20"/>
        </w:rPr>
        <w:t xml:space="preserve">Beyond AI, Python is the backbone of DevOps and Cloud Infrastructure in India. As companies move to AWS and Azure, they use Python to automate server management and deployment. Additionally, its quick-to-market nature makes it the top choice for Indian startups building web backends using Django and FastAPI.</w:t>
      </w:r>
    </w:p>
    <w:p>
      <w:pPr>
        <w:pBdr>
          <w:bottom w:val="single" w:color="4472C4" w:sz="4"/>
        </w:pBdr>
        <w:spacing w:before="280" w:after="100"/>
      </w:pPr>
      <w:r>
        <w:rPr>
          <w:rFonts w:ascii="Arial" w:cs="Arial" w:eastAsia="Arial" w:hAnsi="Arial"/>
          <w:b/>
          <w:bCs/>
          <w:color w:val="1F3864"/>
          <w:sz w:val="24"/>
          <w:szCs w:val="24"/>
        </w:rPr>
        <w:t xml:space="preserve">3 Companies &amp; Their Python Use Cases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20"/>
            </w:tcMar>
          </w:tcPr>
          <w:p>
            <w:r>
              <w:rPr>
                <w:rFonts w:ascii="Arial" w:cs="Arial" w:eastAsia="Arial" w:hAnsi="Arial"/>
                <w:b/>
                <w:bCs/>
                <w:color w:val="FFFFFF"/>
                <w:sz w:val="20"/>
                <w:szCs w:val="20"/>
              </w:rPr>
              <w:t xml:space="preserve">Company</w:t>
            </w:r>
          </w:p>
        </w:tc>
        <w:tc>
          <w:tcPr>
            <w:tcW w:type="dxa" w:w="67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20"/>
            </w:tcMar>
          </w:tcPr>
          <w:p>
            <w:r>
              <w:rPr>
                <w:rFonts w:ascii="Arial" w:cs="Arial" w:eastAsia="Arial" w:hAnsi="Arial"/>
                <w:b/>
                <w:bCs/>
                <w:color w:val="FFFFFF"/>
                <w:sz w:val="20"/>
                <w:szCs w:val="20"/>
              </w:rPr>
              <w:t xml:space="preserve">Python Use Case</w:t>
            </w:r>
          </w:p>
        </w:tc>
      </w:tr>
      <w:tr>
        <w:tc>
          <w:tcPr>
            <w:tcW w:type="dxa" w:w="2600"/>
            <w:tcBorders>
              <w:top w:val="single" w:color="C5D9EE" w:sz="1"/>
              <w:left w:val="single" w:color="C5D9EE" w:sz="1"/>
              <w:bottom w:val="single" w:color="C5D9EE" w:sz="1"/>
              <w:right w:val="single" w:color="C5D9EE" w:sz="1"/>
            </w:tcBorders>
            <w:shd w:fill="FFFFFF" w:val="clear"/>
            <w:tcMar>
              <w:top w:type="dxa" w:w="100"/>
              <w:left w:type="dxa" w:w="160"/>
              <w:bottom w:type="dxa" w:w="100"/>
              <w:right w:type="dxa" w:w="120"/>
            </w:tcMar>
          </w:tcPr>
          <w:p>
            <w:r>
              <w:rPr>
                <w:rFonts w:ascii="Arial" w:cs="Arial" w:eastAsia="Arial" w:hAnsi="Arial"/>
                <w:b/>
                <w:bCs/>
                <w:color w:val="1F3864"/>
                <w:sz w:val="20"/>
                <w:szCs w:val="20"/>
              </w:rPr>
              <w:t xml:space="preserve">TCS</w:t>
            </w:r>
          </w:p>
        </w:tc>
        <w:tc>
          <w:tcPr>
            <w:tcW w:type="dxa" w:w="6760"/>
            <w:tcBorders>
              <w:top w:val="single" w:color="C5D9EE" w:sz="1"/>
              <w:left w:val="single" w:color="C5D9EE" w:sz="1"/>
              <w:bottom w:val="single" w:color="C5D9EE" w:sz="1"/>
              <w:right w:val="single" w:color="C5D9EE" w:sz="1"/>
            </w:tcBorders>
            <w:shd w:fill="FFFFFF" w:val="clear"/>
            <w:tcMar>
              <w:top w:type="dxa" w:w="100"/>
              <w:left w:type="dxa" w:w="160"/>
              <w:bottom w:type="dxa" w:w="100"/>
              <w:right w:type="dxa" w:w="120"/>
            </w:tcMar>
          </w:tcPr>
          <w:p>
            <w:r>
              <w:rPr>
                <w:rFonts w:ascii="Arial" w:cs="Arial" w:eastAsia="Arial" w:hAnsi="Arial"/>
                <w:color w:val="2C2C2C"/>
                <w:sz w:val="20"/>
                <w:szCs w:val="20"/>
              </w:rPr>
              <w:t xml:space="preserve">Enterprise AI solutions — automating financial reporting and data analytics for global clients.</w:t>
            </w:r>
          </w:p>
        </w:tc>
      </w:tr>
      <w:tr>
        <w:tc>
          <w:tcPr>
            <w:tcW w:type="dxa" w:w="2600"/>
            <w:tcBorders>
              <w:top w:val="single" w:color="C5D9EE" w:sz="1"/>
              <w:left w:val="single" w:color="C5D9EE" w:sz="1"/>
              <w:bottom w:val="single" w:color="C5D9EE" w:sz="1"/>
              <w:right w:val="single" w:color="C5D9EE" w:sz="1"/>
            </w:tcBorders>
            <w:shd w:fill="F5F7FA" w:val="clear"/>
            <w:tcMar>
              <w:top w:type="dxa" w:w="100"/>
              <w:left w:type="dxa" w:w="160"/>
              <w:bottom w:type="dxa" w:w="100"/>
              <w:right w:type="dxa" w:w="120"/>
            </w:tcMar>
          </w:tcPr>
          <w:p>
            <w:r>
              <w:rPr>
                <w:rFonts w:ascii="Arial" w:cs="Arial" w:eastAsia="Arial" w:hAnsi="Arial"/>
                <w:b/>
                <w:bCs/>
                <w:color w:val="1F3864"/>
                <w:sz w:val="20"/>
                <w:szCs w:val="20"/>
              </w:rPr>
              <w:t xml:space="preserve">Wipro</w:t>
            </w:r>
          </w:p>
        </w:tc>
        <w:tc>
          <w:tcPr>
            <w:tcW w:type="dxa" w:w="6760"/>
            <w:tcBorders>
              <w:top w:val="single" w:color="C5D9EE" w:sz="1"/>
              <w:left w:val="single" w:color="C5D9EE" w:sz="1"/>
              <w:bottom w:val="single" w:color="C5D9EE" w:sz="1"/>
              <w:right w:val="single" w:color="C5D9EE" w:sz="1"/>
            </w:tcBorders>
            <w:shd w:fill="F5F7FA" w:val="clear"/>
            <w:tcMar>
              <w:top w:type="dxa" w:w="100"/>
              <w:left w:type="dxa" w:w="160"/>
              <w:bottom w:type="dxa" w:w="100"/>
              <w:right w:type="dxa" w:w="120"/>
            </w:tcMar>
          </w:tcPr>
          <w:p>
            <w:r>
              <w:rPr>
                <w:rFonts w:ascii="Arial" w:cs="Arial" w:eastAsia="Arial" w:hAnsi="Arial"/>
                <w:color w:val="2C2C2C"/>
                <w:sz w:val="20"/>
                <w:szCs w:val="20"/>
              </w:rPr>
              <w:t xml:space="preserve">Cybersecurity &amp; Automation — scripts for threat detection and managing cloud security protocols.</w:t>
            </w:r>
          </w:p>
        </w:tc>
      </w:tr>
      <w:tr>
        <w:tc>
          <w:tcPr>
            <w:tcW w:type="dxa" w:w="2600"/>
            <w:tcBorders>
              <w:top w:val="single" w:color="C5D9EE" w:sz="1"/>
              <w:left w:val="single" w:color="C5D9EE" w:sz="1"/>
              <w:bottom w:val="single" w:color="C5D9EE" w:sz="1"/>
              <w:right w:val="single" w:color="C5D9EE" w:sz="1"/>
            </w:tcBorders>
            <w:shd w:fill="FFFFFF" w:val="clear"/>
            <w:tcMar>
              <w:top w:type="dxa" w:w="100"/>
              <w:left w:type="dxa" w:w="160"/>
              <w:bottom w:type="dxa" w:w="100"/>
              <w:right w:type="dxa" w:w="120"/>
            </w:tcMar>
          </w:tcPr>
          <w:p>
            <w:r>
              <w:rPr>
                <w:rFonts w:ascii="Arial" w:cs="Arial" w:eastAsia="Arial" w:hAnsi="Arial"/>
                <w:b/>
                <w:bCs/>
                <w:color w:val="1F3864"/>
                <w:sz w:val="20"/>
                <w:szCs w:val="20"/>
              </w:rPr>
              <w:t xml:space="preserve">Tech Mahindra</w:t>
            </w:r>
          </w:p>
        </w:tc>
        <w:tc>
          <w:tcPr>
            <w:tcW w:type="dxa" w:w="6760"/>
            <w:tcBorders>
              <w:top w:val="single" w:color="C5D9EE" w:sz="1"/>
              <w:left w:val="single" w:color="C5D9EE" w:sz="1"/>
              <w:bottom w:val="single" w:color="C5D9EE" w:sz="1"/>
              <w:right w:val="single" w:color="C5D9EE" w:sz="1"/>
            </w:tcBorders>
            <w:shd w:fill="FFFFFF" w:val="clear"/>
            <w:tcMar>
              <w:top w:type="dxa" w:w="100"/>
              <w:left w:type="dxa" w:w="160"/>
              <w:bottom w:type="dxa" w:w="100"/>
              <w:right w:type="dxa" w:w="120"/>
            </w:tcMar>
          </w:tcPr>
          <w:p>
            <w:r>
              <w:rPr>
                <w:rFonts w:ascii="Arial" w:cs="Arial" w:eastAsia="Arial" w:hAnsi="Arial"/>
                <w:color w:val="2C2C2C"/>
                <w:sz w:val="20"/>
                <w:szCs w:val="20"/>
              </w:rPr>
              <w:t xml:space="preserve">Telecom &amp; IoT — processing real-time data from millions of connected devices and sensors.</w:t>
            </w:r>
          </w:p>
        </w:tc>
      </w:tr>
    </w:tbl>
    <w:p>
      <w:pPr>
        <w:spacing w:before="300" w:after="0"/>
      </w:pPr>
    </w:p>
    <w:p>
      <w:pPr>
        <w:pBdr>
          <w:left w:val="single" w:color="C9A84C" w:sz="18"/>
        </w:pBdr>
        <w:shd w:fill="1F3864" w:val="clear"/>
        <w:spacing w:before="440" w:after="0"/>
        <w:ind w:left="0"/>
      </w:pPr>
      <w:r>
        <w:rPr>
          <w:rFonts w:ascii="Arial" w:cs="Arial" w:eastAsia="Arial" w:hAnsi="Arial"/>
          <w:b/>
          <w:bCs/>
          <w:color w:val="C9A84C"/>
          <w:sz w:val="18"/>
          <w:szCs w:val="18"/>
        </w:rPr>
        <w:t xml:space="preserve">TIER 2  </w:t>
      </w:r>
      <w:r>
        <w:rPr>
          <w:rFonts w:ascii="Arial" w:cs="Arial" w:eastAsia="Arial" w:hAnsi="Arial"/>
          <w:b/>
          <w:bCs/>
          <w:color w:val="FFFFFF"/>
          <w:sz w:val="20"/>
          <w:szCs w:val="20"/>
        </w:rPr>
        <w:t xml:space="preserve">  NAVIGATE OFFICIAL PYTHON DOCS</w:t>
      </w:r>
    </w:p>
    <w:p>
      <w:pPr>
        <w:spacing w:before="200" w:after="0"/>
      </w:pPr>
    </w:p>
    <w:p>
      <w:pPr>
        <w:pBdr>
          <w:bottom w:val="single" w:color="4472C4" w:sz="4"/>
        </w:pBdr>
        <w:spacing w:before="280" w:after="100"/>
      </w:pPr>
      <w:r>
        <w:rPr>
          <w:rFonts w:ascii="Arial" w:cs="Arial" w:eastAsia="Arial" w:hAnsi="Arial"/>
          <w:b/>
          <w:bCs/>
          <w:color w:val="1F3864"/>
          <w:sz w:val="24"/>
          <w:szCs w:val="24"/>
        </w:rPr>
        <w:t xml:space="preserve">Objective</w:t>
      </w:r>
    </w:p>
    <w:p>
      <w:pPr>
        <w:spacing w:before="80" w:after="100"/>
      </w:pPr>
      <w:r>
        <w:rPr>
          <w:rFonts w:ascii="Arial" w:cs="Arial" w:eastAsia="Arial" w:hAnsi="Arial"/>
          <w:b w:val="false"/>
          <w:bCs w:val="false"/>
          <w:i w:val="false"/>
          <w:iCs w:val="false"/>
          <w:color w:val="2C2C2C"/>
          <w:sz w:val="20"/>
          <w:szCs w:val="20"/>
        </w:rPr>
        <w:t xml:space="preserve">Master the art of reading technical documentation.</w:t>
      </w:r>
    </w:p>
    <w:p>
      <w:pPr>
        <w:pBdr>
          <w:bottom w:val="single" w:color="4472C4" w:sz="4"/>
        </w:pBdr>
        <w:spacing w:before="280" w:after="100"/>
      </w:pPr>
      <w:r>
        <w:rPr>
          <w:rFonts w:ascii="Arial" w:cs="Arial" w:eastAsia="Arial" w:hAnsi="Arial"/>
          <w:b/>
          <w:bCs/>
          <w:color w:val="1F3864"/>
          <w:sz w:val="24"/>
          <w:szCs w:val="24"/>
        </w:rPr>
        <w:t xml:space="preserve">3 Things I Understood Clearly</w:t>
      </w:r>
    </w:p>
    <w:p>
      <w:pPr>
        <w:pStyle w:val="ListParagraph"/>
        <w:numPr>
          <w:ilvl w:val="0"/>
          <w:numId w:val="2"/>
        </w:numPr>
        <w:spacing w:before="60" w:after="60"/>
      </w:pPr>
      <w:r>
        <w:rPr>
          <w:rFonts w:ascii="Arial" w:cs="Arial" w:eastAsia="Arial" w:hAnsi="Arial"/>
          <w:color w:val="2C2C2C"/>
          <w:sz w:val="20"/>
          <w:szCs w:val="20"/>
        </w:rPr>
        <w:t xml:space="preserve">Keyword Arguments — You can pass arguments by the name of the parameter (e.g., render(type='fast')), making code much more readable than passing a plain string.</w:t>
      </w:r>
    </w:p>
    <w:p>
      <w:pPr>
        <w:pStyle w:val="ListParagraph"/>
        <w:numPr>
          <w:ilvl w:val="0"/>
          <w:numId w:val="2"/>
        </w:numPr>
        <w:spacing w:before="60" w:after="60"/>
      </w:pPr>
      <w:r>
        <w:rPr>
          <w:rFonts w:ascii="Arial" w:cs="Arial" w:eastAsia="Arial" w:hAnsi="Arial"/>
          <w:color w:val="2C2C2C"/>
          <w:sz w:val="20"/>
          <w:szCs w:val="20"/>
        </w:rPr>
        <w:t xml:space="preserve">Default Parameter Values — You can define a fallback value in a function header so that if the user doesn't provide an input, the function doesn't crash.</w:t>
      </w:r>
    </w:p>
    <w:p>
      <w:pPr>
        <w:pStyle w:val="ListParagraph"/>
        <w:numPr>
          <w:ilvl w:val="0"/>
          <w:numId w:val="2"/>
        </w:numPr>
        <w:spacing w:before="60" w:after="60"/>
      </w:pPr>
      <w:r>
        <w:rPr>
          <w:rFonts w:ascii="Arial" w:cs="Arial" w:eastAsia="Arial" w:hAnsi="Arial"/>
          <w:color w:val="2C2C2C"/>
          <w:sz w:val="20"/>
          <w:szCs w:val="20"/>
        </w:rPr>
        <w:t xml:space="preserve">Docstrings — Using triple quotes """...""" at the start of a function is the standard way to document what the function does for other developers.</w:t>
      </w:r>
    </w:p>
    <w:p>
      <w:pPr>
        <w:pBdr>
          <w:bottom w:val="single" w:color="4472C4" w:sz="4"/>
        </w:pBdr>
        <w:spacing w:before="280" w:after="100"/>
      </w:pPr>
      <w:r>
        <w:rPr>
          <w:rFonts w:ascii="Arial" w:cs="Arial" w:eastAsia="Arial" w:hAnsi="Arial"/>
          <w:b/>
          <w:bCs/>
          <w:color w:val="1F3864"/>
          <w:sz w:val="24"/>
          <w:szCs w:val="24"/>
        </w:rPr>
        <w:t xml:space="preserve">2 Confusing Points</w:t>
      </w:r>
    </w:p>
    <w:p>
      <w:pPr>
        <w:pStyle w:val="ListParagraph"/>
        <w:numPr>
          <w:ilvl w:val="0"/>
          <w:numId w:val="2"/>
        </w:numPr>
        <w:spacing w:before="60" w:after="60"/>
      </w:pPr>
      <w:r>
        <w:rPr>
          <w:rFonts w:ascii="Arial" w:cs="Arial" w:eastAsia="Arial" w:hAnsi="Arial"/>
          <w:color w:val="2C2C2C"/>
          <w:sz w:val="20"/>
          <w:szCs w:val="20"/>
        </w:rPr>
        <w:t xml:space="preserve">Arbitrary Argument Lists (*args and **kwargs) — It is a bit fuzzy how Python knows which values belong to which variable when there is a mix of single and double asterisks.</w:t>
      </w:r>
    </w:p>
    <w:p>
      <w:pPr>
        <w:pStyle w:val="ListParagraph"/>
        <w:numPr>
          <w:ilvl w:val="0"/>
          <w:numId w:val="2"/>
        </w:numPr>
        <w:spacing w:before="60" w:after="60"/>
      </w:pPr>
      <w:r>
        <w:rPr>
          <w:rFonts w:ascii="Arial" w:cs="Arial" w:eastAsia="Arial" w:hAnsi="Arial"/>
          <w:color w:val="2C2C2C"/>
          <w:sz w:val="20"/>
          <w:szCs w:val="20"/>
        </w:rPr>
        <w:t xml:space="preserve">Lambda Expressions — The syntax feels very different from a standard def function; why use them if they are restricted to one line?</w:t>
      </w:r>
    </w:p>
    <w:p>
      <w:pPr>
        <w:pBdr>
          <w:bottom w:val="single" w:color="4472C4" w:sz="4"/>
        </w:pBdr>
        <w:spacing w:before="280" w:after="100"/>
      </w:pPr>
      <w:r>
        <w:rPr>
          <w:rFonts w:ascii="Arial" w:cs="Arial" w:eastAsia="Arial" w:hAnsi="Arial"/>
          <w:b/>
          <w:bCs/>
          <w:color w:val="1F3864"/>
          <w:sz w:val="24"/>
          <w:szCs w:val="24"/>
        </w:rPr>
        <w:t xml:space="preserve">Clarifications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4472C4" w:sz="1"/>
              <w:left w:val="single" w:color="4472C4" w:sz="1"/>
              <w:bottom w:val="single" w:color="4472C4" w:sz="1"/>
              <w:right w:val="single" w:color="4472C4" w:sz="1"/>
            </w:tcBorders>
            <w:shd w:fill="4472C4" w:val="clear"/>
            <w:tcMar>
              <w:top w:type="dxa" w:w="120"/>
              <w:left w:type="dxa" w:w="140"/>
              <w:bottom w:type="dxa" w:w="120"/>
              <w:right w:type="dxa" w:w="100"/>
            </w:tcMar>
            <w:vAlign w:val="center"/>
          </w:tcPr>
          <w:p>
            <w:pPr>
              <w:jc w:val="center"/>
            </w:pPr>
            <w:r>
              <w:rPr>
                <w:rFonts w:ascii="Arial" w:cs="Arial" w:eastAsia="Arial" w:hAnsi="Arial"/>
                <w:b/>
                <w:bCs/>
                <w:color w:val="FFFFFF"/>
                <w:sz w:val="18"/>
                <w:szCs w:val="18"/>
              </w:rPr>
              <w:t xml:space="preserve">Q&amp;A</w:t>
            </w:r>
          </w:p>
        </w:tc>
        <w:tc>
          <w:tcPr>
            <w:tcW w:type="dxa" w:w="9080"/>
            <w:tcBorders>
              <w:top w:val="single" w:color="C5D9EE" w:sz="1"/>
              <w:left w:val="single" w:color="C5D9EE" w:sz="1"/>
              <w:bottom w:val="single" w:color="C5D9EE" w:sz="1"/>
              <w:right w:val="single" w:color="C5D9EE" w:sz="1"/>
            </w:tcBorders>
            <w:shd w:fill="F5F7FA" w:val="clear"/>
            <w:tcMar>
              <w:top w:type="dxa" w:w="100"/>
              <w:left w:type="dxa" w:w="160"/>
              <w:bottom w:type="dxa" w:w="100"/>
              <w:right w:type="dxa" w:w="160"/>
            </w:tcMar>
          </w:tcPr>
          <w:p>
            <w:pPr>
              <w:spacing w:before="0" w:after="60"/>
            </w:pPr>
            <w:r>
              <w:rPr>
                <w:rFonts w:ascii="Arial" w:cs="Arial" w:eastAsia="Arial" w:hAnsi="Arial"/>
                <w:b/>
                <w:bCs/>
                <w:color w:val="1F3864"/>
                <w:sz w:val="20"/>
                <w:szCs w:val="20"/>
              </w:rPr>
              <w:t xml:space="preserve">On *args and **kwargs</w:t>
            </w:r>
          </w:p>
          <w:p>
            <w:pPr>
              <w:spacing w:before="0" w:after="0"/>
            </w:pPr>
            <w:r>
              <w:rPr>
                <w:rFonts w:ascii="Arial" w:cs="Arial" w:eastAsia="Arial" w:hAnsi="Arial"/>
                <w:i/>
                <w:iCs/>
                <w:color w:val="2C2C2C"/>
                <w:sz w:val="19"/>
                <w:szCs w:val="19"/>
              </w:rPr>
              <w:t xml:space="preserve">Think of *args as a list of extra items and **kwargs as a dictionary of extra labeled items. Python always collects the positional ones first, then gathers the labeled ones into the dictionary.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4472C4" w:sz="1"/>
              <w:left w:val="single" w:color="4472C4" w:sz="1"/>
              <w:bottom w:val="single" w:color="4472C4" w:sz="1"/>
              <w:right w:val="single" w:color="4472C4" w:sz="1"/>
            </w:tcBorders>
            <w:shd w:fill="4472C4" w:val="clear"/>
            <w:tcMar>
              <w:top w:type="dxa" w:w="120"/>
              <w:left w:type="dxa" w:w="140"/>
              <w:bottom w:type="dxa" w:w="120"/>
              <w:right w:type="dxa" w:w="100"/>
            </w:tcMar>
            <w:vAlign w:val="center"/>
          </w:tcPr>
          <w:p>
            <w:pPr>
              <w:jc w:val="center"/>
            </w:pPr>
            <w:r>
              <w:rPr>
                <w:rFonts w:ascii="Arial" w:cs="Arial" w:eastAsia="Arial" w:hAnsi="Arial"/>
                <w:b/>
                <w:bCs/>
                <w:color w:val="FFFFFF"/>
                <w:sz w:val="18"/>
                <w:szCs w:val="18"/>
              </w:rPr>
              <w:t xml:space="preserve">Q&amp;A</w:t>
            </w:r>
          </w:p>
        </w:tc>
        <w:tc>
          <w:tcPr>
            <w:tcW w:type="dxa" w:w="9080"/>
            <w:tcBorders>
              <w:top w:val="single" w:color="C5D9EE" w:sz="1"/>
              <w:left w:val="single" w:color="C5D9EE" w:sz="1"/>
              <w:bottom w:val="single" w:color="C5D9EE" w:sz="1"/>
              <w:right w:val="single" w:color="C5D9EE" w:sz="1"/>
            </w:tcBorders>
            <w:shd w:fill="F5F7FA" w:val="clear"/>
            <w:tcMar>
              <w:top w:type="dxa" w:w="100"/>
              <w:left w:type="dxa" w:w="160"/>
              <w:bottom w:type="dxa" w:w="100"/>
              <w:right w:type="dxa" w:w="160"/>
            </w:tcMar>
          </w:tcPr>
          <w:p>
            <w:pPr>
              <w:spacing w:before="0" w:after="60"/>
            </w:pPr>
            <w:r>
              <w:rPr>
                <w:rFonts w:ascii="Arial" w:cs="Arial" w:eastAsia="Arial" w:hAnsi="Arial"/>
                <w:b/>
                <w:bCs/>
                <w:color w:val="1F3864"/>
                <w:sz w:val="20"/>
                <w:szCs w:val="20"/>
              </w:rPr>
              <w:t xml:space="preserve">On Lambda Expressions</w:t>
            </w:r>
          </w:p>
          <w:p>
            <w:pPr>
              <w:spacing w:before="0" w:after="0"/>
            </w:pPr>
            <w:r>
              <w:rPr>
                <w:rFonts w:ascii="Arial" w:cs="Arial" w:eastAsia="Arial" w:hAnsi="Arial"/>
                <w:i/>
                <w:iCs/>
                <w:color w:val="2C2C2C"/>
                <w:sz w:val="19"/>
                <w:szCs w:val="19"/>
              </w:rPr>
              <w:t xml:space="preserve">These are throwaway functions. You use them when a function requires another function as an argument (like sorting a list) and you don't want to define a full, named function for a tiny, one-time task.</w:t>
            </w:r>
          </w:p>
        </w:tc>
      </w:tr>
    </w:tbl>
    <w:p>
      <w:pPr>
        <w:spacing w:before="300" w:after="0"/>
      </w:pPr>
    </w:p>
    <w:p>
      <w:pPr>
        <w:pBdr>
          <w:left w:val="single" w:color="C9A84C" w:sz="18"/>
        </w:pBdr>
        <w:shd w:fill="1F3864" w:val="clear"/>
        <w:spacing w:before="440" w:after="0"/>
        <w:ind w:left="0"/>
      </w:pPr>
      <w:r>
        <w:rPr>
          <w:rFonts w:ascii="Arial" w:cs="Arial" w:eastAsia="Arial" w:hAnsi="Arial"/>
          <w:b/>
          <w:bCs/>
          <w:color w:val="C9A84C"/>
          <w:sz w:val="18"/>
          <w:szCs w:val="18"/>
        </w:rPr>
        <w:t xml:space="preserve">TIER 3  </w:t>
      </w:r>
      <w:r>
        <w:rPr>
          <w:rFonts w:ascii="Arial" w:cs="Arial" w:eastAsia="Arial" w:hAnsi="Arial"/>
          <w:b/>
          <w:bCs/>
          <w:color w:val="FFFFFF"/>
          <w:sz w:val="20"/>
          <w:szCs w:val="20"/>
        </w:rPr>
        <w:t xml:space="preserve">  ANALYZE A REAL GITHUB REPOSITORY</w:t>
      </w:r>
    </w:p>
    <w:p>
      <w:pPr>
        <w:spacing w:before="200" w:after="0"/>
      </w:pPr>
    </w:p>
    <w:p>
      <w:pPr>
        <w:pBdr>
          <w:bottom w:val="single" w:color="4472C4" w:sz="4"/>
        </w:pBdr>
        <w:spacing w:before="280" w:after="100"/>
      </w:pPr>
      <w:r>
        <w:rPr>
          <w:rFonts w:ascii="Arial" w:cs="Arial" w:eastAsia="Arial" w:hAnsi="Arial"/>
          <w:b/>
          <w:bCs/>
          <w:color w:val="1F3864"/>
          <w:sz w:val="24"/>
          <w:szCs w:val="24"/>
        </w:rPr>
        <w:t xml:space="preserve">Objective</w:t>
      </w:r>
    </w:p>
    <w:p>
      <w:pPr>
        <w:spacing w:before="80" w:after="100"/>
      </w:pPr>
      <w:r>
        <w:rPr>
          <w:rFonts w:ascii="Arial" w:cs="Arial" w:eastAsia="Arial" w:hAnsi="Arial"/>
          <w:b w:val="false"/>
          <w:bCs w:val="false"/>
          <w:i w:val="false"/>
          <w:iCs w:val="false"/>
          <w:color w:val="2C2C2C"/>
          <w:sz w:val="20"/>
          <w:szCs w:val="20"/>
        </w:rPr>
        <w:t xml:space="preserve">Learn how professional code is organized.</w:t>
      </w:r>
    </w:p>
    <w:p>
      <w:pPr>
        <w:pBdr>
          <w:bottom w:val="single" w:color="4472C4" w:sz="4"/>
        </w:pBdr>
        <w:spacing w:before="280" w:after="100"/>
      </w:pPr>
      <w:r>
        <w:rPr>
          <w:rFonts w:ascii="Arial" w:cs="Arial" w:eastAsia="Arial" w:hAnsi="Arial"/>
          <w:b/>
          <w:bCs/>
          <w:color w:val="1F3864"/>
          <w:sz w:val="24"/>
          <w:szCs w:val="24"/>
        </w:rPr>
        <w:t xml:space="preserve">Project Analyzed: Instaloader (10k+ Stars)</w:t>
      </w:r>
    </w:p>
    <w:p>
      <w:pPr>
        <w:pStyle w:val="ListParagraph"/>
        <w:numPr>
          <w:ilvl w:val="0"/>
          <w:numId w:val="2"/>
        </w:numPr>
        <w:spacing w:before="80" w:after="80"/>
      </w:pPr>
      <w:r>
        <w:rPr>
          <w:rFonts w:ascii="Arial" w:cs="Arial" w:eastAsia="Arial" w:hAnsi="Arial"/>
          <w:b/>
          <w:bCs/>
          <w:color w:val="1F3864"/>
          <w:sz w:val="20"/>
          <w:szCs w:val="20"/>
        </w:rPr>
        <w:t xml:space="preserve">What does it do?: </w:t>
      </w:r>
      <w:r>
        <w:rPr>
          <w:rFonts w:ascii="Arial" w:cs="Arial" w:eastAsia="Arial" w:hAnsi="Arial"/>
          <w:color w:val="2C2C2C"/>
          <w:sz w:val="20"/>
          <w:szCs w:val="20"/>
        </w:rPr>
        <w:t xml:space="preserve">A tool used to download pictures, videos, and metadata (like captions and hashtags) from Instagram profiles.</w:t>
      </w:r>
    </w:p>
    <w:p>
      <w:pPr>
        <w:pStyle w:val="ListParagraph"/>
        <w:numPr>
          <w:ilvl w:val="0"/>
          <w:numId w:val="2"/>
        </w:numPr>
        <w:spacing w:before="80" w:after="80"/>
      </w:pPr>
      <w:r>
        <w:rPr>
          <w:rFonts w:ascii="Arial" w:cs="Arial" w:eastAsia="Arial" w:hAnsi="Arial"/>
          <w:b/>
          <w:bCs/>
          <w:color w:val="1F3864"/>
          <w:sz w:val="20"/>
          <w:szCs w:val="20"/>
        </w:rPr>
        <w:t xml:space="preserve">Who would use it?: </w:t>
      </w:r>
      <w:r>
        <w:rPr>
          <w:rFonts w:ascii="Arial" w:cs="Arial" w:eastAsia="Arial" w:hAnsi="Arial"/>
          <w:color w:val="2C2C2C"/>
          <w:sz w:val="20"/>
          <w:szCs w:val="20"/>
        </w:rPr>
        <w:t xml:space="preserve">Data scientists doing social media research, digital marketers archiving content, or hobbyists backing up their personal photos.</w:t>
      </w:r>
    </w:p>
    <w:p>
      <w:pPr>
        <w:pBdr>
          <w:bottom w:val="single" w:color="4472C4" w:sz="4"/>
        </w:pBdr>
        <w:spacing w:before="280" w:after="100"/>
      </w:pPr>
      <w:r>
        <w:rPr>
          <w:rFonts w:ascii="Arial" w:cs="Arial" w:eastAsia="Arial" w:hAnsi="Arial"/>
          <w:b/>
          <w:bCs/>
          <w:color w:val="1F3864"/>
          <w:sz w:val="24"/>
          <w:szCs w:val="24"/>
        </w:rPr>
        <w:t xml:space="preserve">Python Features Observed</w:t>
      </w:r>
    </w:p>
    <w:p>
      <w:pPr>
        <w:pStyle w:val="ListParagraph"/>
        <w:numPr>
          <w:ilvl w:val="0"/>
          <w:numId w:val="2"/>
        </w:numPr>
        <w:spacing w:before="60" w:after="60"/>
      </w:pPr>
      <w:r>
        <w:rPr>
          <w:rFonts w:ascii="Arial" w:cs="Arial" w:eastAsia="Arial" w:hAnsi="Arial"/>
          <w:color w:val="2C2C2C"/>
          <w:sz w:val="20"/>
          <w:szCs w:val="20"/>
        </w:rPr>
        <w:t xml:space="preserve">Object-Oriented Programming (OOP) — Uses classes like Post and Profile to represent Instagram data as structured objects.</w:t>
      </w:r>
    </w:p>
    <w:p>
      <w:pPr>
        <w:pStyle w:val="ListParagraph"/>
        <w:numPr>
          <w:ilvl w:val="0"/>
          <w:numId w:val="2"/>
        </w:numPr>
        <w:spacing w:before="60" w:after="60"/>
      </w:pPr>
      <w:r>
        <w:rPr>
          <w:rFonts w:ascii="Arial" w:cs="Arial" w:eastAsia="Arial" w:hAnsi="Arial"/>
          <w:color w:val="2C2C2C"/>
          <w:sz w:val="20"/>
          <w:szCs w:val="20"/>
        </w:rPr>
        <w:t xml:space="preserve">External Libraries — Uses requests for web communication and json for saving and serializing data.</w:t>
      </w:r>
    </w:p>
    <w:p>
      <w:pPr>
        <w:pStyle w:val="ListParagraph"/>
        <w:numPr>
          <w:ilvl w:val="0"/>
          <w:numId w:val="2"/>
        </w:numPr>
        <w:spacing w:before="60" w:after="60"/>
      </w:pPr>
      <w:r>
        <w:rPr>
          <w:rFonts w:ascii="Arial" w:cs="Arial" w:eastAsia="Arial" w:hAnsi="Arial"/>
          <w:color w:val="2C2C2C"/>
          <w:sz w:val="20"/>
          <w:szCs w:val="20"/>
        </w:rPr>
        <w:t xml:space="preserve">Command Line Interface (CLI) — Allows users to run commands directly from their terminal without writing any code.</w:t>
      </w:r>
    </w:p>
    <w:p>
      <w:pPr>
        <w:spacing w:before="400" w:after="0"/>
      </w:pPr>
    </w:p>
    <w:p>
      <w:pPr>
        <w:pBdr>
          <w:top w:val="single" w:color="C5D9EE" w:sz="4"/>
        </w:pBdr>
        <w:spacing w:before="200" w:after="0"/>
      </w:pPr>
      <w:r>
        <w:rPr>
          <w:rFonts w:ascii="Arial" w:cs="Arial" w:eastAsia="Arial" w:hAnsi="Arial"/>
          <w:color w:val="AAAAAA"/>
          <w:sz w:val="17"/>
          <w:szCs w:val="17"/>
        </w:rPr>
        <w:t xml:space="preserve">Day 3 Complete  ·  Python Learning Journey</w:t>
      </w:r>
    </w:p>
    <w:sectPr>
      <w:head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8"/>
      </w:pBdr>
      <w:spacing w:before="0" w:after="120"/>
    </w:pPr>
    <w:r>
      <w:rPr>
        <w:rFonts w:ascii="Arial" w:cs="Arial" w:eastAsia="Arial" w:hAnsi="Arial"/>
        <w:b/>
        <w:bCs/>
        <w:color w:val="2E74B5"/>
        <w:sz w:val="18"/>
        <w:szCs w:val="18"/>
      </w:rPr>
      <w:t xml:space="preserve">Python Learning Journey  </w:t>
    </w:r>
    <w:r>
      <w:rPr>
        <w:rFonts w:ascii="Arial" w:cs="Arial" w:eastAsia="Arial" w:hAnsi="Arial"/>
        <w:color w:val="888888"/>
        <w:sz w:val="18"/>
        <w:szCs w:val="18"/>
      </w:rPr>
      <w:t xml:space="preserve">  DAY 3 TASK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2026-03-12T12:05:10.080Z</dcterms:created>
  <dcterms:modified xsi:type="dcterms:W3CDTF">2026-03-12T12:05:10.082Z</dcterms:modified>
</cp:coreProperties>
</file>

<file path=docProps/custom.xml><?xml version="1.0" encoding="utf-8"?>
<Properties xmlns="http://schemas.openxmlformats.org/officeDocument/2006/custom-properties" xmlns:vt="http://schemas.openxmlformats.org/officeDocument/2006/docPropsVTypes"/>
</file>