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CN09 – Atualizar salas de aula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0" w:right="0" w:hanging="0"/>
        <w:rPr>
          <w:rFonts w:cs="Times New Roman" w:ascii="Times New Roman" w:hAnsi="Times New Roman"/>
          <w:sz w:val="28"/>
          <w:szCs w:val="28"/>
        </w:rPr>
      </w:pPr>
      <w:r>
        <w:rPr/>
        <w:t xml:space="preserve">   </w:t>
      </w: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4"/>
        <w:gridCol w:w="2614"/>
        <w:gridCol w:w="2612"/>
      </w:tblGrid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09</w:t>
            </w:r>
          </w:p>
        </w:tc>
      </w:tr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Atualizar salas de aula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01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gerente (TL06)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“Atualizar” (TL06.1)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os dados da sala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no botão “Salvar” (TL08)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Sala atualizada com sucesso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feita</w:t>
            </w:r>
            <w:r>
              <w:rPr>
                <w:rFonts w:cs="Times New Roman" w:ascii="Times New Roman" w:hAnsi="Times New Roman"/>
                <w:sz w:val="24"/>
              </w:rPr>
              <w:t xml:space="preserve"> a atualização de salas de aula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“Atualizar” (TL06.1).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Mensagem sala atualizada com sucesso e retorno para a tela do gerente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M05, TL06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 / CN03 –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02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gerente (TL06)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“Atualizar” (TL06.1)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pelo menos um dos campos de dados de atualização (TL08) com uma cadeia de caracteres inválidos.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Clicar no botão “Salvar” (TL08.)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CT02 – Dados inválidos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um erro no preenchimento dos dados na atualização da sala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“Atualizar” (TL06.1).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Mensagem “Dados inválidos” e retorno para a tela de atualização de salas de aula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M02, TL08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CT01/ CN03 –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d51ada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rsid w:val="00d51ada"/>
    <w:basedOn w:val="Normal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9324B-56CE-4F32-B4BF-6716D003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2015-05-17T20:27:00Z</dcterms:created>
  <dc:creator>Allysondesign</dc:creator>
  <dc:language>pt-BR</dc:language>
  <cp:lastModifiedBy>Allysondesign</cp:lastModifiedBy>
  <dcterms:modified xsi:type="dcterms:W3CDTF">2015-05-17T20:47:00Z</dcterms:modified>
  <cp:revision>3</cp:revision>
</cp:coreProperties>
</file>