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1A5BB" w14:textId="4BA8A76A" w:rsidR="00EE58D0" w:rsidRDefault="000B0BA8" w:rsidP="00EE58D0">
      <w:pPr>
        <w:spacing w:line="360" w:lineRule="auto"/>
        <w:jc w:val="center"/>
        <w:rPr>
          <w:rFonts w:ascii="Cambria Math" w:hAnsi="Cambria Math"/>
          <w:sz w:val="24"/>
          <w:szCs w:val="24"/>
        </w:rPr>
      </w:pPr>
      <w:r>
        <w:rPr>
          <w:rFonts w:ascii="Cambria Math" w:hAnsi="Cambria Math"/>
          <w:sz w:val="24"/>
          <w:szCs w:val="24"/>
        </w:rPr>
        <w:t>Social Justice</w:t>
      </w:r>
    </w:p>
    <w:p w14:paraId="2E2E5350" w14:textId="0B9F20C5" w:rsidR="00EE58D0" w:rsidRDefault="00EE58D0" w:rsidP="00EE58D0">
      <w:pPr>
        <w:spacing w:line="360" w:lineRule="auto"/>
        <w:rPr>
          <w:rFonts w:ascii="Cambria Math" w:hAnsi="Cambria Math"/>
          <w:sz w:val="24"/>
          <w:szCs w:val="24"/>
        </w:rPr>
      </w:pPr>
      <w:r>
        <w:rPr>
          <w:rFonts w:ascii="Cambria Math" w:hAnsi="Cambria Math"/>
          <w:sz w:val="24"/>
          <w:szCs w:val="24"/>
        </w:rPr>
        <w:t>Social justice: When all people in our world are considered in a fair and equitable manner, including the distribution of wealth, opportunities and privileges within a society.</w:t>
      </w:r>
    </w:p>
    <w:p w14:paraId="72B8D9DD" w14:textId="3AD0B3E2" w:rsidR="00EE58D0" w:rsidRDefault="00EE58D0" w:rsidP="00EE58D0">
      <w:pPr>
        <w:spacing w:line="360" w:lineRule="auto"/>
        <w:rPr>
          <w:rFonts w:ascii="Cambria Math" w:hAnsi="Cambria Math"/>
          <w:sz w:val="24"/>
          <w:szCs w:val="24"/>
        </w:rPr>
      </w:pPr>
      <w:r>
        <w:rPr>
          <w:rFonts w:ascii="Cambria Math" w:hAnsi="Cambria Math"/>
          <w:sz w:val="24"/>
          <w:szCs w:val="24"/>
        </w:rPr>
        <w:t>i.e., Individuals who live in lower socioeconomic areas or isolated communities should have the same access to healthcare services and education as the general population.</w:t>
      </w:r>
    </w:p>
    <w:p w14:paraId="2A74EA9A" w14:textId="24FF009C" w:rsidR="00EE58D0" w:rsidRDefault="00EE58D0" w:rsidP="00EE58D0">
      <w:pPr>
        <w:spacing w:line="360" w:lineRule="auto"/>
        <w:rPr>
          <w:rFonts w:ascii="Cambria Math" w:hAnsi="Cambria Math"/>
          <w:sz w:val="24"/>
          <w:szCs w:val="24"/>
        </w:rPr>
      </w:pPr>
      <w:r>
        <w:rPr>
          <w:rFonts w:ascii="Cambria Math" w:hAnsi="Cambria Math"/>
          <w:sz w:val="24"/>
          <w:szCs w:val="24"/>
        </w:rPr>
        <w:t>Social justice principles:</w:t>
      </w:r>
    </w:p>
    <w:p w14:paraId="28C30E0A" w14:textId="29CA86C8" w:rsidR="00EE58D0" w:rsidRDefault="00EE58D0" w:rsidP="00EE58D0">
      <w:pPr>
        <w:pStyle w:val="ListParagraph"/>
        <w:numPr>
          <w:ilvl w:val="0"/>
          <w:numId w:val="2"/>
        </w:numPr>
        <w:spacing w:line="360" w:lineRule="auto"/>
        <w:rPr>
          <w:rFonts w:ascii="Cambria Math" w:hAnsi="Cambria Math"/>
          <w:sz w:val="24"/>
          <w:szCs w:val="24"/>
        </w:rPr>
      </w:pPr>
      <w:r>
        <w:rPr>
          <w:rFonts w:ascii="Cambria Math" w:hAnsi="Cambria Math"/>
          <w:sz w:val="24"/>
          <w:szCs w:val="24"/>
        </w:rPr>
        <w:t>Access and equity.</w:t>
      </w:r>
    </w:p>
    <w:p w14:paraId="59A16C6A" w14:textId="12ADC1C2" w:rsidR="00EE58D0" w:rsidRDefault="00EE58D0" w:rsidP="00EE58D0">
      <w:pPr>
        <w:pStyle w:val="ListParagraph"/>
        <w:numPr>
          <w:ilvl w:val="0"/>
          <w:numId w:val="2"/>
        </w:numPr>
        <w:spacing w:line="360" w:lineRule="auto"/>
        <w:rPr>
          <w:rFonts w:ascii="Cambria Math" w:hAnsi="Cambria Math"/>
          <w:sz w:val="24"/>
          <w:szCs w:val="24"/>
        </w:rPr>
      </w:pPr>
      <w:r>
        <w:rPr>
          <w:rFonts w:ascii="Cambria Math" w:hAnsi="Cambria Math"/>
          <w:sz w:val="24"/>
          <w:szCs w:val="24"/>
        </w:rPr>
        <w:t>Diversity.</w:t>
      </w:r>
    </w:p>
    <w:p w14:paraId="2EEEDB9C" w14:textId="7391B43A" w:rsidR="00EE58D0" w:rsidRDefault="00EE58D0" w:rsidP="00EE58D0">
      <w:pPr>
        <w:pStyle w:val="ListParagraph"/>
        <w:numPr>
          <w:ilvl w:val="0"/>
          <w:numId w:val="2"/>
        </w:numPr>
        <w:spacing w:line="360" w:lineRule="auto"/>
        <w:rPr>
          <w:rFonts w:ascii="Cambria Math" w:hAnsi="Cambria Math"/>
          <w:sz w:val="24"/>
          <w:szCs w:val="24"/>
        </w:rPr>
      </w:pPr>
      <w:r>
        <w:rPr>
          <w:rFonts w:ascii="Cambria Math" w:hAnsi="Cambria Math"/>
          <w:sz w:val="24"/>
          <w:szCs w:val="24"/>
        </w:rPr>
        <w:t>Supportive environments.</w:t>
      </w:r>
    </w:p>
    <w:p w14:paraId="37102116" w14:textId="7BE080E7" w:rsidR="00EE58D0" w:rsidRDefault="00EE58D0" w:rsidP="00EE58D0">
      <w:pPr>
        <w:spacing w:line="360" w:lineRule="auto"/>
        <w:rPr>
          <w:rFonts w:ascii="Cambria Math" w:hAnsi="Cambria Math"/>
          <w:sz w:val="24"/>
          <w:szCs w:val="24"/>
        </w:rPr>
      </w:pPr>
      <w:r>
        <w:rPr>
          <w:rFonts w:ascii="Cambria Math" w:hAnsi="Cambria Math"/>
          <w:sz w:val="24"/>
          <w:szCs w:val="24"/>
        </w:rPr>
        <w:t>These aim to reduce health inequities in Australia.</w:t>
      </w:r>
    </w:p>
    <w:p w14:paraId="1B5B45EC" w14:textId="5F5B66A7" w:rsidR="00EE58D0" w:rsidRDefault="00EE58D0" w:rsidP="00EE58D0">
      <w:pPr>
        <w:spacing w:line="360" w:lineRule="auto"/>
        <w:rPr>
          <w:rFonts w:ascii="Cambria Math" w:hAnsi="Cambria Math"/>
          <w:sz w:val="24"/>
          <w:szCs w:val="24"/>
        </w:rPr>
      </w:pPr>
    </w:p>
    <w:p w14:paraId="3E41B5B6" w14:textId="1D8E745C" w:rsidR="00EE58D0" w:rsidRDefault="00EE58D0" w:rsidP="00EE58D0">
      <w:pPr>
        <w:spacing w:line="360" w:lineRule="auto"/>
        <w:rPr>
          <w:rFonts w:ascii="Cambria Math" w:hAnsi="Cambria Math"/>
          <w:sz w:val="24"/>
          <w:szCs w:val="24"/>
        </w:rPr>
      </w:pPr>
      <w:r>
        <w:rPr>
          <w:rFonts w:ascii="Cambria Math" w:hAnsi="Cambria Math"/>
          <w:sz w:val="24"/>
          <w:szCs w:val="24"/>
        </w:rPr>
        <w:t>Access and equity: Means that resources are allocated in accordance with the needs of individuals of individuals and populations with the overarching goal of equal health outcomes.</w:t>
      </w:r>
    </w:p>
    <w:p w14:paraId="160A1C28" w14:textId="424422ED" w:rsidR="00EE58D0" w:rsidRDefault="00EE58D0" w:rsidP="00EE58D0">
      <w:pPr>
        <w:spacing w:line="360" w:lineRule="auto"/>
        <w:rPr>
          <w:rFonts w:ascii="Cambria Math" w:hAnsi="Cambria Math"/>
          <w:sz w:val="24"/>
          <w:szCs w:val="24"/>
        </w:rPr>
      </w:pPr>
      <w:r>
        <w:rPr>
          <w:rFonts w:ascii="Cambria Math" w:hAnsi="Cambria Math"/>
          <w:sz w:val="24"/>
          <w:szCs w:val="24"/>
        </w:rPr>
        <w:t>Example: Certain population groups are allocated more funding because they’re identified as priorities because of their lower health outcomes (i.e., indigenous).</w:t>
      </w:r>
    </w:p>
    <w:p w14:paraId="585F9DA9" w14:textId="0047D8F9" w:rsidR="000B6638" w:rsidRDefault="000B6638" w:rsidP="00EE58D0">
      <w:pPr>
        <w:spacing w:line="360" w:lineRule="auto"/>
        <w:rPr>
          <w:rFonts w:ascii="Cambria Math" w:hAnsi="Cambria Math"/>
          <w:sz w:val="24"/>
          <w:szCs w:val="24"/>
        </w:rPr>
      </w:pPr>
    </w:p>
    <w:p w14:paraId="4FEF0039" w14:textId="54240381" w:rsidR="009B3FD5" w:rsidRDefault="000B6638" w:rsidP="005A4E4E">
      <w:pPr>
        <w:spacing w:line="360" w:lineRule="auto"/>
        <w:rPr>
          <w:rFonts w:ascii="Cambria Math" w:hAnsi="Cambria Math"/>
          <w:sz w:val="24"/>
          <w:szCs w:val="24"/>
        </w:rPr>
      </w:pPr>
      <w:r>
        <w:rPr>
          <w:rFonts w:ascii="Cambria Math" w:hAnsi="Cambria Math"/>
          <w:sz w:val="24"/>
          <w:szCs w:val="24"/>
        </w:rPr>
        <w:t>Diversity:</w:t>
      </w:r>
      <w:r w:rsidR="009B3FD5">
        <w:rPr>
          <w:rFonts w:ascii="Cambria Math" w:hAnsi="Cambria Math"/>
          <w:sz w:val="24"/>
          <w:szCs w:val="24"/>
        </w:rPr>
        <w:t xml:space="preserve"> Refers to respecting and accounting for the differences that exist between individuals and people groups e.g., ethnicity, gender, sexual orientation, language, age/generation and socioeconomic status.</w:t>
      </w:r>
    </w:p>
    <w:p w14:paraId="6E91C488" w14:textId="1383E26C" w:rsidR="009B3FD5" w:rsidRDefault="009B3FD5" w:rsidP="005A4E4E">
      <w:pPr>
        <w:spacing w:line="360" w:lineRule="auto"/>
        <w:rPr>
          <w:rFonts w:ascii="Cambria Math" w:hAnsi="Cambria Math"/>
          <w:sz w:val="24"/>
          <w:szCs w:val="24"/>
        </w:rPr>
      </w:pPr>
      <w:r>
        <w:rPr>
          <w:rFonts w:ascii="Cambria Math" w:hAnsi="Cambria Math"/>
          <w:sz w:val="24"/>
          <w:szCs w:val="24"/>
        </w:rPr>
        <w:t>Example:</w:t>
      </w:r>
    </w:p>
    <w:p w14:paraId="07412E21" w14:textId="2C428895" w:rsidR="008D48DE" w:rsidRDefault="009B3FD5" w:rsidP="008D48DE">
      <w:pPr>
        <w:pStyle w:val="ListParagraph"/>
        <w:numPr>
          <w:ilvl w:val="0"/>
          <w:numId w:val="5"/>
        </w:numPr>
        <w:spacing w:line="360" w:lineRule="auto"/>
        <w:rPr>
          <w:rFonts w:ascii="Cambria Math" w:hAnsi="Cambria Math"/>
          <w:sz w:val="24"/>
          <w:szCs w:val="24"/>
        </w:rPr>
      </w:pPr>
      <w:r>
        <w:rPr>
          <w:rFonts w:ascii="Cambria Math" w:hAnsi="Cambria Math"/>
          <w:sz w:val="24"/>
          <w:szCs w:val="24"/>
        </w:rPr>
        <w:t>Ensuring that brochures for healthcare services are in multiple languages and have interpreters in hospitals to allow all individuals to access health information.</w:t>
      </w:r>
    </w:p>
    <w:p w14:paraId="5B9CC7CA" w14:textId="6E4E0188" w:rsidR="002D7565" w:rsidRDefault="002D7565" w:rsidP="002D7565">
      <w:pPr>
        <w:pStyle w:val="ListParagraph"/>
        <w:numPr>
          <w:ilvl w:val="0"/>
          <w:numId w:val="5"/>
        </w:numPr>
        <w:spacing w:line="360" w:lineRule="auto"/>
        <w:rPr>
          <w:rFonts w:ascii="Cambria Math" w:hAnsi="Cambria Math"/>
          <w:sz w:val="24"/>
          <w:szCs w:val="24"/>
        </w:rPr>
      </w:pPr>
      <w:r>
        <w:rPr>
          <w:rFonts w:ascii="Cambria Math" w:hAnsi="Cambria Math"/>
          <w:sz w:val="24"/>
          <w:szCs w:val="24"/>
        </w:rPr>
        <w:t>Healthcare facilities employ health professionals who are diverse and/or “culturally competent”.</w:t>
      </w:r>
    </w:p>
    <w:p w14:paraId="419DBEC2" w14:textId="77777777" w:rsidR="00A06522" w:rsidRPr="00A06522" w:rsidRDefault="00A06522" w:rsidP="00A06522">
      <w:pPr>
        <w:spacing w:line="360" w:lineRule="auto"/>
        <w:rPr>
          <w:rFonts w:ascii="Cambria Math" w:hAnsi="Cambria Math"/>
          <w:sz w:val="24"/>
          <w:szCs w:val="24"/>
        </w:rPr>
      </w:pPr>
    </w:p>
    <w:p w14:paraId="632CB273" w14:textId="1A91C0F7" w:rsidR="002D7565" w:rsidRDefault="002D7565" w:rsidP="002D7565">
      <w:pPr>
        <w:spacing w:line="360" w:lineRule="auto"/>
        <w:rPr>
          <w:rFonts w:ascii="Cambria Math" w:hAnsi="Cambria Math"/>
          <w:sz w:val="24"/>
          <w:szCs w:val="24"/>
        </w:rPr>
      </w:pPr>
      <w:r>
        <w:rPr>
          <w:rFonts w:ascii="Cambria Math" w:hAnsi="Cambria Math"/>
          <w:sz w:val="24"/>
          <w:szCs w:val="24"/>
        </w:rPr>
        <w:lastRenderedPageBreak/>
        <w:t>Supportive environments: Environments where people live, work and play that protect people from threats to health and that increase their ability to make health-promoting choices.</w:t>
      </w:r>
    </w:p>
    <w:p w14:paraId="3186FF41" w14:textId="14AF0D86" w:rsidR="00222B4C" w:rsidRDefault="002D7565" w:rsidP="002D7565">
      <w:pPr>
        <w:spacing w:line="360" w:lineRule="auto"/>
        <w:rPr>
          <w:rFonts w:ascii="Cambria Math" w:hAnsi="Cambria Math"/>
          <w:sz w:val="24"/>
          <w:szCs w:val="24"/>
        </w:rPr>
      </w:pPr>
      <w:r>
        <w:rPr>
          <w:rFonts w:ascii="Cambria Math" w:hAnsi="Cambria Math"/>
          <w:sz w:val="24"/>
          <w:szCs w:val="24"/>
        </w:rPr>
        <w:t>The government looks to create supportive environments for al</w:t>
      </w:r>
      <w:r w:rsidR="00222B4C">
        <w:rPr>
          <w:rFonts w:ascii="Cambria Math" w:hAnsi="Cambria Math"/>
          <w:sz w:val="24"/>
          <w:szCs w:val="24"/>
        </w:rPr>
        <w:t>l people, but also looks at the environments  of particular people groups to determine if these might be reasons for poorer health outcomes.</w:t>
      </w:r>
    </w:p>
    <w:p w14:paraId="60B14334" w14:textId="3CC6ABE4" w:rsidR="000B0BA8" w:rsidRDefault="00A06522" w:rsidP="002D7565">
      <w:pPr>
        <w:spacing w:line="360" w:lineRule="auto"/>
        <w:rPr>
          <w:rFonts w:ascii="Cambria Math" w:hAnsi="Cambria Math"/>
          <w:sz w:val="24"/>
          <w:szCs w:val="24"/>
        </w:rPr>
      </w:pPr>
      <w:r>
        <w:rPr>
          <w:rFonts w:ascii="Cambria Math" w:hAnsi="Cambria Math"/>
          <w:sz w:val="24"/>
          <w:szCs w:val="24"/>
        </w:rPr>
        <w:t>Example: Ensuring rural and remote locations have fewer fast food outlets and sufficiently stocked grocery stores to promote nutrition.</w:t>
      </w:r>
    </w:p>
    <w:p w14:paraId="2CBD26BE" w14:textId="6F84037D" w:rsidR="000B0BA8" w:rsidRDefault="000B0BA8" w:rsidP="002D7565">
      <w:pPr>
        <w:spacing w:line="360" w:lineRule="auto"/>
        <w:rPr>
          <w:rFonts w:ascii="Cambria Math" w:hAnsi="Cambria Math"/>
          <w:sz w:val="24"/>
          <w:szCs w:val="24"/>
        </w:rPr>
      </w:pPr>
    </w:p>
    <w:p w14:paraId="56CB509F" w14:textId="57D82A19" w:rsidR="000B0BA8" w:rsidRDefault="000B0BA8" w:rsidP="000B0BA8">
      <w:pPr>
        <w:spacing w:line="360" w:lineRule="auto"/>
        <w:jc w:val="center"/>
        <w:rPr>
          <w:rFonts w:ascii="Cambria Math" w:hAnsi="Cambria Math"/>
          <w:sz w:val="24"/>
          <w:szCs w:val="24"/>
        </w:rPr>
      </w:pPr>
      <w:r>
        <w:rPr>
          <w:rFonts w:ascii="Cambria Math" w:hAnsi="Cambria Math"/>
          <w:sz w:val="24"/>
          <w:szCs w:val="24"/>
        </w:rPr>
        <w:t>Closing the Gap Program</w:t>
      </w:r>
    </w:p>
    <w:p w14:paraId="59604FE1" w14:textId="2D97CD86" w:rsidR="004A7C5A" w:rsidRDefault="004A7C5A" w:rsidP="000B0BA8">
      <w:pPr>
        <w:spacing w:line="360" w:lineRule="auto"/>
        <w:rPr>
          <w:rFonts w:ascii="Cambria Math" w:hAnsi="Cambria Math"/>
          <w:sz w:val="24"/>
          <w:szCs w:val="24"/>
        </w:rPr>
      </w:pPr>
      <w:r>
        <w:rPr>
          <w:rFonts w:ascii="Cambria Math" w:hAnsi="Cambria Math"/>
          <w:sz w:val="24"/>
          <w:szCs w:val="24"/>
        </w:rPr>
        <w:t>Primary objective: To achieve equality for Aboriginal and Torres Strait Islander people in health and life expectancy within a generation.</w:t>
      </w:r>
    </w:p>
    <w:p w14:paraId="6DD7239E" w14:textId="164B57B3" w:rsidR="004A7C5A" w:rsidRDefault="004A7C5A" w:rsidP="000B0BA8">
      <w:pPr>
        <w:spacing w:line="360" w:lineRule="auto"/>
        <w:rPr>
          <w:rFonts w:ascii="Cambria Math" w:hAnsi="Cambria Math"/>
          <w:sz w:val="24"/>
          <w:szCs w:val="24"/>
        </w:rPr>
      </w:pPr>
      <w:r>
        <w:rPr>
          <w:rFonts w:ascii="Cambria Math" w:hAnsi="Cambria Math"/>
          <w:sz w:val="24"/>
          <w:szCs w:val="24"/>
        </w:rPr>
        <w:t>In 2008, these targets were set:</w:t>
      </w:r>
    </w:p>
    <w:p w14:paraId="63702519" w14:textId="759A86E4" w:rsidR="004A7C5A" w:rsidRDefault="004A7C5A" w:rsidP="004A7C5A">
      <w:pPr>
        <w:pStyle w:val="ListParagraph"/>
        <w:numPr>
          <w:ilvl w:val="0"/>
          <w:numId w:val="6"/>
        </w:numPr>
        <w:spacing w:line="360" w:lineRule="auto"/>
        <w:rPr>
          <w:rFonts w:ascii="Cambria Math" w:hAnsi="Cambria Math"/>
          <w:sz w:val="24"/>
          <w:szCs w:val="24"/>
        </w:rPr>
      </w:pPr>
      <w:r>
        <w:rPr>
          <w:rFonts w:ascii="Cambria Math" w:hAnsi="Cambria Math"/>
          <w:sz w:val="24"/>
          <w:szCs w:val="24"/>
        </w:rPr>
        <w:t xml:space="preserve">To close the </w:t>
      </w:r>
      <w:r w:rsidRPr="008C215F">
        <w:rPr>
          <w:rFonts w:ascii="Cambria Math" w:hAnsi="Cambria Math"/>
          <w:sz w:val="24"/>
          <w:szCs w:val="24"/>
          <w:highlight w:val="yellow"/>
        </w:rPr>
        <w:t>life expectancy</w:t>
      </w:r>
      <w:r>
        <w:rPr>
          <w:rFonts w:ascii="Cambria Math" w:hAnsi="Cambria Math"/>
          <w:sz w:val="24"/>
          <w:szCs w:val="24"/>
        </w:rPr>
        <w:t xml:space="preserve"> gap within a generation.</w:t>
      </w:r>
    </w:p>
    <w:p w14:paraId="4435C7F2" w14:textId="6D729719" w:rsidR="004A7C5A" w:rsidRDefault="004A7C5A" w:rsidP="004A7C5A">
      <w:pPr>
        <w:pStyle w:val="ListParagraph"/>
        <w:numPr>
          <w:ilvl w:val="0"/>
          <w:numId w:val="6"/>
        </w:numPr>
        <w:spacing w:line="360" w:lineRule="auto"/>
        <w:rPr>
          <w:rFonts w:ascii="Cambria Math" w:hAnsi="Cambria Math"/>
          <w:sz w:val="24"/>
          <w:szCs w:val="24"/>
        </w:rPr>
      </w:pPr>
      <w:r>
        <w:rPr>
          <w:rFonts w:ascii="Cambria Math" w:hAnsi="Cambria Math"/>
          <w:sz w:val="24"/>
          <w:szCs w:val="24"/>
        </w:rPr>
        <w:t xml:space="preserve">To halve the gap in </w:t>
      </w:r>
      <w:r w:rsidRPr="008C215F">
        <w:rPr>
          <w:rFonts w:ascii="Cambria Math" w:hAnsi="Cambria Math"/>
          <w:sz w:val="24"/>
          <w:szCs w:val="24"/>
          <w:highlight w:val="yellow"/>
        </w:rPr>
        <w:t>mortality rates</w:t>
      </w:r>
      <w:r>
        <w:rPr>
          <w:rFonts w:ascii="Cambria Math" w:hAnsi="Cambria Math"/>
          <w:sz w:val="24"/>
          <w:szCs w:val="24"/>
        </w:rPr>
        <w:t xml:space="preserve"> for indigenous children under five within a decade.</w:t>
      </w:r>
    </w:p>
    <w:p w14:paraId="38476FE7" w14:textId="60C226D7" w:rsidR="004A7C5A" w:rsidRDefault="004A7C5A" w:rsidP="004A7C5A">
      <w:pPr>
        <w:pStyle w:val="ListParagraph"/>
        <w:numPr>
          <w:ilvl w:val="0"/>
          <w:numId w:val="6"/>
        </w:numPr>
        <w:spacing w:line="360" w:lineRule="auto"/>
        <w:rPr>
          <w:rFonts w:ascii="Cambria Math" w:hAnsi="Cambria Math"/>
          <w:sz w:val="24"/>
          <w:szCs w:val="24"/>
        </w:rPr>
      </w:pPr>
      <w:r>
        <w:rPr>
          <w:rFonts w:ascii="Cambria Math" w:hAnsi="Cambria Math"/>
          <w:sz w:val="24"/>
          <w:szCs w:val="24"/>
        </w:rPr>
        <w:t xml:space="preserve">To ensure access to </w:t>
      </w:r>
      <w:r w:rsidRPr="008C215F">
        <w:rPr>
          <w:rFonts w:ascii="Cambria Math" w:hAnsi="Cambria Math"/>
          <w:sz w:val="24"/>
          <w:szCs w:val="24"/>
          <w:highlight w:val="yellow"/>
        </w:rPr>
        <w:t>early childhood education</w:t>
      </w:r>
      <w:r>
        <w:rPr>
          <w:rFonts w:ascii="Cambria Math" w:hAnsi="Cambria Math"/>
          <w:sz w:val="24"/>
          <w:szCs w:val="24"/>
        </w:rPr>
        <w:t xml:space="preserve"> for all indigenous 4-year-olds in remote communities within 5 years.</w:t>
      </w:r>
    </w:p>
    <w:p w14:paraId="1358FBAC" w14:textId="54030735" w:rsidR="004A7C5A" w:rsidRDefault="004A7C5A" w:rsidP="004A7C5A">
      <w:pPr>
        <w:pStyle w:val="ListParagraph"/>
        <w:numPr>
          <w:ilvl w:val="0"/>
          <w:numId w:val="6"/>
        </w:numPr>
        <w:spacing w:line="360" w:lineRule="auto"/>
        <w:rPr>
          <w:rFonts w:ascii="Cambria Math" w:hAnsi="Cambria Math"/>
          <w:sz w:val="24"/>
          <w:szCs w:val="24"/>
        </w:rPr>
      </w:pPr>
      <w:r>
        <w:rPr>
          <w:rFonts w:ascii="Cambria Math" w:hAnsi="Cambria Math"/>
          <w:sz w:val="24"/>
          <w:szCs w:val="24"/>
        </w:rPr>
        <w:t xml:space="preserve">To halve the gap in </w:t>
      </w:r>
      <w:r w:rsidRPr="004A03EB">
        <w:rPr>
          <w:rFonts w:ascii="Cambria Math" w:hAnsi="Cambria Math"/>
          <w:sz w:val="24"/>
          <w:szCs w:val="24"/>
          <w:highlight w:val="yellow"/>
        </w:rPr>
        <w:t>reading,</w:t>
      </w:r>
      <w:r w:rsidR="008C215F" w:rsidRPr="004A03EB">
        <w:rPr>
          <w:rFonts w:ascii="Cambria Math" w:hAnsi="Cambria Math"/>
          <w:sz w:val="24"/>
          <w:szCs w:val="24"/>
          <w:highlight w:val="yellow"/>
        </w:rPr>
        <w:t xml:space="preserve"> </w:t>
      </w:r>
      <w:r w:rsidRPr="004A03EB">
        <w:rPr>
          <w:rFonts w:ascii="Cambria Math" w:hAnsi="Cambria Math"/>
          <w:sz w:val="24"/>
          <w:szCs w:val="24"/>
          <w:highlight w:val="yellow"/>
        </w:rPr>
        <w:t>writing and numeracy</w:t>
      </w:r>
      <w:r>
        <w:rPr>
          <w:rFonts w:ascii="Cambria Math" w:hAnsi="Cambria Math"/>
          <w:sz w:val="24"/>
          <w:szCs w:val="24"/>
        </w:rPr>
        <w:t xml:space="preserve"> achievements for children within a decade.</w:t>
      </w:r>
    </w:p>
    <w:p w14:paraId="674C1B75" w14:textId="70469CAC" w:rsidR="004A7C5A" w:rsidRDefault="004A7C5A" w:rsidP="004A7C5A">
      <w:pPr>
        <w:pStyle w:val="ListParagraph"/>
        <w:numPr>
          <w:ilvl w:val="0"/>
          <w:numId w:val="6"/>
        </w:numPr>
        <w:spacing w:line="360" w:lineRule="auto"/>
        <w:rPr>
          <w:rFonts w:ascii="Cambria Math" w:hAnsi="Cambria Math"/>
          <w:sz w:val="24"/>
          <w:szCs w:val="24"/>
        </w:rPr>
      </w:pPr>
      <w:r>
        <w:rPr>
          <w:rFonts w:ascii="Cambria Math" w:hAnsi="Cambria Math"/>
          <w:sz w:val="24"/>
          <w:szCs w:val="24"/>
        </w:rPr>
        <w:t xml:space="preserve">To halve the gap for indigenous students in </w:t>
      </w:r>
      <w:r w:rsidRPr="00104D9F">
        <w:rPr>
          <w:rFonts w:ascii="Cambria Math" w:hAnsi="Cambria Math"/>
          <w:sz w:val="24"/>
          <w:szCs w:val="24"/>
          <w:highlight w:val="yellow"/>
        </w:rPr>
        <w:t>Year 12 attainment</w:t>
      </w:r>
      <w:r>
        <w:rPr>
          <w:rFonts w:ascii="Cambria Math" w:hAnsi="Cambria Math"/>
          <w:sz w:val="24"/>
          <w:szCs w:val="24"/>
        </w:rPr>
        <w:t xml:space="preserve"> rates by 2020.</w:t>
      </w:r>
    </w:p>
    <w:p w14:paraId="5FF55BE8" w14:textId="01023AA6" w:rsidR="004A7C5A" w:rsidRDefault="004A7C5A" w:rsidP="004A7C5A">
      <w:pPr>
        <w:pStyle w:val="ListParagraph"/>
        <w:numPr>
          <w:ilvl w:val="0"/>
          <w:numId w:val="6"/>
        </w:numPr>
        <w:spacing w:line="360" w:lineRule="auto"/>
        <w:rPr>
          <w:rFonts w:ascii="Cambria Math" w:hAnsi="Cambria Math"/>
          <w:sz w:val="24"/>
          <w:szCs w:val="24"/>
        </w:rPr>
      </w:pPr>
      <w:r>
        <w:rPr>
          <w:rFonts w:ascii="Cambria Math" w:hAnsi="Cambria Math"/>
          <w:sz w:val="24"/>
          <w:szCs w:val="24"/>
        </w:rPr>
        <w:t xml:space="preserve">To halve the gap in </w:t>
      </w:r>
      <w:r w:rsidRPr="00D27175">
        <w:rPr>
          <w:rFonts w:ascii="Cambria Math" w:hAnsi="Cambria Math"/>
          <w:sz w:val="24"/>
          <w:szCs w:val="24"/>
          <w:highlight w:val="yellow"/>
        </w:rPr>
        <w:t>employment outcomes</w:t>
      </w:r>
      <w:r>
        <w:rPr>
          <w:rFonts w:ascii="Cambria Math" w:hAnsi="Cambria Math"/>
          <w:sz w:val="24"/>
          <w:szCs w:val="24"/>
        </w:rPr>
        <w:t xml:space="preserve"> between indigenous and non-indigenous Australians within a decade.</w:t>
      </w:r>
    </w:p>
    <w:p w14:paraId="563B6DDC" w14:textId="7CE4589B" w:rsidR="008C215F" w:rsidRDefault="008C215F" w:rsidP="008C215F">
      <w:pPr>
        <w:spacing w:line="360" w:lineRule="auto"/>
        <w:rPr>
          <w:rFonts w:ascii="Cambria Math" w:hAnsi="Cambria Math"/>
          <w:sz w:val="24"/>
          <w:szCs w:val="24"/>
        </w:rPr>
      </w:pPr>
      <w:r w:rsidRPr="008C215F">
        <w:rPr>
          <w:rFonts w:ascii="Cambria Math" w:hAnsi="Cambria Math"/>
          <w:sz w:val="24"/>
          <w:szCs w:val="24"/>
          <w:highlight w:val="green"/>
        </w:rPr>
        <w:t>(Let Me Eradicate Remnants of Your Elephants)</w:t>
      </w:r>
    </w:p>
    <w:p w14:paraId="5F2823E6" w14:textId="2A794921" w:rsidR="00D60BD2" w:rsidRDefault="00D60BD2" w:rsidP="008C215F">
      <w:pPr>
        <w:spacing w:line="360" w:lineRule="auto"/>
        <w:rPr>
          <w:rFonts w:ascii="Cambria Math" w:hAnsi="Cambria Math"/>
          <w:sz w:val="24"/>
          <w:szCs w:val="24"/>
        </w:rPr>
      </w:pPr>
    </w:p>
    <w:p w14:paraId="454B8C2C" w14:textId="7986A89A" w:rsidR="0058609B" w:rsidRDefault="0058609B" w:rsidP="008C215F">
      <w:pPr>
        <w:spacing w:line="360" w:lineRule="auto"/>
        <w:rPr>
          <w:rFonts w:ascii="Cambria Math" w:hAnsi="Cambria Math"/>
          <w:sz w:val="24"/>
          <w:szCs w:val="24"/>
        </w:rPr>
      </w:pPr>
      <w:r>
        <w:rPr>
          <w:rFonts w:ascii="Cambria Math" w:hAnsi="Cambria Math"/>
          <w:sz w:val="24"/>
          <w:szCs w:val="24"/>
        </w:rPr>
        <w:t>Strategies used to increase equality for indigenous Australians:</w:t>
      </w:r>
    </w:p>
    <w:p w14:paraId="3DFF14F4" w14:textId="37761308" w:rsidR="0058609B" w:rsidRDefault="0058609B" w:rsidP="0058609B">
      <w:pPr>
        <w:pStyle w:val="ListParagraph"/>
        <w:numPr>
          <w:ilvl w:val="0"/>
          <w:numId w:val="7"/>
        </w:numPr>
        <w:spacing w:line="360" w:lineRule="auto"/>
        <w:rPr>
          <w:rFonts w:ascii="Cambria Math" w:hAnsi="Cambria Math"/>
          <w:sz w:val="24"/>
          <w:szCs w:val="24"/>
        </w:rPr>
      </w:pPr>
      <w:r>
        <w:rPr>
          <w:rFonts w:ascii="Cambria Math" w:hAnsi="Cambria Math"/>
          <w:sz w:val="24"/>
          <w:szCs w:val="24"/>
        </w:rPr>
        <w:t xml:space="preserve">Building </w:t>
      </w:r>
      <w:r w:rsidR="006A6D8C">
        <w:rPr>
          <w:rFonts w:ascii="Cambria Math" w:hAnsi="Cambria Math"/>
          <w:sz w:val="24"/>
          <w:szCs w:val="24"/>
        </w:rPr>
        <w:t>partnerships</w:t>
      </w:r>
      <w:r>
        <w:rPr>
          <w:rFonts w:ascii="Cambria Math" w:hAnsi="Cambria Math"/>
          <w:sz w:val="24"/>
          <w:szCs w:val="24"/>
        </w:rPr>
        <w:t xml:space="preserve"> across all levels.</w:t>
      </w:r>
    </w:p>
    <w:p w14:paraId="234EFA78" w14:textId="58AD3126" w:rsidR="0058609B" w:rsidRDefault="0058609B" w:rsidP="0058609B">
      <w:pPr>
        <w:pStyle w:val="ListParagraph"/>
        <w:numPr>
          <w:ilvl w:val="0"/>
          <w:numId w:val="7"/>
        </w:numPr>
        <w:spacing w:line="360" w:lineRule="auto"/>
        <w:rPr>
          <w:rFonts w:ascii="Cambria Math" w:hAnsi="Cambria Math"/>
          <w:sz w:val="24"/>
          <w:szCs w:val="24"/>
        </w:rPr>
      </w:pPr>
      <w:r>
        <w:rPr>
          <w:rFonts w:ascii="Cambria Math" w:hAnsi="Cambria Math"/>
          <w:sz w:val="24"/>
          <w:szCs w:val="24"/>
        </w:rPr>
        <w:t>Increasing education (at the community level, with healthcare training, teacher training and organisations).</w:t>
      </w:r>
    </w:p>
    <w:p w14:paraId="074368AF" w14:textId="18BC5A8A" w:rsidR="0058609B" w:rsidRDefault="0058609B" w:rsidP="0058609B">
      <w:pPr>
        <w:pStyle w:val="ListParagraph"/>
        <w:numPr>
          <w:ilvl w:val="0"/>
          <w:numId w:val="7"/>
        </w:numPr>
        <w:spacing w:line="360" w:lineRule="auto"/>
        <w:rPr>
          <w:rFonts w:ascii="Cambria Math" w:hAnsi="Cambria Math"/>
          <w:sz w:val="24"/>
          <w:szCs w:val="24"/>
        </w:rPr>
      </w:pPr>
      <w:r>
        <w:rPr>
          <w:rFonts w:ascii="Cambria Math" w:hAnsi="Cambria Math"/>
          <w:sz w:val="24"/>
          <w:szCs w:val="24"/>
        </w:rPr>
        <w:lastRenderedPageBreak/>
        <w:t>More effective distribution of funding.</w:t>
      </w:r>
    </w:p>
    <w:p w14:paraId="0CEA0F44" w14:textId="459051C0" w:rsidR="0058609B" w:rsidRDefault="0058609B" w:rsidP="0058609B">
      <w:pPr>
        <w:pStyle w:val="ListParagraph"/>
        <w:numPr>
          <w:ilvl w:val="0"/>
          <w:numId w:val="7"/>
        </w:numPr>
        <w:spacing w:line="360" w:lineRule="auto"/>
        <w:rPr>
          <w:rFonts w:ascii="Cambria Math" w:hAnsi="Cambria Math"/>
          <w:sz w:val="24"/>
          <w:szCs w:val="24"/>
        </w:rPr>
      </w:pPr>
      <w:r>
        <w:rPr>
          <w:rFonts w:ascii="Cambria Math" w:hAnsi="Cambria Math"/>
          <w:sz w:val="24"/>
          <w:szCs w:val="24"/>
        </w:rPr>
        <w:t>Increasing participation by indigenous Australians in decision making.</w:t>
      </w:r>
    </w:p>
    <w:p w14:paraId="06BBAA9D" w14:textId="31F41806" w:rsidR="0058609B" w:rsidRDefault="0058609B" w:rsidP="00A60F51">
      <w:pPr>
        <w:pStyle w:val="ListParagraph"/>
        <w:numPr>
          <w:ilvl w:val="0"/>
          <w:numId w:val="7"/>
        </w:numPr>
        <w:spacing w:line="360" w:lineRule="auto"/>
        <w:rPr>
          <w:rFonts w:ascii="Cambria Math" w:hAnsi="Cambria Math"/>
          <w:sz w:val="24"/>
          <w:szCs w:val="24"/>
        </w:rPr>
      </w:pPr>
      <w:r>
        <w:rPr>
          <w:rFonts w:ascii="Cambria Math" w:hAnsi="Cambria Math"/>
          <w:sz w:val="24"/>
          <w:szCs w:val="24"/>
        </w:rPr>
        <w:t>Improving access to healthcare (5 A’s of acces</w:t>
      </w:r>
      <w:r w:rsidR="00C542C8">
        <w:rPr>
          <w:rFonts w:ascii="Cambria Math" w:hAnsi="Cambria Math"/>
          <w:sz w:val="24"/>
          <w:szCs w:val="24"/>
        </w:rPr>
        <w:t>s</w:t>
      </w:r>
      <w:r>
        <w:rPr>
          <w:rFonts w:ascii="Cambria Math" w:hAnsi="Cambria Math"/>
          <w:sz w:val="24"/>
          <w:szCs w:val="24"/>
        </w:rPr>
        <w:t>).</w:t>
      </w:r>
    </w:p>
    <w:p w14:paraId="3715C86B" w14:textId="71FAE4DD" w:rsidR="004A7C5A" w:rsidRDefault="00B0062B" w:rsidP="000B0BA8">
      <w:pPr>
        <w:pStyle w:val="ListParagraph"/>
        <w:numPr>
          <w:ilvl w:val="0"/>
          <w:numId w:val="7"/>
        </w:numPr>
        <w:spacing w:line="360" w:lineRule="auto"/>
        <w:rPr>
          <w:rFonts w:ascii="Cambria Math" w:hAnsi="Cambria Math"/>
          <w:sz w:val="24"/>
          <w:szCs w:val="24"/>
        </w:rPr>
      </w:pPr>
      <w:r>
        <w:rPr>
          <w:rFonts w:ascii="Cambria Math" w:hAnsi="Cambria Math"/>
          <w:sz w:val="24"/>
          <w:szCs w:val="24"/>
        </w:rPr>
        <w:t>Improving the cultural knowledge of healthcare professionals.</w:t>
      </w:r>
    </w:p>
    <w:p w14:paraId="412AF902" w14:textId="69D519B3" w:rsidR="007D3BCC" w:rsidRDefault="007D3BCC" w:rsidP="007D3BCC">
      <w:pPr>
        <w:spacing w:line="360" w:lineRule="auto"/>
        <w:rPr>
          <w:rFonts w:ascii="Cambria Math" w:hAnsi="Cambria Math"/>
          <w:sz w:val="24"/>
          <w:szCs w:val="24"/>
        </w:rPr>
      </w:pPr>
    </w:p>
    <w:p w14:paraId="4FDFEA6F" w14:textId="7123CA0A" w:rsidR="007D3BCC" w:rsidRDefault="007D3BCC" w:rsidP="007D3BCC">
      <w:pPr>
        <w:spacing w:line="360" w:lineRule="auto"/>
        <w:rPr>
          <w:rFonts w:ascii="Cambria Math" w:hAnsi="Cambria Math"/>
          <w:sz w:val="24"/>
          <w:szCs w:val="24"/>
        </w:rPr>
      </w:pPr>
      <w:r>
        <w:rPr>
          <w:rFonts w:ascii="Cambria Math" w:hAnsi="Cambria Math"/>
          <w:sz w:val="24"/>
          <w:szCs w:val="24"/>
        </w:rPr>
        <w:t>Keys to successful outcomes include:</w:t>
      </w:r>
    </w:p>
    <w:p w14:paraId="050ADDDE" w14:textId="12E5EFFF" w:rsidR="007D3BCC" w:rsidRDefault="00E11621" w:rsidP="007D3BCC">
      <w:pPr>
        <w:pStyle w:val="ListParagraph"/>
        <w:numPr>
          <w:ilvl w:val="0"/>
          <w:numId w:val="8"/>
        </w:numPr>
        <w:spacing w:line="360" w:lineRule="auto"/>
        <w:rPr>
          <w:rFonts w:ascii="Cambria Math" w:hAnsi="Cambria Math"/>
          <w:sz w:val="24"/>
          <w:szCs w:val="24"/>
        </w:rPr>
      </w:pPr>
      <w:r>
        <w:rPr>
          <w:rFonts w:ascii="Cambria Math" w:hAnsi="Cambria Math"/>
          <w:sz w:val="24"/>
          <w:szCs w:val="24"/>
        </w:rPr>
        <w:t>Holistic approaches that work with Aboriginal and Torres Strait Islander people in way that take into account the full cultural, social, emotional and economic context of indigenous people’s lives, including an awareness of the ongoing legacy of trauma, grief and loss associated with colonisation.</w:t>
      </w:r>
    </w:p>
    <w:p w14:paraId="1A34B88B" w14:textId="131A66F4" w:rsidR="00E11621" w:rsidRDefault="00AA1345" w:rsidP="007D3BCC">
      <w:pPr>
        <w:pStyle w:val="ListParagraph"/>
        <w:numPr>
          <w:ilvl w:val="0"/>
          <w:numId w:val="8"/>
        </w:numPr>
        <w:spacing w:line="360" w:lineRule="auto"/>
        <w:rPr>
          <w:rFonts w:ascii="Cambria Math" w:hAnsi="Cambria Math"/>
          <w:sz w:val="24"/>
          <w:szCs w:val="24"/>
        </w:rPr>
      </w:pPr>
      <w:r>
        <w:rPr>
          <w:rFonts w:ascii="Cambria Math" w:hAnsi="Cambria Math"/>
          <w:sz w:val="24"/>
          <w:szCs w:val="24"/>
        </w:rPr>
        <w:t>Active involvement of indigenous communities in every stage of program development and delivery.</w:t>
      </w:r>
    </w:p>
    <w:p w14:paraId="76EC5410" w14:textId="1EE1F389" w:rsidR="00AA1345" w:rsidRDefault="00AA1345" w:rsidP="007D3BCC">
      <w:pPr>
        <w:pStyle w:val="ListParagraph"/>
        <w:numPr>
          <w:ilvl w:val="0"/>
          <w:numId w:val="8"/>
        </w:numPr>
        <w:spacing w:line="360" w:lineRule="auto"/>
        <w:rPr>
          <w:rFonts w:ascii="Cambria Math" w:hAnsi="Cambria Math"/>
          <w:sz w:val="24"/>
          <w:szCs w:val="24"/>
        </w:rPr>
      </w:pPr>
      <w:r>
        <w:rPr>
          <w:rFonts w:ascii="Cambria Math" w:hAnsi="Cambria Math"/>
          <w:sz w:val="24"/>
          <w:szCs w:val="24"/>
        </w:rPr>
        <w:t>Employing indigenous staff and involving them fully in program design, delivery and evaluation, and providing adequate training, where necessary, to build capacity of Aboriginal and Torres Strait Islander staff.</w:t>
      </w:r>
    </w:p>
    <w:p w14:paraId="5D489A4C" w14:textId="19D4FDDC" w:rsidR="00222A22" w:rsidRDefault="00222A22" w:rsidP="007D3BCC">
      <w:pPr>
        <w:pStyle w:val="ListParagraph"/>
        <w:numPr>
          <w:ilvl w:val="0"/>
          <w:numId w:val="8"/>
        </w:numPr>
        <w:spacing w:line="360" w:lineRule="auto"/>
        <w:rPr>
          <w:rFonts w:ascii="Cambria Math" w:hAnsi="Cambria Math"/>
          <w:sz w:val="24"/>
          <w:szCs w:val="24"/>
        </w:rPr>
      </w:pPr>
      <w:r>
        <w:rPr>
          <w:rFonts w:ascii="Cambria Math" w:hAnsi="Cambria Math"/>
          <w:sz w:val="24"/>
          <w:szCs w:val="24"/>
        </w:rPr>
        <w:t>Developing committed, skilled staff (indigenous and non-indigenous) and providing diversity and cultural awareness training.</w:t>
      </w:r>
    </w:p>
    <w:p w14:paraId="3C285BD2" w14:textId="5D052A62" w:rsidR="00222A22" w:rsidRDefault="00222A22" w:rsidP="007D3BCC">
      <w:pPr>
        <w:pStyle w:val="ListParagraph"/>
        <w:numPr>
          <w:ilvl w:val="0"/>
          <w:numId w:val="8"/>
        </w:numPr>
        <w:spacing w:line="360" w:lineRule="auto"/>
        <w:rPr>
          <w:rFonts w:ascii="Cambria Math" w:hAnsi="Cambria Math"/>
          <w:sz w:val="24"/>
          <w:szCs w:val="24"/>
        </w:rPr>
      </w:pPr>
      <w:r>
        <w:rPr>
          <w:rFonts w:ascii="Cambria Math" w:hAnsi="Cambria Math"/>
          <w:sz w:val="24"/>
          <w:szCs w:val="24"/>
        </w:rPr>
        <w:t>Adopting a strength-based perspective that builds and develops the existing strengths, skills and capacities of Aboriginal and Torres Strait Islander people.</w:t>
      </w:r>
    </w:p>
    <w:p w14:paraId="0932E8DB" w14:textId="2082A1DB" w:rsidR="006A6D8C" w:rsidRDefault="00222A22" w:rsidP="006A6D8C">
      <w:pPr>
        <w:pStyle w:val="ListParagraph"/>
        <w:numPr>
          <w:ilvl w:val="0"/>
          <w:numId w:val="8"/>
        </w:numPr>
        <w:spacing w:line="360" w:lineRule="auto"/>
        <w:rPr>
          <w:rFonts w:ascii="Cambria Math" w:hAnsi="Cambria Math"/>
          <w:sz w:val="24"/>
          <w:szCs w:val="24"/>
        </w:rPr>
      </w:pPr>
      <w:r>
        <w:rPr>
          <w:rFonts w:ascii="Cambria Math" w:hAnsi="Cambria Math"/>
          <w:sz w:val="24"/>
          <w:szCs w:val="24"/>
        </w:rPr>
        <w:t>Clear plans for research and evaluation to identify successful aspects of programs.</w:t>
      </w:r>
    </w:p>
    <w:p w14:paraId="4E8813CB" w14:textId="05A56FBC" w:rsidR="00AE2D79" w:rsidRDefault="00AE2D79" w:rsidP="00AE2D79">
      <w:pPr>
        <w:spacing w:line="360" w:lineRule="auto"/>
        <w:rPr>
          <w:rFonts w:ascii="Cambria Math" w:hAnsi="Cambria Math"/>
          <w:sz w:val="24"/>
          <w:szCs w:val="24"/>
        </w:rPr>
      </w:pPr>
    </w:p>
    <w:p w14:paraId="36BC35EC" w14:textId="6D6D622B" w:rsidR="00AE2D79" w:rsidRDefault="00AE2D79" w:rsidP="00AE2D79">
      <w:pPr>
        <w:spacing w:line="360" w:lineRule="auto"/>
        <w:rPr>
          <w:rFonts w:ascii="Cambria Math" w:hAnsi="Cambria Math"/>
          <w:sz w:val="24"/>
          <w:szCs w:val="24"/>
        </w:rPr>
      </w:pPr>
    </w:p>
    <w:p w14:paraId="5D12573A" w14:textId="77777777" w:rsidR="00AE2D79" w:rsidRPr="00AE2D79" w:rsidRDefault="00AE2D79" w:rsidP="00AE2D79">
      <w:pPr>
        <w:spacing w:line="360" w:lineRule="auto"/>
        <w:rPr>
          <w:rFonts w:ascii="Cambria Math" w:hAnsi="Cambria Math"/>
          <w:sz w:val="24"/>
          <w:szCs w:val="24"/>
        </w:rPr>
      </w:pPr>
      <w:r>
        <w:rPr>
          <w:rFonts w:ascii="Cambria Math" w:hAnsi="Cambria Math"/>
          <w:sz w:val="24"/>
          <w:szCs w:val="24"/>
        </w:rPr>
        <w:t>=</w:t>
      </w:r>
    </w:p>
    <w:tbl>
      <w:tblPr>
        <w:tblStyle w:val="TableGrid"/>
        <w:tblW w:w="0" w:type="auto"/>
        <w:tblLook w:val="04A0" w:firstRow="1" w:lastRow="0" w:firstColumn="1" w:lastColumn="0" w:noHBand="0" w:noVBand="1"/>
      </w:tblPr>
      <w:tblGrid>
        <w:gridCol w:w="1651"/>
        <w:gridCol w:w="7365"/>
      </w:tblGrid>
      <w:tr w:rsidR="00AE2D79" w14:paraId="76245F61" w14:textId="77777777" w:rsidTr="00CB2855">
        <w:tc>
          <w:tcPr>
            <w:tcW w:w="1651" w:type="dxa"/>
            <w:shd w:val="clear" w:color="auto" w:fill="E7E6E6" w:themeFill="background2"/>
          </w:tcPr>
          <w:p w14:paraId="52E139D3" w14:textId="194B8F02" w:rsidR="00AE2D79" w:rsidRDefault="00AE2D79" w:rsidP="00AE2D79">
            <w:pPr>
              <w:spacing w:line="360" w:lineRule="auto"/>
              <w:rPr>
                <w:rFonts w:ascii="Cambria Math" w:hAnsi="Cambria Math"/>
                <w:sz w:val="24"/>
                <w:szCs w:val="24"/>
              </w:rPr>
            </w:pPr>
            <w:r>
              <w:rPr>
                <w:rFonts w:ascii="Cambria Math" w:hAnsi="Cambria Math"/>
                <w:sz w:val="24"/>
                <w:szCs w:val="24"/>
              </w:rPr>
              <w:t>Term</w:t>
            </w:r>
          </w:p>
        </w:tc>
        <w:tc>
          <w:tcPr>
            <w:tcW w:w="7365" w:type="dxa"/>
            <w:shd w:val="clear" w:color="auto" w:fill="E7E6E6" w:themeFill="background2"/>
          </w:tcPr>
          <w:p w14:paraId="25743510" w14:textId="3709DAC3" w:rsidR="00AE2D79" w:rsidRDefault="00AE2D79" w:rsidP="00AE2D79">
            <w:pPr>
              <w:spacing w:line="360" w:lineRule="auto"/>
              <w:rPr>
                <w:rFonts w:ascii="Cambria Math" w:hAnsi="Cambria Math"/>
                <w:sz w:val="24"/>
                <w:szCs w:val="24"/>
              </w:rPr>
            </w:pPr>
            <w:r>
              <w:rPr>
                <w:rFonts w:ascii="Cambria Math" w:hAnsi="Cambria Math"/>
                <w:sz w:val="24"/>
                <w:szCs w:val="24"/>
              </w:rPr>
              <w:t>Definition</w:t>
            </w:r>
          </w:p>
        </w:tc>
      </w:tr>
      <w:tr w:rsidR="00AE2D79" w14:paraId="4EB5DCA6" w14:textId="77777777" w:rsidTr="00CB2855">
        <w:tc>
          <w:tcPr>
            <w:tcW w:w="1651" w:type="dxa"/>
          </w:tcPr>
          <w:p w14:paraId="6C6C11C2" w14:textId="1070C7E7" w:rsidR="00AE2D79" w:rsidRDefault="00AE2D79" w:rsidP="00AE2D79">
            <w:pPr>
              <w:spacing w:line="360" w:lineRule="auto"/>
              <w:rPr>
                <w:rFonts w:ascii="Cambria Math" w:hAnsi="Cambria Math"/>
                <w:sz w:val="24"/>
                <w:szCs w:val="24"/>
              </w:rPr>
            </w:pPr>
            <w:r>
              <w:rPr>
                <w:rFonts w:ascii="Cambria Math" w:hAnsi="Cambria Math"/>
                <w:sz w:val="24"/>
                <w:szCs w:val="24"/>
              </w:rPr>
              <w:t>Social justice</w:t>
            </w:r>
          </w:p>
        </w:tc>
        <w:tc>
          <w:tcPr>
            <w:tcW w:w="7365" w:type="dxa"/>
          </w:tcPr>
          <w:p w14:paraId="08F233B2" w14:textId="736C7339" w:rsidR="00AE2D79" w:rsidRDefault="00734048" w:rsidP="00AE2D79">
            <w:pPr>
              <w:spacing w:line="360" w:lineRule="auto"/>
              <w:rPr>
                <w:rFonts w:ascii="Cambria Math" w:hAnsi="Cambria Math"/>
                <w:sz w:val="24"/>
                <w:szCs w:val="24"/>
              </w:rPr>
            </w:pPr>
            <w:r>
              <w:rPr>
                <w:rFonts w:ascii="Cambria Math" w:hAnsi="Cambria Math"/>
                <w:sz w:val="24"/>
                <w:szCs w:val="24"/>
              </w:rPr>
              <w:t>When all people are considered in a fair and equitable manner, including the distribution of wealth, opportunities and privileges within a society.</w:t>
            </w:r>
          </w:p>
        </w:tc>
      </w:tr>
      <w:tr w:rsidR="00AE2D79" w14:paraId="613F02EA" w14:textId="77777777" w:rsidTr="00CB2855">
        <w:tc>
          <w:tcPr>
            <w:tcW w:w="1651" w:type="dxa"/>
          </w:tcPr>
          <w:p w14:paraId="31DEB3DB" w14:textId="0198307F" w:rsidR="00AE2D79" w:rsidRDefault="00734048" w:rsidP="00AE2D79">
            <w:pPr>
              <w:spacing w:line="360" w:lineRule="auto"/>
              <w:rPr>
                <w:rFonts w:ascii="Cambria Math" w:hAnsi="Cambria Math"/>
                <w:sz w:val="24"/>
                <w:szCs w:val="24"/>
              </w:rPr>
            </w:pPr>
            <w:r>
              <w:rPr>
                <w:rFonts w:ascii="Cambria Math" w:hAnsi="Cambria Math"/>
                <w:sz w:val="24"/>
                <w:szCs w:val="24"/>
              </w:rPr>
              <w:t>Access and equity</w:t>
            </w:r>
          </w:p>
        </w:tc>
        <w:tc>
          <w:tcPr>
            <w:tcW w:w="7365" w:type="dxa"/>
          </w:tcPr>
          <w:p w14:paraId="47A6B372" w14:textId="26F73F52" w:rsidR="00AE2D79" w:rsidRDefault="00734048" w:rsidP="00AE2D79">
            <w:pPr>
              <w:spacing w:line="360" w:lineRule="auto"/>
              <w:rPr>
                <w:rFonts w:ascii="Cambria Math" w:hAnsi="Cambria Math"/>
                <w:sz w:val="24"/>
                <w:szCs w:val="24"/>
              </w:rPr>
            </w:pPr>
            <w:r>
              <w:rPr>
                <w:rFonts w:ascii="Cambria Math" w:hAnsi="Cambria Math"/>
                <w:sz w:val="24"/>
                <w:szCs w:val="24"/>
              </w:rPr>
              <w:t>Resources are allocated according to the needs of the individual or population with the overarching goal of equal health outcomes.</w:t>
            </w:r>
          </w:p>
        </w:tc>
      </w:tr>
      <w:tr w:rsidR="00734048" w14:paraId="1DBEC524" w14:textId="77777777" w:rsidTr="00CB2855">
        <w:tc>
          <w:tcPr>
            <w:tcW w:w="1651" w:type="dxa"/>
          </w:tcPr>
          <w:p w14:paraId="495FB76E" w14:textId="755EC7CB" w:rsidR="00734048" w:rsidRDefault="00734048" w:rsidP="00734048">
            <w:pPr>
              <w:spacing w:line="360" w:lineRule="auto"/>
              <w:rPr>
                <w:rFonts w:ascii="Cambria Math" w:hAnsi="Cambria Math"/>
                <w:sz w:val="24"/>
                <w:szCs w:val="24"/>
              </w:rPr>
            </w:pPr>
            <w:r>
              <w:rPr>
                <w:rFonts w:ascii="Cambria Math" w:hAnsi="Cambria Math"/>
                <w:sz w:val="24"/>
                <w:szCs w:val="24"/>
              </w:rPr>
              <w:lastRenderedPageBreak/>
              <w:t>Diversity</w:t>
            </w:r>
          </w:p>
        </w:tc>
        <w:tc>
          <w:tcPr>
            <w:tcW w:w="7365" w:type="dxa"/>
          </w:tcPr>
          <w:p w14:paraId="780CCA6E" w14:textId="41195014" w:rsidR="00734048" w:rsidRDefault="00734048" w:rsidP="00734048">
            <w:pPr>
              <w:spacing w:line="360" w:lineRule="auto"/>
              <w:rPr>
                <w:rFonts w:ascii="Cambria Math" w:hAnsi="Cambria Math"/>
                <w:sz w:val="24"/>
                <w:szCs w:val="24"/>
              </w:rPr>
            </w:pPr>
            <w:r>
              <w:rPr>
                <w:rFonts w:ascii="Cambria Math" w:hAnsi="Cambria Math"/>
                <w:sz w:val="24"/>
                <w:szCs w:val="24"/>
              </w:rPr>
              <w:t>Respecting and accounting for the</w:t>
            </w:r>
            <w:r w:rsidR="00884B9C">
              <w:rPr>
                <w:rFonts w:ascii="Cambria Math" w:hAnsi="Cambria Math"/>
                <w:sz w:val="24"/>
                <w:szCs w:val="24"/>
              </w:rPr>
              <w:t xml:space="preserve"> differences that exist between individuals and populations e.g.</w:t>
            </w:r>
            <w:r w:rsidR="00D96EE0">
              <w:rPr>
                <w:rFonts w:ascii="Cambria Math" w:hAnsi="Cambria Math"/>
                <w:sz w:val="24"/>
                <w:szCs w:val="24"/>
              </w:rPr>
              <w:t xml:space="preserve">, </w:t>
            </w:r>
            <w:r w:rsidR="00364099">
              <w:rPr>
                <w:rFonts w:ascii="Cambria Math" w:hAnsi="Cambria Math"/>
                <w:sz w:val="24"/>
                <w:szCs w:val="24"/>
              </w:rPr>
              <w:t>race, ethnicity, gender and socioeconomic status.</w:t>
            </w:r>
          </w:p>
        </w:tc>
      </w:tr>
      <w:tr w:rsidR="00734048" w14:paraId="3DCC2896" w14:textId="77777777" w:rsidTr="00CB2855">
        <w:tc>
          <w:tcPr>
            <w:tcW w:w="1651" w:type="dxa"/>
          </w:tcPr>
          <w:p w14:paraId="3A9DAE33" w14:textId="14B72918" w:rsidR="00734048" w:rsidRDefault="00A71058" w:rsidP="00734048">
            <w:pPr>
              <w:spacing w:line="360" w:lineRule="auto"/>
              <w:rPr>
                <w:rFonts w:ascii="Cambria Math" w:hAnsi="Cambria Math"/>
                <w:sz w:val="24"/>
                <w:szCs w:val="24"/>
              </w:rPr>
            </w:pPr>
            <w:r>
              <w:rPr>
                <w:rFonts w:ascii="Cambria Math" w:hAnsi="Cambria Math"/>
                <w:sz w:val="24"/>
                <w:szCs w:val="24"/>
              </w:rPr>
              <w:t>Supportive environments</w:t>
            </w:r>
          </w:p>
        </w:tc>
        <w:tc>
          <w:tcPr>
            <w:tcW w:w="7365" w:type="dxa"/>
          </w:tcPr>
          <w:p w14:paraId="4E30B63D" w14:textId="5EAA631A" w:rsidR="00734048" w:rsidRDefault="00E926CF" w:rsidP="00734048">
            <w:pPr>
              <w:spacing w:line="360" w:lineRule="auto"/>
              <w:rPr>
                <w:rFonts w:ascii="Cambria Math" w:hAnsi="Cambria Math"/>
                <w:sz w:val="24"/>
                <w:szCs w:val="24"/>
              </w:rPr>
            </w:pPr>
            <w:r>
              <w:rPr>
                <w:rFonts w:ascii="Cambria Math" w:hAnsi="Cambria Math"/>
                <w:sz w:val="24"/>
                <w:szCs w:val="24"/>
              </w:rPr>
              <w:t>Environments where people live, work and play that protect people from threats to health an</w:t>
            </w:r>
            <w:r w:rsidR="00DC1352">
              <w:rPr>
                <w:rFonts w:ascii="Cambria Math" w:hAnsi="Cambria Math"/>
                <w:sz w:val="24"/>
                <w:szCs w:val="24"/>
              </w:rPr>
              <w:t>d</w:t>
            </w:r>
            <w:r w:rsidR="007D7941">
              <w:rPr>
                <w:rFonts w:ascii="Cambria Math" w:hAnsi="Cambria Math"/>
                <w:sz w:val="24"/>
                <w:szCs w:val="24"/>
              </w:rPr>
              <w:t xml:space="preserve"> increase their ability to make health-promoting decisions.</w:t>
            </w:r>
          </w:p>
        </w:tc>
      </w:tr>
      <w:tr w:rsidR="00734048" w14:paraId="3F1E69AA" w14:textId="77777777" w:rsidTr="00CB2855">
        <w:tc>
          <w:tcPr>
            <w:tcW w:w="1651" w:type="dxa"/>
          </w:tcPr>
          <w:p w14:paraId="5C3DE7F2" w14:textId="39A50D7D" w:rsidR="00734048" w:rsidRDefault="00B80EAC" w:rsidP="00734048">
            <w:pPr>
              <w:spacing w:line="360" w:lineRule="auto"/>
              <w:rPr>
                <w:rFonts w:ascii="Cambria Math" w:hAnsi="Cambria Math"/>
                <w:sz w:val="24"/>
                <w:szCs w:val="24"/>
              </w:rPr>
            </w:pPr>
            <w:r>
              <w:rPr>
                <w:rFonts w:ascii="Cambria Math" w:hAnsi="Cambria Math"/>
                <w:sz w:val="24"/>
                <w:szCs w:val="24"/>
              </w:rPr>
              <w:t>Assertiveness</w:t>
            </w:r>
          </w:p>
        </w:tc>
        <w:tc>
          <w:tcPr>
            <w:tcW w:w="7365" w:type="dxa"/>
          </w:tcPr>
          <w:p w14:paraId="4DF80681" w14:textId="351399AC" w:rsidR="00734048" w:rsidRDefault="00B80EAC" w:rsidP="00734048">
            <w:pPr>
              <w:spacing w:line="360" w:lineRule="auto"/>
              <w:rPr>
                <w:rFonts w:ascii="Cambria Math" w:hAnsi="Cambria Math"/>
                <w:sz w:val="24"/>
                <w:szCs w:val="24"/>
              </w:rPr>
            </w:pPr>
            <w:r>
              <w:rPr>
                <w:rFonts w:ascii="Cambria Math" w:hAnsi="Cambria Math"/>
                <w:sz w:val="24"/>
                <w:szCs w:val="24"/>
              </w:rPr>
              <w:t>A communication style in which your communication allows you to accurately express</w:t>
            </w:r>
            <w:r w:rsidR="002C55DC">
              <w:rPr>
                <w:rFonts w:ascii="Cambria Math" w:hAnsi="Cambria Math"/>
                <w:sz w:val="24"/>
                <w:szCs w:val="24"/>
              </w:rPr>
              <w:t xml:space="preserve"> your needs, concerns and opinions whilst being respectful to others.</w:t>
            </w:r>
          </w:p>
        </w:tc>
      </w:tr>
      <w:tr w:rsidR="00734048" w14:paraId="5D1FDE31" w14:textId="77777777" w:rsidTr="00CB2855">
        <w:tc>
          <w:tcPr>
            <w:tcW w:w="1651" w:type="dxa"/>
          </w:tcPr>
          <w:p w14:paraId="0CC880B1" w14:textId="6AE4F5D8" w:rsidR="00734048" w:rsidRDefault="00A05AD4" w:rsidP="00734048">
            <w:pPr>
              <w:spacing w:line="360" w:lineRule="auto"/>
              <w:rPr>
                <w:rFonts w:ascii="Cambria Math" w:hAnsi="Cambria Math"/>
                <w:sz w:val="24"/>
                <w:szCs w:val="24"/>
              </w:rPr>
            </w:pPr>
            <w:r>
              <w:rPr>
                <w:rFonts w:ascii="Cambria Math" w:hAnsi="Cambria Math"/>
                <w:sz w:val="24"/>
                <w:szCs w:val="24"/>
              </w:rPr>
              <w:t>Stress management</w:t>
            </w:r>
          </w:p>
        </w:tc>
        <w:tc>
          <w:tcPr>
            <w:tcW w:w="7365" w:type="dxa"/>
          </w:tcPr>
          <w:p w14:paraId="02FDC94A" w14:textId="3F47B322" w:rsidR="00734048" w:rsidRDefault="00977ECF" w:rsidP="00734048">
            <w:pPr>
              <w:spacing w:line="360" w:lineRule="auto"/>
              <w:rPr>
                <w:rFonts w:ascii="Cambria Math" w:hAnsi="Cambria Math"/>
                <w:sz w:val="24"/>
                <w:szCs w:val="24"/>
              </w:rPr>
            </w:pPr>
            <w:r>
              <w:rPr>
                <w:rFonts w:ascii="Cambria Math" w:hAnsi="Cambria Math"/>
                <w:sz w:val="24"/>
                <w:szCs w:val="24"/>
              </w:rPr>
              <w:t>Techniques/skills/strategies tha</w:t>
            </w:r>
            <w:r w:rsidR="00840813">
              <w:rPr>
                <w:rFonts w:ascii="Cambria Math" w:hAnsi="Cambria Math"/>
                <w:sz w:val="24"/>
                <w:szCs w:val="24"/>
              </w:rPr>
              <w:t xml:space="preserve">t enable a person to </w:t>
            </w:r>
            <w:r w:rsidR="00701FF2">
              <w:rPr>
                <w:rFonts w:ascii="Cambria Math" w:hAnsi="Cambria Math"/>
                <w:sz w:val="24"/>
                <w:szCs w:val="24"/>
              </w:rPr>
              <w:t>effectively use coping mechanisms to deal with stress.</w:t>
            </w:r>
          </w:p>
        </w:tc>
      </w:tr>
      <w:tr w:rsidR="00734048" w14:paraId="4B18A8D7" w14:textId="77777777" w:rsidTr="00CB2855">
        <w:tc>
          <w:tcPr>
            <w:tcW w:w="1651" w:type="dxa"/>
          </w:tcPr>
          <w:p w14:paraId="2A9BF47E" w14:textId="4C131C1B" w:rsidR="00734048" w:rsidRDefault="00860FB7" w:rsidP="00734048">
            <w:pPr>
              <w:spacing w:line="360" w:lineRule="auto"/>
              <w:rPr>
                <w:rFonts w:ascii="Cambria Math" w:hAnsi="Cambria Math"/>
                <w:sz w:val="24"/>
                <w:szCs w:val="24"/>
              </w:rPr>
            </w:pPr>
            <w:r>
              <w:rPr>
                <w:rFonts w:ascii="Cambria Math" w:hAnsi="Cambria Math"/>
                <w:sz w:val="24"/>
                <w:szCs w:val="24"/>
              </w:rPr>
              <w:t>Resilience</w:t>
            </w:r>
          </w:p>
        </w:tc>
        <w:tc>
          <w:tcPr>
            <w:tcW w:w="7365" w:type="dxa"/>
          </w:tcPr>
          <w:p w14:paraId="3BFF4577" w14:textId="3260F6AE" w:rsidR="00734048" w:rsidRDefault="007B2A04" w:rsidP="00734048">
            <w:pPr>
              <w:spacing w:line="360" w:lineRule="auto"/>
              <w:rPr>
                <w:rFonts w:ascii="Cambria Math" w:hAnsi="Cambria Math"/>
                <w:sz w:val="24"/>
                <w:szCs w:val="24"/>
              </w:rPr>
            </w:pPr>
            <w:r>
              <w:rPr>
                <w:rFonts w:ascii="Cambria Math" w:hAnsi="Cambria Math"/>
                <w:sz w:val="24"/>
                <w:szCs w:val="24"/>
              </w:rPr>
              <w:t>The ability to bounce back a</w:t>
            </w:r>
            <w:r w:rsidR="00CB2855">
              <w:rPr>
                <w:rFonts w:ascii="Cambria Math" w:hAnsi="Cambria Math"/>
                <w:sz w:val="24"/>
                <w:szCs w:val="24"/>
              </w:rPr>
              <w:t>fter challenging, difficult times; the ability to endure when faced with adversity.</w:t>
            </w:r>
          </w:p>
        </w:tc>
      </w:tr>
      <w:tr w:rsidR="00CB2855" w14:paraId="0762638F" w14:textId="77777777" w:rsidTr="00CB2855">
        <w:tc>
          <w:tcPr>
            <w:tcW w:w="1651" w:type="dxa"/>
          </w:tcPr>
          <w:p w14:paraId="5856E37D" w14:textId="2D3C883B" w:rsidR="00CB2855" w:rsidRDefault="00CB2855" w:rsidP="00734048">
            <w:pPr>
              <w:spacing w:line="360" w:lineRule="auto"/>
              <w:rPr>
                <w:rFonts w:ascii="Cambria Math" w:hAnsi="Cambria Math"/>
                <w:sz w:val="24"/>
                <w:szCs w:val="24"/>
              </w:rPr>
            </w:pPr>
            <w:r>
              <w:rPr>
                <w:rFonts w:ascii="Cambria Math" w:hAnsi="Cambria Math"/>
                <w:sz w:val="24"/>
                <w:szCs w:val="24"/>
              </w:rPr>
              <w:t>Comparative need</w:t>
            </w:r>
          </w:p>
        </w:tc>
        <w:tc>
          <w:tcPr>
            <w:tcW w:w="7365" w:type="dxa"/>
          </w:tcPr>
          <w:p w14:paraId="18621F95" w14:textId="02F188D3" w:rsidR="00CB2855" w:rsidRDefault="00A16F61" w:rsidP="00734048">
            <w:pPr>
              <w:spacing w:line="360" w:lineRule="auto"/>
              <w:rPr>
                <w:rFonts w:ascii="Cambria Math" w:hAnsi="Cambria Math"/>
                <w:sz w:val="24"/>
                <w:szCs w:val="24"/>
              </w:rPr>
            </w:pPr>
            <w:r>
              <w:rPr>
                <w:rFonts w:ascii="Cambria Math" w:hAnsi="Cambria Math"/>
                <w:sz w:val="24"/>
                <w:szCs w:val="24"/>
              </w:rPr>
              <w:t>Needs that other populations with similar characteristics demonstrated in the same context.</w:t>
            </w:r>
          </w:p>
        </w:tc>
      </w:tr>
      <w:tr w:rsidR="00CB2855" w14:paraId="0DECF063" w14:textId="77777777" w:rsidTr="00CB2855">
        <w:tc>
          <w:tcPr>
            <w:tcW w:w="1651" w:type="dxa"/>
          </w:tcPr>
          <w:p w14:paraId="1F83E259" w14:textId="718BC5D1" w:rsidR="00CB2855" w:rsidRDefault="00A16F61" w:rsidP="00D526FC">
            <w:pPr>
              <w:spacing w:line="360" w:lineRule="auto"/>
              <w:rPr>
                <w:rFonts w:ascii="Cambria Math" w:hAnsi="Cambria Math"/>
                <w:sz w:val="24"/>
                <w:szCs w:val="24"/>
              </w:rPr>
            </w:pPr>
            <w:r>
              <w:rPr>
                <w:rFonts w:ascii="Cambria Math" w:hAnsi="Cambria Math"/>
                <w:sz w:val="24"/>
                <w:szCs w:val="24"/>
              </w:rPr>
              <w:t>Normative need</w:t>
            </w:r>
          </w:p>
        </w:tc>
        <w:tc>
          <w:tcPr>
            <w:tcW w:w="7365" w:type="dxa"/>
          </w:tcPr>
          <w:p w14:paraId="218F34E5" w14:textId="6A23BDBA" w:rsidR="00CB2855" w:rsidRDefault="00A16F61" w:rsidP="00D526FC">
            <w:pPr>
              <w:spacing w:line="360" w:lineRule="auto"/>
              <w:rPr>
                <w:rFonts w:ascii="Cambria Math" w:hAnsi="Cambria Math"/>
                <w:sz w:val="24"/>
                <w:szCs w:val="24"/>
              </w:rPr>
            </w:pPr>
            <w:r>
              <w:rPr>
                <w:rFonts w:ascii="Cambria Math" w:hAnsi="Cambria Math"/>
                <w:sz w:val="24"/>
                <w:szCs w:val="24"/>
              </w:rPr>
              <w:t>Discrepancies between what the individual or community has and what’s considered to be the norm/standard, which is usually determined by authority/expert figures in the field.</w:t>
            </w:r>
          </w:p>
        </w:tc>
      </w:tr>
      <w:tr w:rsidR="00CB2855" w14:paraId="4E38A3D3" w14:textId="77777777" w:rsidTr="00CB2855">
        <w:tc>
          <w:tcPr>
            <w:tcW w:w="1651" w:type="dxa"/>
          </w:tcPr>
          <w:p w14:paraId="55CECC79" w14:textId="4E9C317E" w:rsidR="00CB2855" w:rsidRDefault="006C506B" w:rsidP="00D526FC">
            <w:pPr>
              <w:spacing w:line="360" w:lineRule="auto"/>
              <w:rPr>
                <w:rFonts w:ascii="Cambria Math" w:hAnsi="Cambria Math"/>
                <w:sz w:val="24"/>
                <w:szCs w:val="24"/>
              </w:rPr>
            </w:pPr>
            <w:r>
              <w:rPr>
                <w:rFonts w:ascii="Cambria Math" w:hAnsi="Cambria Math"/>
                <w:sz w:val="24"/>
                <w:szCs w:val="24"/>
              </w:rPr>
              <w:t>Felt need</w:t>
            </w:r>
          </w:p>
        </w:tc>
        <w:tc>
          <w:tcPr>
            <w:tcW w:w="7365" w:type="dxa"/>
          </w:tcPr>
          <w:p w14:paraId="798714DF" w14:textId="513B9689" w:rsidR="00CB2855" w:rsidRDefault="006C506B" w:rsidP="00D526FC">
            <w:pPr>
              <w:spacing w:line="360" w:lineRule="auto"/>
              <w:rPr>
                <w:rFonts w:ascii="Cambria Math" w:hAnsi="Cambria Math"/>
                <w:sz w:val="24"/>
                <w:szCs w:val="24"/>
              </w:rPr>
            </w:pPr>
            <w:r>
              <w:rPr>
                <w:rFonts w:ascii="Cambria Math" w:hAnsi="Cambria Math"/>
                <w:sz w:val="24"/>
                <w:szCs w:val="24"/>
              </w:rPr>
              <w:t>Needs that the individual or community perceive for themselves.</w:t>
            </w:r>
          </w:p>
        </w:tc>
      </w:tr>
      <w:tr w:rsidR="00CB2855" w14:paraId="1D776AE6" w14:textId="77777777" w:rsidTr="00CB2855">
        <w:tc>
          <w:tcPr>
            <w:tcW w:w="1651" w:type="dxa"/>
          </w:tcPr>
          <w:p w14:paraId="6DF1B662" w14:textId="451A9AE9" w:rsidR="00CB2855" w:rsidRDefault="006C506B" w:rsidP="00D526FC">
            <w:pPr>
              <w:spacing w:line="360" w:lineRule="auto"/>
              <w:rPr>
                <w:rFonts w:ascii="Cambria Math" w:hAnsi="Cambria Math"/>
                <w:sz w:val="24"/>
                <w:szCs w:val="24"/>
              </w:rPr>
            </w:pPr>
            <w:r>
              <w:rPr>
                <w:rFonts w:ascii="Cambria Math" w:hAnsi="Cambria Math"/>
                <w:sz w:val="24"/>
                <w:szCs w:val="24"/>
              </w:rPr>
              <w:t>Expressed need</w:t>
            </w:r>
          </w:p>
        </w:tc>
        <w:tc>
          <w:tcPr>
            <w:tcW w:w="7365" w:type="dxa"/>
          </w:tcPr>
          <w:p w14:paraId="6CEEBA8B" w14:textId="78BB5E46" w:rsidR="00CB2855" w:rsidRDefault="006C506B" w:rsidP="00D526FC">
            <w:pPr>
              <w:spacing w:line="360" w:lineRule="auto"/>
              <w:rPr>
                <w:rFonts w:ascii="Cambria Math" w:hAnsi="Cambria Math"/>
                <w:sz w:val="24"/>
                <w:szCs w:val="24"/>
              </w:rPr>
            </w:pPr>
            <w:r>
              <w:rPr>
                <w:rFonts w:ascii="Cambria Math" w:hAnsi="Cambria Math"/>
                <w:sz w:val="24"/>
                <w:szCs w:val="24"/>
              </w:rPr>
              <w:t>Felt needs that are acted on by the individual or community.</w:t>
            </w:r>
          </w:p>
        </w:tc>
      </w:tr>
    </w:tbl>
    <w:p w14:paraId="185BF7BF" w14:textId="271F1895" w:rsidR="00AE2D79" w:rsidRDefault="00AE2D79" w:rsidP="00AE2D79">
      <w:pPr>
        <w:spacing w:line="360" w:lineRule="auto"/>
        <w:rPr>
          <w:rFonts w:ascii="Cambria Math" w:hAnsi="Cambria Math"/>
          <w:sz w:val="24"/>
          <w:szCs w:val="24"/>
        </w:rPr>
      </w:pPr>
    </w:p>
    <w:p w14:paraId="6EFEE25E" w14:textId="10732371" w:rsidR="00046D9B" w:rsidRPr="00AE2D79" w:rsidRDefault="00046D9B" w:rsidP="00AE2D79">
      <w:pPr>
        <w:spacing w:line="360" w:lineRule="auto"/>
        <w:rPr>
          <w:rFonts w:ascii="Cambria Math" w:hAnsi="Cambria Math"/>
          <w:sz w:val="24"/>
          <w:szCs w:val="24"/>
        </w:rPr>
      </w:pPr>
      <w:r>
        <w:rPr>
          <w:rFonts w:ascii="Cambria Math" w:hAnsi="Cambria Math"/>
          <w:sz w:val="24"/>
          <w:szCs w:val="24"/>
        </w:rPr>
        <w:t>Felt need</w:t>
      </w:r>
      <w:r w:rsidR="0039296A">
        <w:rPr>
          <w:rFonts w:ascii="Cambria Math" w:hAnsi="Cambria Math"/>
          <w:sz w:val="24"/>
          <w:szCs w:val="24"/>
        </w:rPr>
        <w:t xml:space="preserve"> - </w:t>
      </w:r>
    </w:p>
    <w:sectPr w:rsidR="00046D9B" w:rsidRPr="00AE2D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5176A"/>
    <w:multiLevelType w:val="hybridMultilevel"/>
    <w:tmpl w:val="0688EA8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CEE2C36"/>
    <w:multiLevelType w:val="hybridMultilevel"/>
    <w:tmpl w:val="91E8F83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327F0192"/>
    <w:multiLevelType w:val="hybridMultilevel"/>
    <w:tmpl w:val="2070F34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37527625"/>
    <w:multiLevelType w:val="hybridMultilevel"/>
    <w:tmpl w:val="64301BA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5DFD0369"/>
    <w:multiLevelType w:val="hybridMultilevel"/>
    <w:tmpl w:val="F7204A1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604B630D"/>
    <w:multiLevelType w:val="hybridMultilevel"/>
    <w:tmpl w:val="5258664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667152F2"/>
    <w:multiLevelType w:val="hybridMultilevel"/>
    <w:tmpl w:val="CCFC7B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DD23EDE"/>
    <w:multiLevelType w:val="hybridMultilevel"/>
    <w:tmpl w:val="0E40215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6"/>
  </w:num>
  <w:num w:numId="2">
    <w:abstractNumId w:val="4"/>
  </w:num>
  <w:num w:numId="3">
    <w:abstractNumId w:val="0"/>
  </w:num>
  <w:num w:numId="4">
    <w:abstractNumId w:val="3"/>
  </w:num>
  <w:num w:numId="5">
    <w:abstractNumId w:val="2"/>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F36"/>
    <w:rsid w:val="0003562C"/>
    <w:rsid w:val="00046D9B"/>
    <w:rsid w:val="000B0BA8"/>
    <w:rsid w:val="000B6638"/>
    <w:rsid w:val="00104D9F"/>
    <w:rsid w:val="00222A22"/>
    <w:rsid w:val="00222B4C"/>
    <w:rsid w:val="002C55DC"/>
    <w:rsid w:val="002D3E50"/>
    <w:rsid w:val="002D7565"/>
    <w:rsid w:val="00364099"/>
    <w:rsid w:val="0038557D"/>
    <w:rsid w:val="0039296A"/>
    <w:rsid w:val="003C42DF"/>
    <w:rsid w:val="003E3A56"/>
    <w:rsid w:val="00457217"/>
    <w:rsid w:val="00494D70"/>
    <w:rsid w:val="004A03EB"/>
    <w:rsid w:val="004A7C5A"/>
    <w:rsid w:val="004C5122"/>
    <w:rsid w:val="0058609B"/>
    <w:rsid w:val="005A4E4E"/>
    <w:rsid w:val="006A6D8C"/>
    <w:rsid w:val="006C506B"/>
    <w:rsid w:val="00701FF2"/>
    <w:rsid w:val="00734048"/>
    <w:rsid w:val="00782B5E"/>
    <w:rsid w:val="007B2A04"/>
    <w:rsid w:val="007D3BCC"/>
    <w:rsid w:val="007D7941"/>
    <w:rsid w:val="00840813"/>
    <w:rsid w:val="00860FB7"/>
    <w:rsid w:val="00884B9C"/>
    <w:rsid w:val="008C215F"/>
    <w:rsid w:val="008D48DE"/>
    <w:rsid w:val="00977ECF"/>
    <w:rsid w:val="00995EA1"/>
    <w:rsid w:val="009B3FD5"/>
    <w:rsid w:val="00A05AD4"/>
    <w:rsid w:val="00A06522"/>
    <w:rsid w:val="00A16F61"/>
    <w:rsid w:val="00A60F51"/>
    <w:rsid w:val="00A71058"/>
    <w:rsid w:val="00AA1345"/>
    <w:rsid w:val="00AE2D79"/>
    <w:rsid w:val="00B0062B"/>
    <w:rsid w:val="00B5566C"/>
    <w:rsid w:val="00B80EAC"/>
    <w:rsid w:val="00BE0074"/>
    <w:rsid w:val="00C24C41"/>
    <w:rsid w:val="00C542C8"/>
    <w:rsid w:val="00CB2855"/>
    <w:rsid w:val="00D27175"/>
    <w:rsid w:val="00D60BD2"/>
    <w:rsid w:val="00D6477E"/>
    <w:rsid w:val="00D758E8"/>
    <w:rsid w:val="00D96EE0"/>
    <w:rsid w:val="00DB7C37"/>
    <w:rsid w:val="00DC1352"/>
    <w:rsid w:val="00E11621"/>
    <w:rsid w:val="00E926CF"/>
    <w:rsid w:val="00EE1F36"/>
    <w:rsid w:val="00EE58D0"/>
    <w:rsid w:val="00FF491C"/>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1146C"/>
  <w15:chartTrackingRefBased/>
  <w15:docId w15:val="{CD069A76-7402-49D5-8B14-97F1A686C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57D"/>
    <w:pPr>
      <w:ind w:left="720"/>
      <w:contextualSpacing/>
    </w:pPr>
  </w:style>
  <w:style w:type="table" w:styleId="TableGrid">
    <w:name w:val="Table Grid"/>
    <w:basedOn w:val="TableNormal"/>
    <w:uiPriority w:val="39"/>
    <w:rsid w:val="00AE2D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4</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uhe</dc:creator>
  <cp:keywords/>
  <dc:description/>
  <cp:lastModifiedBy>George uhe</cp:lastModifiedBy>
  <cp:revision>81</cp:revision>
  <dcterms:created xsi:type="dcterms:W3CDTF">2021-08-03T02:56:00Z</dcterms:created>
  <dcterms:modified xsi:type="dcterms:W3CDTF">2021-09-07T00:58:00Z</dcterms:modified>
</cp:coreProperties>
</file>