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Label"/>
      </w:pPr>
      <w:r>
        <w:t xml:space="preserve">ИНДИВИДУАЛЬНЫЙ ПРОЕКТ ПО ИНФОРМАТИКЕ · 2026/2027</w:t>
      </w:r>
    </w:p>
    <w:p>
      <w:pPr>
        <w:pStyle w:val="Title"/>
      </w:pPr>
      <w:r>
        <w:t xml:space="preserve">Дорожная карта проекта</w:t>
      </w:r>
    </w:p>
    <w:p>
      <w:pPr>
        <w:pStyle w:val="Subtitle"/>
      </w:pPr>
      <w:r>
        <w:t xml:space="preserve">Almanion — сайт с конспектами и учебными инструментами</w:t>
      </w:r>
    </w:p>
    <w:p>
      <w:pPr>
        <w:pStyle w:val="Note"/>
      </w:pPr>
      <w:r>
        <w:t xml:space="preserve">План: 28 сентября — 31 декабря 2026 года</w:t>
      </w:r>
    </w:p>
    <w:p>
      <w:pPr>
        <w:pStyle w:val="Callout"/>
      </w:pPr>
      <w:r>
        <w:t xml:space="preserve">20 декабря — готовая версия проекта. 21–31 декабря — проверка, репетиция и резерв.</w:t>
      </w:r>
    </w:p>
    <w:p>
      <w:pPr>
        <w:pStyle w:val="Heading1"/>
      </w:pPr>
      <w:r>
        <w:t xml:space="preserve">Цель</w:t>
      </w:r>
    </w:p>
    <w:p>
      <w:pPr>
        <w:pStyle w:val="Normal"/>
      </w:pPr>
      <w:r>
        <w:t xml:space="preserve">Подготовить Almanion к защите: завершить основные функции, проверить сайт и игру, оформить результаты работы.</w:t>
      </w:r>
    </w:p>
    <w:p>
      <w:pPr>
        <w:pStyle w:val="Heading1"/>
      </w:pPr>
      <w:r>
        <w:t xml:space="preserve">Что уже есть</w:t>
      </w:r>
    </w:p>
    <w:p>
      <w:pPr>
        <w:pStyle w:val="Normal"/>
      </w:pPr>
      <w:r>
        <w:t xml:space="preserve">Сайт опубликован. Работают конспекты, поиск, конструктор, закладки, проверка знаний, Матцентр, аккаунты и игра «Орбитальный курьер».</w:t>
      </w:r>
    </w:p>
    <w:p>
      <w:pPr>
        <w:pStyle w:val="Heading1"/>
      </w:pPr>
      <w:r>
        <w:t xml:space="preserve">План работ</w:t>
      </w:r>
    </w:p>
    <w:tbl>
      <w:tblPr>
        <w:tblW w:w="9800" w:type="dxa"/>
        <w:tblLayout w:type="fixed"/>
        <w:tblBorders>
          <w:top w:val="single" w:sz="4" w:color="CBD1DC"/>
          <w:left w:val="single" w:sz="4" w:color="CBD1DC"/>
          <w:bottom w:val="single" w:sz="4" w:color="CBD1DC"/>
          <w:right w:val="single" w:sz="4" w:color="CBD1DC"/>
          <w:insideH w:val="single" w:sz="4" w:color="CBD1DC"/>
          <w:insideV w:val="single" w:sz="4" w:color="CBD1DC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960"/>
        <w:gridCol w:w="3725"/>
        <w:gridCol w:w="4115"/>
      </w:tblGrid>
      <w:tr>
        <w:trPr>
          <w:cantSplit/>
          <w:tblHeader/>
        </w:trPr>
        <w:tc>
          <w:tcPr>
            <w:tcW w:w="1960" w:type="dxa"/>
            <w:shd w:fill="EEF1F7"/>
          </w:tcPr>
          <w:p>
            <w:pPr>
              <w:pStyle w:val="TableHead"/>
            </w:pPr>
            <w:r>
              <w:t xml:space="preserve">Срок</w:t>
            </w:r>
          </w:p>
        </w:tc>
        <w:tc>
          <w:tcPr>
            <w:tcW w:w="3725" w:type="dxa"/>
            <w:shd w:fill="EEF1F7"/>
          </w:tcPr>
          <w:p>
            <w:pPr>
              <w:pStyle w:val="TableHead"/>
            </w:pPr>
            <w:r>
              <w:t xml:space="preserve">Что сделать</w:t>
            </w:r>
          </w:p>
        </w:tc>
        <w:tc>
          <w:tcPr>
            <w:tcW w:w="4115" w:type="dxa"/>
            <w:shd w:fill="EEF1F7"/>
          </w:tcPr>
          <w:p>
            <w:pPr>
              <w:pStyle w:val="TableHead"/>
            </w:pPr>
            <w:r>
              <w:t xml:space="preserve">Готово, если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28.09–04.10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Уточнить цель, задачи и состав проекта.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Утверждены план и список функций для защиты.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05.10–18.10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Исправить чтение конспектов, поиск, закладки, мобильную версию и экспорт в PDF.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Основные страницы работают на компьютере и телефоне.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19.10–01.11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Проверить конструктор, черновики, публикацию, повторение и Матцентр.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Данные не теряются; раздел можно создать и опубликовать без правки HTML.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02.11–15.11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Доработать игру «Орбитальный курьер».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Готовы демонстрационная версия, описание алгоритма и тесты.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16.11–22.11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Проверить вход, роли, синхронизацию, работу без сети и восстановление данных.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Нет ошибок, ведущих к потере данных или обходу прав доступа.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23.11–06.12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Провести проверку сайта с 5–8 учениками.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Записаны ошибки, время выполнения заданий и замечания.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07.12–13.12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Исправить найденные проблемы и повторить проверку.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Закрыты критические ошибки; основные задания выполняются без помощи.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14.12–20.12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Подготовить записку, презентацию, инструкцию и итоговую версию.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Сайт, игра и материалы для защиты готовы.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21.12–31.12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Показать работу руководителю, провести две репетиции, сохранить резервную копию.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Замечания учтены; итоговые файлы собраны в одном архиве.</w:t>
            </w:r>
          </w:p>
        </w:tc>
      </w:tr>
    </w:tbl>
    <w:p>
      <w:pPr>
        <w:pStyle w:val="Note"/>
      </w:pPr>
      <w:r>
        <w:t xml:space="preserve">Все даты относятся к 2026 году.</w:t>
      </w:r>
    </w:p>
    <w:p>
      <w:r>
        <w:br w:type="page"/>
      </w:r>
    </w:p>
    <w:p>
      <w:pPr>
        <w:pStyle w:val="Label"/>
      </w:pPr>
      <w:r>
        <w:t xml:space="preserve">ALMANION · ДОРОЖНАЯ КАРТА</w:t>
      </w:r>
    </w:p>
    <w:p>
      <w:pPr>
        <w:pStyle w:val="Title"/>
      </w:pPr>
      <w:r>
        <w:t xml:space="preserve">Игра и итог проекта</w:t>
      </w:r>
    </w:p>
    <w:p>
      <w:pPr>
        <w:pStyle w:val="Heading1"/>
      </w:pPr>
      <w:r>
        <w:t xml:space="preserve">«Орбитальный курьер»</w:t>
      </w:r>
    </w:p>
    <w:p>
      <w:pPr>
        <w:pStyle w:val="Normal"/>
      </w:pPr>
      <w:r>
        <w:t xml:space="preserve">Игра входит в проект как отдельный модуль. На защите нужно показать не только игровой процесс, но и то, как устроены движение, управление и сохранение прогресса.</w:t>
      </w:r>
    </w:p>
    <w:tbl>
      <w:tblPr>
        <w:tblW w:w="9800" w:type="dxa"/>
        <w:tblLayout w:type="fixed"/>
        <w:tblBorders>
          <w:top w:val="single" w:sz="4" w:color="CBD1DC"/>
          <w:left w:val="single" w:sz="4" w:color="CBD1DC"/>
          <w:bottom w:val="single" w:sz="4" w:color="CBD1DC"/>
          <w:right w:val="single" w:sz="4" w:color="CBD1DC"/>
          <w:insideH w:val="single" w:sz="4" w:color="CBD1DC"/>
          <w:insideV w:val="single" w:sz="4" w:color="CBD1DC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960"/>
        <w:gridCol w:w="3725"/>
        <w:gridCol w:w="4115"/>
      </w:tblGrid>
      <w:tr>
        <w:trPr>
          <w:cantSplit/>
          <w:tblHeader/>
        </w:trPr>
        <w:tc>
          <w:tcPr>
            <w:tcW w:w="1960" w:type="dxa"/>
            <w:shd w:fill="EEF1F7"/>
          </w:tcPr>
          <w:p>
            <w:pPr>
              <w:pStyle w:val="TableHead"/>
            </w:pPr>
            <w:r>
              <w:t xml:space="preserve">Срок</w:t>
            </w:r>
          </w:p>
        </w:tc>
        <w:tc>
          <w:tcPr>
            <w:tcW w:w="3725" w:type="dxa"/>
            <w:shd w:fill="EEF1F7"/>
          </w:tcPr>
          <w:p>
            <w:pPr>
              <w:pStyle w:val="TableHead"/>
            </w:pPr>
            <w:r>
              <w:t xml:space="preserve">Работа</w:t>
            </w:r>
          </w:p>
        </w:tc>
        <w:tc>
          <w:tcPr>
            <w:tcW w:w="4115" w:type="dxa"/>
            <w:shd w:fill="EEF1F7"/>
          </w:tcPr>
          <w:p>
            <w:pPr>
              <w:pStyle w:val="TableHead"/>
            </w:pPr>
            <w:r>
              <w:t xml:space="preserve">Результат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02.11–04.11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Описать движение, столкновения и сохранение игры.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Схема игрового цикла и контрольные примеры.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05.11–10.11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Доработать управление мышью и касанием.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Игрой удобно пользоваться на компьютере и телефоне.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11.11–15.11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Проверить уровни, награды, импорт, экспорт и работу без сети.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Сохранение восстанавливается; повтор не выдаёт награду второй раз.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pStyle w:val="TableText"/>
            </w:pPr>
            <w:r>
              <w:t xml:space="preserve">23.11–13.12</w:t>
            </w:r>
          </w:p>
        </w:tc>
        <w:tc>
          <w:tcPr>
            <w:tcW w:w="3725" w:type="dxa"/>
          </w:tcPr>
          <w:p>
            <w:pPr>
              <w:pStyle w:val="TableText"/>
            </w:pPr>
            <w:r>
              <w:t xml:space="preserve">Проверить игру вместе с остальным сайтом и исправить замечания.</w:t>
            </w:r>
          </w:p>
        </w:tc>
        <w:tc>
          <w:tcPr>
            <w:tcW w:w="4115" w:type="dxa"/>
          </w:tcPr>
          <w:p>
            <w:pPr>
              <w:pStyle w:val="TableText"/>
            </w:pPr>
            <w:r>
              <w:t xml:space="preserve">Готов короткий маршрут для показа на защите.</w:t>
            </w:r>
          </w:p>
        </w:tc>
      </w:tr>
    </w:tbl>
    <w:p>
      <w:pPr>
        <w:pStyle w:val="Heading1"/>
      </w:pPr>
      <w:r>
        <w:t xml:space="preserve">Что проверить с пользователями</w:t>
      </w:r>
    </w:p>
    <w:p>
      <w:pPr>
        <w:pStyle w:val="Normal"/>
      </w:pPr>
      <w:r>
        <w:t xml:space="preserve">• найти нужный материал через поиск;</w:t>
      </w:r>
    </w:p>
    <w:p>
      <w:pPr>
        <w:pStyle w:val="Normal"/>
      </w:pPr>
      <w:r>
        <w:t xml:space="preserve">• добавить блок в закладки и открыть его;</w:t>
      </w:r>
    </w:p>
    <w:p>
      <w:pPr>
        <w:pStyle w:val="Normal"/>
      </w:pPr>
      <w:r>
        <w:t xml:space="preserve">• пройти проверку знаний;</w:t>
      </w:r>
    </w:p>
    <w:p>
      <w:pPr>
        <w:pStyle w:val="Normal"/>
      </w:pPr>
      <w:r>
        <w:t xml:space="preserve">• создать и опубликовать тестовый раздел;</w:t>
      </w:r>
    </w:p>
    <w:p>
      <w:pPr>
        <w:pStyle w:val="Normal"/>
      </w:pPr>
      <w:r>
        <w:t xml:space="preserve">• пройти игровой маршрут и восстановить сохранение.</w:t>
      </w:r>
    </w:p>
    <w:p>
      <w:pPr>
        <w:pStyle w:val="Heading1"/>
      </w:pPr>
      <w:r>
        <w:t xml:space="preserve">Что должно быть готово к 20 декабря</w:t>
      </w:r>
    </w:p>
    <w:p>
      <w:pPr>
        <w:pStyle w:val="Normal"/>
      </w:pPr>
      <w:r>
        <w:t xml:space="preserve">• работающие сайт и игра;</w:t>
      </w:r>
    </w:p>
    <w:p>
      <w:pPr>
        <w:pStyle w:val="Normal"/>
      </w:pPr>
      <w:r>
        <w:t xml:space="preserve">• проверка на компьютере и телефоне;</w:t>
      </w:r>
    </w:p>
    <w:p>
      <w:pPr>
        <w:pStyle w:val="Normal"/>
      </w:pPr>
      <w:r>
        <w:t xml:space="preserve">• исходный код, инструкция и результаты тестов;</w:t>
      </w:r>
    </w:p>
    <w:p>
      <w:pPr>
        <w:pStyle w:val="Normal"/>
      </w:pPr>
      <w:r>
        <w:t xml:space="preserve">• пояснительная записка и презентация;</w:t>
      </w:r>
    </w:p>
    <w:p>
      <w:pPr>
        <w:pStyle w:val="Normal"/>
      </w:pPr>
      <w:r>
        <w:t xml:space="preserve">• резервная копия проекта и запись демонстрации.</w:t>
      </w:r>
    </w:p>
    <w:p>
      <w:pPr>
        <w:pStyle w:val="Heading1"/>
      </w:pPr>
      <w:r>
        <w:t xml:space="preserve">Контрольные даты</w:t>
      </w:r>
    </w:p>
    <w:p>
      <w:pPr>
        <w:pStyle w:val="Normal"/>
      </w:pPr>
      <w:r>
        <w:t xml:space="preserve">04.10 — утверждён план · 01.11 — проверены учебные функции · 15.11 — готова игра · 06.12 — закончена проверка с учениками · 20.12 — готов проект · 31.12 — завершён резервный этап.</w:t>
      </w:r>
    </w:p>
    <w:p>
      <w:pPr>
        <w:pStyle w:val="Source"/>
      </w:pPr>
      <w:r>
        <w:t xml:space="preserve">Составлено 28.09.2026. Даты рабочие и могут быть уточнены руководителем проекта.</w:t>
      </w:r>
    </w:p>
    <w:sectPr>
      <w:footerReference w:type="default" r:id="rId2"/>
      <w:pgSz w:w="11906" w:h="16838"/>
      <w:pgMar w:top="907" w:right="964" w:bottom="964" w:left="1134" w:header="350" w:footer="400"/>
    </w:sectPr>
  </w:body>
</w:document>
</file>

<file path=word/footer1.xml><?xml version="1.0" encoding="utf-8"?>
<w:ftr xmlns:w="http://schemas.openxmlformats.org/wordprocessingml/2006/main">
  <w:p>
    <w:pPr>
      <w:pStyle w:val="Note"/>
    </w:pPr>
    <w:r>
      <w:t xml:space="preserve">Almanion · Дорожная карта проекта     </w:t>
    </w:r>
    <w:fldSimple w:instr="PAGE"/>
  </w:p>
</w:ftr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00" w:line="270" w:lineRule="auto"/>
    </w:pPr>
    <w:rPr>
      <w:rFonts w:ascii="Times New Roman" w:hAnsi="Times New Roman" w:cs="Times New Roman"/>
      <w:sz w:val="23"/>
      <w:color w:val="192332"/>
    </w:rPr>
  </w:style>
  <w:style w:type="paragraph" w:styleId="Label">
    <w:name w:val="Label"/>
    <w:pPr>
      <w:spacing w:before="0" w:after="130" w:line="270" w:lineRule="auto"/>
      <w:keepNext/>
    </w:pPr>
    <w:rPr>
      <w:rFonts w:ascii="Arial" w:hAnsi="Arial" w:cs="Arial"/>
      <w:sz w:val="16"/>
      <w:color w:val="535D77"/>
      <w:b/>
    </w:rPr>
  </w:style>
  <w:style w:type="paragraph" w:styleId="Title">
    <w:name w:val="Title"/>
    <w:pPr>
      <w:spacing w:before="0" w:after="150" w:line="270" w:lineRule="auto"/>
      <w:keepNext/>
    </w:pPr>
    <w:rPr>
      <w:rFonts w:ascii="Arial" w:hAnsi="Arial" w:cs="Arial"/>
      <w:sz w:val="46"/>
      <w:color w:val="25325A"/>
      <w:b/>
    </w:rPr>
  </w:style>
  <w:style w:type="paragraph" w:styleId="Subtitle">
    <w:name w:val="Subtitle"/>
    <w:pPr>
      <w:spacing w:before="0" w:after="130" w:line="270" w:lineRule="auto"/>
      <w:keepNext/>
    </w:pPr>
    <w:rPr>
      <w:rFonts w:ascii="Arial" w:hAnsi="Arial" w:cs="Arial"/>
      <w:sz w:val="24"/>
      <w:color w:val="192332"/>
    </w:rPr>
  </w:style>
  <w:style w:type="paragraph" w:styleId="Heading1">
    <w:name w:val="Heading1"/>
    <w:pPr>
      <w:spacing w:before="170" w:after="110" w:line="270" w:lineRule="auto"/>
      <w:keepNext/>
    </w:pPr>
    <w:rPr>
      <w:rFonts w:ascii="Arial" w:hAnsi="Arial" w:cs="Arial"/>
      <w:sz w:val="24"/>
      <w:color w:val="25325A"/>
      <w:b/>
    </w:rPr>
  </w:style>
  <w:style w:type="paragraph" w:styleId="Note">
    <w:name w:val="Note"/>
    <w:pPr>
      <w:spacing w:before="0" w:after="100" w:line="270" w:lineRule="auto"/>
    </w:pPr>
    <w:rPr>
      <w:rFonts w:ascii="Arial" w:hAnsi="Arial" w:cs="Arial"/>
      <w:sz w:val="18"/>
      <w:color w:val="586174"/>
    </w:rPr>
  </w:style>
  <w:style w:type="paragraph" w:styleId="Source">
    <w:name w:val="Source"/>
    <w:pPr>
      <w:spacing w:before="0" w:after="100" w:line="270" w:lineRule="auto"/>
    </w:pPr>
    <w:rPr>
      <w:rFonts w:ascii="Arial" w:hAnsi="Arial" w:cs="Arial"/>
      <w:sz w:val="16"/>
      <w:color w:val="586174"/>
    </w:rPr>
  </w:style>
  <w:style w:type="paragraph" w:styleId="Callout">
    <w:name w:val="Callout"/>
    <w:pPr>
      <w:spacing w:before="80" w:after="150" w:line="270" w:lineRule="auto"/>
    </w:pPr>
    <w:rPr>
      <w:rFonts w:ascii="Arial" w:hAnsi="Arial" w:cs="Arial"/>
      <w:sz w:val="20"/>
      <w:color w:val="344263"/>
      <w:b/>
    </w:rPr>
  </w:style>
  <w:style w:type="paragraph" w:styleId="TableHead">
    <w:name w:val="TableHead"/>
    <w:pPr>
      <w:spacing w:before="0" w:after="0" w:line="270" w:lineRule="auto"/>
    </w:pPr>
    <w:rPr>
      <w:rFonts w:ascii="Arial" w:hAnsi="Arial" w:cs="Arial"/>
      <w:sz w:val="18"/>
      <w:color w:val="25325A"/>
      <w:b/>
    </w:rPr>
  </w:style>
  <w:style w:type="paragraph" w:styleId="TableText">
    <w:name w:val="TableText"/>
    <w:pPr>
      <w:spacing w:before="0" w:after="0" w:line="270" w:lineRule="auto"/>
    </w:pPr>
    <w:rPr>
      <w:rFonts w:ascii="Times New Roman" w:hAnsi="Times New Roman" w:cs="Times New Roman"/>
      <w:sz w:val="21"/>
      <w:color w:val="19233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