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</Types>
</file>

<file path=_rels/.rels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Label"/>
      </w:pPr>
      <w:r>
        <w:t xml:space="preserve">ИНДИВИДУАЛЬНЫЙ ПРОЕКТ ПО ИНФОРМАТИКЕ · 2026/2027</w:t>
      </w:r>
    </w:p>
    <w:p>
      <w:pPr>
        <w:pStyle w:val="Title"/>
      </w:pPr>
      <w:r>
        <w:t xml:space="preserve">Дорожная карта проекта</w:t>
      </w:r>
    </w:p>
    <w:p>
      <w:pPr>
        <w:pStyle w:val="Subtitle"/>
      </w:pPr>
      <w:r>
        <w:t xml:space="preserve">Almanion — образовательная веб-платформа</w:t>
        <w:br/>
        <w:t xml:space="preserve">с игровым модулем «Орбитальный курьер»</w:t>
      </w:r>
    </w:p>
    <w:p>
      <w:pPr>
        <w:pStyle w:val="Note"/>
      </w:pPr>
      <w:r>
        <w:t xml:space="preserve">Версия от 26.09.2026 · План: 28.09.2026–31.12.2026</w:t>
      </w:r>
    </w:p>
    <w:p>
      <w:pPr>
        <w:pStyle w:val="Callout"/>
      </w:pPr>
      <w:r>
        <w:t xml:space="preserve">Основная готовность — 20 декабря. Завершение плана — 31 декабря 2026 года.</w:t>
        <w:br/>
        <w:t xml:space="preserve">Это рабочие сроки; официальная дата защиты согласуется с руководителем проекта.</w:t>
      </w:r>
    </w:p>
    <w:p>
      <w:pPr>
        <w:pStyle w:val="Heading1"/>
      </w:pPr>
      <w:r>
        <w:t xml:space="preserve">Цель и исходная точка</w:t>
      </w:r>
    </w:p>
    <w:p>
      <w:pPr>
        <w:pStyle w:val="Normal"/>
      </w:pPr>
      <w:r>
        <w:t xml:space="preserve">Подготовить к защите устойчивую веб-платформу для создания и изучения школьных конспектов: с поиском, конструктором, закладками, проверкой знаний и печатью. Игру представить как самостоятельный дополнительный модуль с описанной моделью движения и проверенной работой на телефоне и компьютере.</w:t>
      </w:r>
    </w:p>
    <w:p>
      <w:pPr>
        <w:pStyle w:val="Normal"/>
      </w:pPr>
      <w:r>
        <w:t xml:space="preserve">К 26.09.2026 в проекте уже есть сайт на GitHub Pages, учебные разделы, Матцентр, конструктор, личный прогресс, аккаунты и роли, страницы класса и игра. Ниже запланированы их доводка, проверка и документирование, а не повторная разработка с нуля.</w:t>
      </w:r>
    </w:p>
    <w:p>
      <w:pPr>
        <w:pStyle w:val="Heading1"/>
      </w:pPr>
      <w:r>
        <w:t xml:space="preserve">I. Зафиксировать объём и довести основные функции</w:t>
      </w:r>
    </w:p>
    <w:tbl>
      <w:tblPr>
        <w:tblW w:w="9800" w:type="dxa"/>
        <w:tblLayout w:type="fixed"/>
        <w:tblBorders>
          <w:top w:val="single" w:sz="4" w:color="CBD1DC"/>
          <w:left w:val="single" w:sz="4" w:color="CBD1DC"/>
          <w:bottom w:val="single" w:sz="4" w:color="CBD1DC"/>
          <w:right w:val="single" w:sz="4" w:color="CBD1DC"/>
          <w:insideH w:val="single" w:sz="4" w:color="CBD1DC"/>
          <w:insideV w:val="single" w:sz="4" w:color="CBD1DC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960"/>
        <w:gridCol w:w="3725"/>
        <w:gridCol w:w="4115"/>
      </w:tblGrid>
      <w:tr>
        <w:trPr>
          <w:cantSplit/>
          <w:tblHeader/>
        </w:trPr>
        <w:tc>
          <w:tcPr>
            <w:tcW w:w="1960" w:type="dxa"/>
            <w:shd w:fill="EEF1F7"/>
          </w:tcPr>
          <w:p>
            <w:pPr>
              <w:pStyle w:val="TableHead"/>
            </w:pPr>
            <w:r>
              <w:t xml:space="preserve">Срок</w:t>
            </w:r>
          </w:p>
        </w:tc>
        <w:tc>
          <w:tcPr>
            <w:tcW w:w="3725" w:type="dxa"/>
            <w:shd w:fill="EEF1F7"/>
          </w:tcPr>
          <w:p>
            <w:pPr>
              <w:pStyle w:val="TableHead"/>
            </w:pPr>
            <w:r>
              <w:t xml:space="preserve">Этап и работы</w:t>
            </w:r>
          </w:p>
        </w:tc>
        <w:tc>
          <w:tcPr>
            <w:tcW w:w="4115" w:type="dxa"/>
            <w:shd w:fill="EEF1F7"/>
          </w:tcPr>
          <w:p>
            <w:pPr>
              <w:pStyle w:val="TableHead"/>
            </w:pPr>
            <w:r>
              <w:t xml:space="preserve">Результат / критерий готовности</w:t>
            </w:r>
          </w:p>
        </w:tc>
      </w:tr>
      <w:tr>
        <w:trPr>
          <w:cantSplit/>
        </w:trPr>
        <w:tc>
          <w:tcPr>
            <w:tcW w:w="1960" w:type="dxa"/>
          </w:tcPr>
          <w:p>
            <w:pPr>
              <w:pStyle w:val="TableText"/>
            </w:pPr>
            <w:r>
              <w:t xml:space="preserve">28.09–04.10</w:t>
              <w:br/>
              <w:t xml:space="preserve">2026</w:t>
            </w:r>
          </w:p>
        </w:tc>
        <w:tc>
          <w:tcPr>
            <w:tcW w:w="3725" w:type="dxa"/>
          </w:tcPr>
          <w:p>
            <w:pPr>
              <w:pStyle w:val="TableText"/>
            </w:pPr>
            <w:r>
              <w:t xml:space="preserve">01 · Границы проекта</w:t>
              <w:br/>
              <w:t xml:space="preserve">Согласовать постановку задачи, аудиторию, обязательные сценарии и календарь.</w:t>
            </w:r>
          </w:p>
        </w:tc>
        <w:tc>
          <w:tcPr>
            <w:tcW w:w="4115" w:type="dxa"/>
          </w:tcPr>
          <w:p>
            <w:pPr>
              <w:pStyle w:val="TableText"/>
            </w:pPr>
            <w:r>
              <w:t xml:space="preserve">Паспорт проекта и список требований. Зафиксирована исходная версия сайта; определено, что входит в защиту.</w:t>
            </w:r>
          </w:p>
        </w:tc>
      </w:tr>
      <w:tr>
        <w:trPr>
          <w:cantSplit/>
        </w:trPr>
        <w:tc>
          <w:tcPr>
            <w:tcW w:w="1960" w:type="dxa"/>
          </w:tcPr>
          <w:p>
            <w:pPr>
              <w:pStyle w:val="TableText"/>
            </w:pPr>
            <w:r>
              <w:t xml:space="preserve">05.10–11.10</w:t>
              <w:br/>
              <w:t xml:space="preserve">2026</w:t>
            </w:r>
          </w:p>
        </w:tc>
        <w:tc>
          <w:tcPr>
            <w:tcW w:w="3725" w:type="dxa"/>
          </w:tcPr>
          <w:p>
            <w:pPr>
              <w:pStyle w:val="TableText"/>
            </w:pPr>
            <w:r>
              <w:t xml:space="preserve">02 · Архитектура и данные</w:t>
              <w:br/>
              <w:t xml:space="preserve">Описать структуру конспектов, роли, хранение и публикацию; проверить резервное копирование.</w:t>
            </w:r>
          </w:p>
        </w:tc>
        <w:tc>
          <w:tcPr>
            <w:tcW w:w="4115" w:type="dxa"/>
          </w:tcPr>
          <w:p>
            <w:pPr>
              <w:pStyle w:val="TableText"/>
            </w:pPr>
            <w:r>
              <w:t xml:space="preserve">Схема системы и модель данных. Пробный конспект и личные данные восстановлены из резервной копии.</w:t>
            </w:r>
          </w:p>
        </w:tc>
      </w:tr>
      <w:tr>
        <w:trPr>
          <w:cantSplit/>
        </w:trPr>
        <w:tc>
          <w:tcPr>
            <w:tcW w:w="1960" w:type="dxa"/>
          </w:tcPr>
          <w:p>
            <w:pPr>
              <w:pStyle w:val="TableText"/>
            </w:pPr>
            <w:r>
              <w:t xml:space="preserve">12.10–18.10</w:t>
              <w:br/>
              <w:t xml:space="preserve">2026</w:t>
            </w:r>
          </w:p>
        </w:tc>
        <w:tc>
          <w:tcPr>
            <w:tcW w:w="3725" w:type="dxa"/>
          </w:tcPr>
          <w:p>
            <w:pPr>
              <w:pStyle w:val="TableText"/>
            </w:pPr>
            <w:r>
              <w:t xml:space="preserve">03 · Чтение и поиск</w:t>
              <w:br/>
              <w:t xml:space="preserve">Доработать мобильный интерфейс, формулы, поиск, закладки и экспорт в PDF.</w:t>
            </w:r>
          </w:p>
        </w:tc>
        <w:tc>
          <w:tcPr>
            <w:tcW w:w="4115" w:type="dxa"/>
          </w:tcPr>
          <w:p>
            <w:pPr>
              <w:pStyle w:val="TableText"/>
            </w:pPr>
            <w:r>
              <w:t xml:space="preserve">На выбранных разделах нет обрезанного текста и формул; поиск приводит к нужному блоку; печать не содержит кнопок интерфейса.</w:t>
            </w:r>
          </w:p>
        </w:tc>
      </w:tr>
      <w:tr>
        <w:trPr>
          <w:cantSplit/>
        </w:trPr>
        <w:tc>
          <w:tcPr>
            <w:tcW w:w="1960" w:type="dxa"/>
          </w:tcPr>
          <w:p>
            <w:pPr>
              <w:pStyle w:val="TableText"/>
            </w:pPr>
            <w:r>
              <w:t xml:space="preserve">19.10–25.10</w:t>
              <w:br/>
              <w:t xml:space="preserve">2026</w:t>
            </w:r>
          </w:p>
        </w:tc>
        <w:tc>
          <w:tcPr>
            <w:tcW w:w="3725" w:type="dxa"/>
          </w:tcPr>
          <w:p>
            <w:pPr>
              <w:pStyle w:val="TableText"/>
            </w:pPr>
            <w:r>
              <w:t xml:space="preserve">04 · Конструктор</w:t>
              <w:br/>
              <w:t xml:space="preserve">Проверить создание и вложение блоков, редактирование, черновики и публикацию.</w:t>
            </w:r>
          </w:p>
        </w:tc>
        <w:tc>
          <w:tcPr>
            <w:tcW w:w="4115" w:type="dxa"/>
          </w:tcPr>
          <w:p>
            <w:pPr>
              <w:pStyle w:val="TableText"/>
            </w:pPr>
            <w:r>
              <w:t xml:space="preserve">Редактор создаёт раздел без HTML. Перезагрузка и временная потеря сети не удаляют черновик; публикация не сбрасывает прогресс.</w:t>
            </w:r>
          </w:p>
        </w:tc>
      </w:tr>
      <w:tr>
        <w:trPr>
          <w:cantSplit/>
        </w:trPr>
        <w:tc>
          <w:tcPr>
            <w:tcW w:w="1960" w:type="dxa"/>
          </w:tcPr>
          <w:p>
            <w:pPr>
              <w:pStyle w:val="TableText"/>
            </w:pPr>
            <w:r>
              <w:t xml:space="preserve">26.10–01.11</w:t>
              <w:br/>
              <w:t xml:space="preserve">2026</w:t>
            </w:r>
          </w:p>
        </w:tc>
        <w:tc>
          <w:tcPr>
            <w:tcW w:w="3725" w:type="dxa"/>
          </w:tcPr>
          <w:p>
            <w:pPr>
              <w:pStyle w:val="TableText"/>
            </w:pPr>
            <w:r>
              <w:t xml:space="preserve">05 · Повторение и Матцентр</w:t>
              <w:br/>
              <w:t xml:space="preserve">Проверить выделение терминов, типы карточек, сохранение ответов и обновление таблиц.</w:t>
            </w:r>
          </w:p>
        </w:tc>
        <w:tc>
          <w:tcPr>
            <w:tcW w:w="4115" w:type="dxa"/>
          </w:tcPr>
          <w:p>
            <w:pPr>
              <w:pStyle w:val="TableText"/>
            </w:pPr>
            <w:r>
              <w:t xml:space="preserve">Нет карточек вида «Определение определения». Повторение не ограничено дневным лимитом; сбой таблицы не удаляет загруженные задачи.</w:t>
            </w:r>
          </w:p>
        </w:tc>
      </w:tr>
    </w:tbl>
    <w:p>
      <w:pPr>
        <w:pStyle w:val="Note"/>
      </w:pPr>
      <w:r>
        <w:t xml:space="preserve">Доработки выполняются небольшими проверяемыми выпусками. Материалы отчёта и журнал изменений пополняются с первого этапа, а не только перед защитой.</w:t>
      </w:r>
    </w:p>
    <w:p>
      <w:r>
        <w:br w:type="page"/>
      </w:r>
    </w:p>
    <w:p>
      <w:pPr>
        <w:pStyle w:val="Label"/>
      </w:pPr>
      <w:r>
        <w:t xml:space="preserve">ALMANION · ДОРОЖНАЯ КАРТА</w:t>
      </w:r>
    </w:p>
    <w:p>
      <w:pPr>
        <w:pStyle w:val="Title"/>
      </w:pPr>
      <w:r>
        <w:t xml:space="preserve">От доработки к защите</w:t>
      </w:r>
    </w:p>
    <w:p>
      <w:pPr>
        <w:pStyle w:val="Subtitle"/>
      </w:pPr>
      <w:r>
        <w:t xml:space="preserve">II. Игровой модуль, проверка качества и итоговая версия</w:t>
      </w:r>
    </w:p>
    <w:tbl>
      <w:tblPr>
        <w:tblW w:w="9800" w:type="dxa"/>
        <w:tblLayout w:type="fixed"/>
        <w:tblBorders>
          <w:top w:val="single" w:sz="4" w:color="CBD1DC"/>
          <w:left w:val="single" w:sz="4" w:color="CBD1DC"/>
          <w:bottom w:val="single" w:sz="4" w:color="CBD1DC"/>
          <w:right w:val="single" w:sz="4" w:color="CBD1DC"/>
          <w:insideH w:val="single" w:sz="4" w:color="CBD1DC"/>
          <w:insideV w:val="single" w:sz="4" w:color="CBD1DC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960"/>
        <w:gridCol w:w="3725"/>
        <w:gridCol w:w="4115"/>
      </w:tblGrid>
      <w:tr>
        <w:trPr>
          <w:cantSplit/>
          <w:tblHeader/>
        </w:trPr>
        <w:tc>
          <w:tcPr>
            <w:tcW w:w="1960" w:type="dxa"/>
            <w:shd w:fill="EEF1F7"/>
          </w:tcPr>
          <w:p>
            <w:pPr>
              <w:pStyle w:val="TableHead"/>
            </w:pPr>
            <w:r>
              <w:t xml:space="preserve">Срок</w:t>
            </w:r>
          </w:p>
        </w:tc>
        <w:tc>
          <w:tcPr>
            <w:tcW w:w="3725" w:type="dxa"/>
            <w:shd w:fill="EEF1F7"/>
          </w:tcPr>
          <w:p>
            <w:pPr>
              <w:pStyle w:val="TableHead"/>
            </w:pPr>
            <w:r>
              <w:t xml:space="preserve">Этап и работы</w:t>
            </w:r>
          </w:p>
        </w:tc>
        <w:tc>
          <w:tcPr>
            <w:tcW w:w="4115" w:type="dxa"/>
            <w:shd w:fill="EEF1F7"/>
          </w:tcPr>
          <w:p>
            <w:pPr>
              <w:pStyle w:val="TableHead"/>
            </w:pPr>
            <w:r>
              <w:t xml:space="preserve">Результат / критерий готовности</w:t>
            </w:r>
          </w:p>
        </w:tc>
      </w:tr>
      <w:tr>
        <w:trPr>
          <w:cantSplit/>
        </w:trPr>
        <w:tc>
          <w:tcPr>
            <w:tcW w:w="1960" w:type="dxa"/>
          </w:tcPr>
          <w:p>
            <w:pPr>
              <w:pStyle w:val="TableText"/>
            </w:pPr>
            <w:r>
              <w:t xml:space="preserve">02.11–15.11</w:t>
            </w:r>
          </w:p>
        </w:tc>
        <w:tc>
          <w:tcPr>
            <w:tcW w:w="3725" w:type="dxa"/>
          </w:tcPr>
          <w:p>
            <w:pPr>
              <w:pStyle w:val="TableText"/>
            </w:pPr>
            <w:r>
              <w:t xml:space="preserve">06 · «Орбитальный курьер»</w:t>
              <w:br/>
              <w:t xml:space="preserve">Доработать управление и выбранные игровые сценарии. Описать модель движения и сохранения.</w:t>
            </w:r>
          </w:p>
        </w:tc>
        <w:tc>
          <w:tcPr>
            <w:tcW w:w="4115" w:type="dxa"/>
          </w:tcPr>
          <w:p>
            <w:pPr>
              <w:pStyle w:val="TableText"/>
            </w:pPr>
            <w:r>
              <w:t xml:space="preserve">Демонстрационная версия игры, описание алгоритма и протокол испытаний. Детализация — на стр. 3.</w:t>
            </w:r>
          </w:p>
        </w:tc>
      </w:tr>
      <w:tr>
        <w:trPr>
          <w:cantSplit/>
        </w:trPr>
        <w:tc>
          <w:tcPr>
            <w:tcW w:w="1960" w:type="dxa"/>
          </w:tcPr>
          <w:p>
            <w:pPr>
              <w:pStyle w:val="TableText"/>
            </w:pPr>
            <w:r>
              <w:t xml:space="preserve">16.11–22.11</w:t>
            </w:r>
          </w:p>
        </w:tc>
        <w:tc>
          <w:tcPr>
            <w:tcW w:w="3725" w:type="dxa"/>
          </w:tcPr>
          <w:p>
            <w:pPr>
              <w:pStyle w:val="TableText"/>
            </w:pPr>
            <w:r>
              <w:t xml:space="preserve">07 · Надёжность и доступ</w:t>
              <w:br/>
              <w:t xml:space="preserve">Проверить роли, синхронизацию, отсутствие сети и ошибки внешних сервисов.</w:t>
            </w:r>
          </w:p>
        </w:tc>
        <w:tc>
          <w:tcPr>
            <w:tcW w:w="4115" w:type="dxa"/>
          </w:tcPr>
          <w:p>
            <w:pPr>
              <w:pStyle w:val="TableText"/>
            </w:pPr>
            <w:r>
              <w:t xml:space="preserve">Нет неразрешённой записи закрытых данных. Прогресс восстанавливается; тесты проходят. Ограничения описаны.</w:t>
            </w:r>
          </w:p>
        </w:tc>
      </w:tr>
      <w:tr>
        <w:trPr>
          <w:cantSplit/>
        </w:trPr>
        <w:tc>
          <w:tcPr>
            <w:tcW w:w="1960" w:type="dxa"/>
          </w:tcPr>
          <w:p>
            <w:pPr>
              <w:pStyle w:val="TableText"/>
            </w:pPr>
            <w:r>
              <w:t xml:space="preserve">23.11–06.12</w:t>
            </w:r>
          </w:p>
        </w:tc>
        <w:tc>
          <w:tcPr>
            <w:tcW w:w="3725" w:type="dxa"/>
          </w:tcPr>
          <w:p>
            <w:pPr>
              <w:pStyle w:val="TableText"/>
            </w:pPr>
            <w:r>
              <w:t xml:space="preserve">08 · Апробация</w:t>
              <w:br/>
              <w:t xml:space="preserve">Пригласить 5–8 добровольцев; записать время, ошибки и помощь при выполнении заданий.</w:t>
            </w:r>
          </w:p>
        </w:tc>
        <w:tc>
          <w:tcPr>
            <w:tcW w:w="4115" w:type="dxa"/>
          </w:tcPr>
          <w:p>
            <w:pPr>
              <w:pStyle w:val="TableText"/>
            </w:pPr>
            <w:r>
              <w:t xml:space="preserve">Не менее 25 попыток по пяти сценариям. Обезличенные результаты и список замечаний.</w:t>
            </w:r>
          </w:p>
        </w:tc>
      </w:tr>
      <w:tr>
        <w:trPr>
          <w:cantSplit/>
        </w:trPr>
        <w:tc>
          <w:tcPr>
            <w:tcW w:w="1960" w:type="dxa"/>
          </w:tcPr>
          <w:p>
            <w:pPr>
              <w:pStyle w:val="TableText"/>
            </w:pPr>
            <w:r>
              <w:t xml:space="preserve">07.12–13.12</w:t>
            </w:r>
          </w:p>
        </w:tc>
        <w:tc>
          <w:tcPr>
            <w:tcW w:w="3725" w:type="dxa"/>
          </w:tcPr>
          <w:p>
            <w:pPr>
              <w:pStyle w:val="TableText"/>
            </w:pPr>
            <w:r>
              <w:t xml:space="preserve">09 · Исправления</w:t>
              <w:br/>
              <w:t xml:space="preserve">Устранить частые затруднения и повторить сценарии; сравнить результаты.</w:t>
            </w:r>
          </w:p>
        </w:tc>
        <w:tc>
          <w:tcPr>
            <w:tcW w:w="4115" w:type="dxa"/>
          </w:tcPr>
          <w:p>
            <w:pPr>
              <w:pStyle w:val="TableText"/>
            </w:pPr>
            <w:r>
              <w:t xml:space="preserve">Критические ошибки закрыты. Ориентир — не менее 80% попыток без помощи; отклонения разобраны.</w:t>
            </w:r>
          </w:p>
        </w:tc>
      </w:tr>
      <w:tr>
        <w:trPr>
          <w:cantSplit/>
        </w:trPr>
        <w:tc>
          <w:tcPr>
            <w:tcW w:w="1960" w:type="dxa"/>
          </w:tcPr>
          <w:p>
            <w:pPr>
              <w:pStyle w:val="TableText"/>
            </w:pPr>
            <w:r>
              <w:t xml:space="preserve">14.12–20.12</w:t>
            </w:r>
          </w:p>
        </w:tc>
        <w:tc>
          <w:tcPr>
            <w:tcW w:w="3725" w:type="dxa"/>
          </w:tcPr>
          <w:p>
            <w:pPr>
              <w:pStyle w:val="TableText"/>
            </w:pPr>
            <w:r>
              <w:t xml:space="preserve">10 · Комплект к защите</w:t>
              <w:br/>
              <w:t xml:space="preserve">Завершить записку, схемы, презентацию и инструкцию; выпустить контрольную версию.</w:t>
            </w:r>
          </w:p>
        </w:tc>
        <w:tc>
          <w:tcPr>
            <w:tcW w:w="4115" w:type="dxa"/>
          </w:tcPr>
          <w:p>
            <w:pPr>
              <w:pStyle w:val="TableText"/>
            </w:pPr>
            <w:r>
              <w:t xml:space="preserve">20.12 — сайт, игра, исходники, тесты и документация готовы. Описаны источники, инструменты и личный вклад.</w:t>
            </w:r>
          </w:p>
        </w:tc>
      </w:tr>
      <w:tr>
        <w:trPr>
          <w:cantSplit/>
        </w:trPr>
        <w:tc>
          <w:tcPr>
            <w:tcW w:w="1960" w:type="dxa"/>
          </w:tcPr>
          <w:p>
            <w:pPr>
              <w:pStyle w:val="TableText"/>
            </w:pPr>
            <w:r>
              <w:t xml:space="preserve">21.12–27.12</w:t>
            </w:r>
          </w:p>
        </w:tc>
        <w:tc>
          <w:tcPr>
            <w:tcW w:w="3725" w:type="dxa"/>
          </w:tcPr>
          <w:p>
            <w:pPr>
              <w:pStyle w:val="TableText"/>
            </w:pPr>
            <w:r>
              <w:t xml:space="preserve">11 · Репетиция и приёмка</w:t>
              <w:br/>
              <w:t xml:space="preserve">Обсудить результат с руководителем; дважды провести демонстрацию и проверить её резерв.</w:t>
            </w:r>
          </w:p>
        </w:tc>
        <w:tc>
          <w:tcPr>
            <w:tcW w:w="4115" w:type="dxa"/>
          </w:tcPr>
          <w:p>
            <w:pPr>
              <w:pStyle w:val="TableText"/>
            </w:pPr>
            <w:r>
              <w:t xml:space="preserve">Учтены замечания, согласован сценарий защиты. Публичная версия соответствует итоговым материалам.</w:t>
            </w:r>
          </w:p>
        </w:tc>
      </w:tr>
      <w:tr>
        <w:trPr>
          <w:cantSplit/>
        </w:trPr>
        <w:tc>
          <w:tcPr>
            <w:tcW w:w="1960" w:type="dxa"/>
          </w:tcPr>
          <w:p>
            <w:pPr>
              <w:pStyle w:val="TableText"/>
            </w:pPr>
            <w:r>
              <w:t xml:space="preserve">28.12–31.12</w:t>
            </w:r>
          </w:p>
        </w:tc>
        <w:tc>
          <w:tcPr>
            <w:tcW w:w="3725" w:type="dxa"/>
          </w:tcPr>
          <w:p>
            <w:pPr>
              <w:pStyle w:val="TableText"/>
            </w:pPr>
            <w:r>
              <w:t xml:space="preserve">12 · Резерв и завершение</w:t>
              <w:br/>
              <w:t xml:space="preserve">Закрыть остаточные замечания, повторить проверки и сохранить итоговый комплект.</w:t>
            </w:r>
          </w:p>
        </w:tc>
        <w:tc>
          <w:tcPr>
            <w:tcW w:w="4115" w:type="dxa"/>
          </w:tcPr>
          <w:p>
            <w:pPr>
              <w:pStyle w:val="TableText"/>
            </w:pPr>
            <w:r>
              <w:t xml:space="preserve">31.12 — архив версии, отчёт и презентация сохранены. Новые крупные функции не добавляются.</w:t>
            </w:r>
          </w:p>
        </w:tc>
      </w:tr>
    </w:tbl>
    <w:p>
      <w:pPr>
        <w:pStyle w:val="Heading1"/>
      </w:pPr>
      <w:r>
        <w:t xml:space="preserve">Контрольные точки</w:t>
      </w:r>
    </w:p>
    <w:p>
      <w:pPr>
        <w:pStyle w:val="Normal"/>
      </w:pPr>
      <w:r>
        <w:t xml:space="preserve">04.10 — согласован объём → 01.11 — проверен учебный цикл → 15.11 — готов игровой модуль → 06.12 — завершена апробация → 20.12 — готов комплект к защите → 31.12 — завершён план. Все даты — 2026 год.</w:t>
      </w:r>
    </w:p>
    <w:p>
      <w:pPr>
        <w:pStyle w:val="Heading1"/>
      </w:pPr>
      <w:r>
        <w:t xml:space="preserve">Зависимости и порядок работы</w:t>
      </w:r>
    </w:p>
    <w:p>
      <w:pPr>
        <w:pStyle w:val="Normal"/>
      </w:pPr>
      <w:r>
        <w:t xml:space="preserve">Апробация начинается после проверки доступа и сохранений. Выводы пишутся по наблюдениям, а итоговая версия выпускается после повторных тестов. Основной приоритет — учебный цикл; игра не должна задерживать его готовность.</w:t>
      </w:r>
    </w:p>
    <w:p>
      <w:pPr>
        <w:pStyle w:val="Note"/>
      </w:pPr>
      <w:r>
        <w:t xml:space="preserve">Статус всех будущих этапов на 26.09.2026: «Запланировано». Даты в этой карте — плановые, а не отчёт о выполненной работе.</w:t>
      </w:r>
    </w:p>
    <w:p>
      <w:r>
        <w:br w:type="page"/>
      </w:r>
    </w:p>
    <w:p>
      <w:pPr>
        <w:pStyle w:val="Label"/>
      </w:pPr>
      <w:r>
        <w:t xml:space="preserve">ALMANION · ИГРА И КОНТРОЛЬ РЕЗУЛЬТАТА</w:t>
      </w:r>
    </w:p>
    <w:p>
      <w:pPr>
        <w:pStyle w:val="Title"/>
      </w:pPr>
      <w:r>
        <w:t xml:space="preserve">Игра и критерии завершения</w:t>
      </w:r>
    </w:p>
    <w:p>
      <w:pPr>
        <w:pStyle w:val="Heading1"/>
      </w:pPr>
      <w:r>
        <w:t xml:space="preserve">Разработка «Орбитального курьера»</w:t>
      </w:r>
    </w:p>
    <w:p>
      <w:pPr>
        <w:pStyle w:val="Normal"/>
      </w:pPr>
      <w:r>
        <w:t xml:space="preserve">Игра уже включена в сайт. На защите демонстрируются модель движения, управление, сохранения и тесты. В отчёте отдельно описываются предоставленный исходный архив и последующие доработки.</w:t>
      </w:r>
    </w:p>
    <w:tbl>
      <w:tblPr>
        <w:tblW w:w="9800" w:type="dxa"/>
        <w:tblLayout w:type="fixed"/>
        <w:tblBorders>
          <w:top w:val="single" w:sz="4" w:color="CBD1DC"/>
          <w:left w:val="single" w:sz="4" w:color="CBD1DC"/>
          <w:bottom w:val="single" w:sz="4" w:color="CBD1DC"/>
          <w:right w:val="single" w:sz="4" w:color="CBD1DC"/>
          <w:insideH w:val="single" w:sz="4" w:color="CBD1DC"/>
          <w:insideV w:val="single" w:sz="4" w:color="CBD1DC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960"/>
        <w:gridCol w:w="3725"/>
        <w:gridCol w:w="4115"/>
      </w:tblGrid>
      <w:tr>
        <w:trPr>
          <w:cantSplit/>
          <w:tblHeader/>
        </w:trPr>
        <w:tc>
          <w:tcPr>
            <w:tcW w:w="1960" w:type="dxa"/>
            <w:shd w:fill="EEF1F7"/>
          </w:tcPr>
          <w:p>
            <w:pPr>
              <w:pStyle w:val="TableHead"/>
            </w:pPr>
            <w:r>
              <w:t xml:space="preserve">Срок в 2026 году</w:t>
            </w:r>
          </w:p>
        </w:tc>
        <w:tc>
          <w:tcPr>
            <w:tcW w:w="3725" w:type="dxa"/>
            <w:shd w:fill="EEF1F7"/>
          </w:tcPr>
          <w:p>
            <w:pPr>
              <w:pStyle w:val="TableHead"/>
            </w:pPr>
            <w:r>
              <w:t xml:space="preserve">Работы</w:t>
            </w:r>
          </w:p>
        </w:tc>
        <w:tc>
          <w:tcPr>
            <w:tcW w:w="4115" w:type="dxa"/>
            <w:shd w:fill="EEF1F7"/>
          </w:tcPr>
          <w:p>
            <w:pPr>
              <w:pStyle w:val="TableHead"/>
            </w:pPr>
            <w:r>
              <w:t xml:space="preserve">Проверяемый результат</w:t>
            </w:r>
          </w:p>
        </w:tc>
      </w:tr>
      <w:tr>
        <w:trPr>
          <w:cantSplit/>
        </w:trPr>
        <w:tc>
          <w:tcPr>
            <w:tcW w:w="1960" w:type="dxa"/>
          </w:tcPr>
          <w:p>
            <w:pPr>
              <w:pStyle w:val="TableText"/>
            </w:pPr>
            <w:r>
              <w:t xml:space="preserve">02.11–04.11</w:t>
            </w:r>
          </w:p>
        </w:tc>
        <w:tc>
          <w:tcPr>
            <w:tcW w:w="3725" w:type="dxa"/>
          </w:tcPr>
          <w:p>
            <w:pPr>
              <w:pStyle w:val="TableText"/>
            </w:pPr>
            <w:r>
              <w:t xml:space="preserve">Описать расчёт движения, столкновения и сохранения; выбрать доработки.</w:t>
            </w:r>
          </w:p>
        </w:tc>
        <w:tc>
          <w:tcPr>
            <w:tcW w:w="4115" w:type="dxa"/>
          </w:tcPr>
          <w:p>
            <w:pPr>
              <w:pStyle w:val="TableText"/>
            </w:pPr>
            <w:r>
              <w:t xml:space="preserve">Схема игрового цикла, список изменений и контрольные примеры для численной модели.</w:t>
            </w:r>
          </w:p>
        </w:tc>
      </w:tr>
      <w:tr>
        <w:trPr>
          <w:cantSplit/>
        </w:trPr>
        <w:tc>
          <w:tcPr>
            <w:tcW w:w="1960" w:type="dxa"/>
          </w:tcPr>
          <w:p>
            <w:pPr>
              <w:pStyle w:val="TableText"/>
            </w:pPr>
            <w:r>
              <w:t xml:space="preserve">05.11–10.11</w:t>
            </w:r>
          </w:p>
        </w:tc>
        <w:tc>
          <w:tcPr>
            <w:tcW w:w="3725" w:type="dxa"/>
          </w:tcPr>
          <w:p>
            <w:pPr>
              <w:pStyle w:val="TableText"/>
            </w:pPr>
            <w:r>
              <w:t xml:space="preserve">Выполнить доработки. Проверить прицеливание, запуск, паузу, повтор и камеру.</w:t>
            </w:r>
          </w:p>
        </w:tc>
        <w:tc>
          <w:tcPr>
            <w:tcW w:w="4115" w:type="dxa"/>
          </w:tcPr>
          <w:p>
            <w:pPr>
              <w:pStyle w:val="TableText"/>
            </w:pPr>
            <w:r>
              <w:t xml:space="preserve">Управление работает мышью и касанием; интерфейс не нарушает расчёт траектории.</w:t>
            </w:r>
          </w:p>
        </w:tc>
      </w:tr>
      <w:tr>
        <w:trPr>
          <w:cantSplit/>
        </w:trPr>
        <w:tc>
          <w:tcPr>
            <w:tcW w:w="1960" w:type="dxa"/>
          </w:tcPr>
          <w:p>
            <w:pPr>
              <w:pStyle w:val="TableText"/>
            </w:pPr>
            <w:r>
              <w:t xml:space="preserve">11.11–15.11</w:t>
            </w:r>
          </w:p>
        </w:tc>
        <w:tc>
          <w:tcPr>
            <w:tcW w:w="3725" w:type="dxa"/>
          </w:tcPr>
          <w:p>
            <w:pPr>
              <w:pStyle w:val="TableText"/>
            </w:pPr>
            <w:r>
              <w:t xml:space="preserve">Проверить кампанию, награды, импорт/экспорт и работу без сети.</w:t>
            </w:r>
          </w:p>
        </w:tc>
        <w:tc>
          <w:tcPr>
            <w:tcW w:w="4115" w:type="dxa"/>
          </w:tcPr>
          <w:p>
            <w:pPr>
              <w:pStyle w:val="TableText"/>
            </w:pPr>
            <w:r>
              <w:t xml:space="preserve">Старое тестовое сохранение открывается; просмотр повтора не начисляет награды. Сборка воспроизводима.</w:t>
            </w:r>
          </w:p>
        </w:tc>
      </w:tr>
      <w:tr>
        <w:trPr>
          <w:cantSplit/>
        </w:trPr>
        <w:tc>
          <w:tcPr>
            <w:tcW w:w="1960" w:type="dxa"/>
          </w:tcPr>
          <w:p>
            <w:pPr>
              <w:pStyle w:val="TableText"/>
            </w:pPr>
            <w:r>
              <w:t xml:space="preserve">23.11–13.12</w:t>
            </w:r>
          </w:p>
        </w:tc>
        <w:tc>
          <w:tcPr>
            <w:tcW w:w="3725" w:type="dxa"/>
          </w:tcPr>
          <w:p>
            <w:pPr>
              <w:pStyle w:val="TableText"/>
            </w:pPr>
            <w:r>
              <w:t xml:space="preserve">Провести апробацию вместе с сайтом; исправить выявленные затруднения.</w:t>
            </w:r>
          </w:p>
        </w:tc>
        <w:tc>
          <w:tcPr>
            <w:tcW w:w="4115" w:type="dxa"/>
          </w:tcPr>
          <w:p>
            <w:pPr>
              <w:pStyle w:val="TableText"/>
            </w:pPr>
            <w:r>
              <w:t xml:space="preserve">Отзывы, повторные проверки и демонстрационный маршрут для защиты.</w:t>
            </w:r>
          </w:p>
        </w:tc>
      </w:tr>
    </w:tbl>
    <w:p>
      <w:pPr>
        <w:pStyle w:val="Heading1"/>
      </w:pPr>
      <w:r>
        <w:t xml:space="preserve">Как оценить результат</w:t>
      </w:r>
    </w:p>
    <w:p>
      <w:pPr>
        <w:pStyle w:val="Normal"/>
      </w:pPr>
      <w:r>
        <w:t xml:space="preserve">Пять сценариев: поиск; закладка; повторение; публикация тестового раздела с разрешённой ролью; игровой маршрут с восстановлением прогресса. Доля успеха = попытки без помощи / все попытки × 100%. Записываются также время и ошибки. Проверка удобства не доказывает улучшение успеваемости.</w:t>
      </w:r>
    </w:p>
    <w:p>
      <w:pPr>
        <w:pStyle w:val="Heading1"/>
      </w:pPr>
      <w:r>
        <w:t xml:space="preserve">Что должно быть готово к 20 декабря</w:t>
      </w:r>
    </w:p>
    <w:p>
      <w:pPr>
        <w:pStyle w:val="Normal"/>
      </w:pPr>
      <w:r>
        <w:t xml:space="preserve">• Сайт и игра проверены на компьютере и реальном телефоне; текст, формулы и PDF отображаются корректно.</w:t>
      </w:r>
    </w:p>
    <w:p>
      <w:pPr>
        <w:pStyle w:val="Normal"/>
      </w:pPr>
      <w:r>
        <w:t xml:space="preserve">• Нет известных ошибок с потерей данных, нарушением доступа или блокировкой основного сценария.</w:t>
      </w:r>
    </w:p>
    <w:p>
      <w:pPr>
        <w:pStyle w:val="Normal"/>
      </w:pPr>
      <w:r>
        <w:t xml:space="preserve">• Готовы исходники, инструкция, тесты, обратная связь, записка, презентация и перечень ограничений.</w:t>
      </w:r>
    </w:p>
    <w:p>
      <w:pPr>
        <w:pStyle w:val="Normal"/>
      </w:pPr>
      <w:r>
        <w:t xml:space="preserve">• Есть резерв демонстрации: локальная игра, PDF и запись сценариев. Закрытые функции без сети не обещаются.</w:t>
      </w:r>
    </w:p>
    <w:p>
      <w:pPr>
        <w:pStyle w:val="Heading1"/>
      </w:pPr>
      <w:r>
        <w:t xml:space="preserve">Контроль выполнения</w:t>
      </w:r>
    </w:p>
    <w:p>
      <w:pPr>
        <w:pStyle w:val="Normal"/>
      </w:pPr>
      <w:r>
        <w:t xml:space="preserve">Автор ведёт работу; руководитель согласует объём и результаты. Еженедельно фиксируются статус, фактическая дата, ссылка на результат и следующий шаг. При задержке сокращается необязательная функция, а не проверка сохранений и доступа.</w:t>
      </w:r>
    </w:p>
    <w:p>
      <w:pPr>
        <w:pStyle w:val="Note"/>
      </w:pPr>
      <w:r>
        <w:t xml:space="preserve">Мессенджер и новые интеграции — за рамками обязательной версии. Сбои проверяются на тестовых данных; личные сведения не включаются в публичный отчёт. Все будущие результаты здесь — критерии приёмки, а не заявления о выполнении.</w:t>
      </w:r>
    </w:p>
    <w:p>
      <w:pPr>
        <w:pStyle w:val="Source"/>
      </w:pPr>
      <w:r>
        <w:t xml:space="preserve">Основа: постановка задачи от 21.09.2026, исходники и документация Almanion. Карта не устанавливает нормативные сроки лицея.</w:t>
      </w:r>
    </w:p>
    <w:sectPr>
      <w:footerReference w:type="default" r:id="rId2"/>
      <w:pgSz w:w="11906" w:h="16838"/>
      <w:pgMar w:top="907" w:right="964" w:bottom="964" w:left="1134" w:header="350" w:footer="400"/>
    </w:sectPr>
  </w:body>
</w:document>
</file>

<file path=word/footer1.xml><?xml version="1.0" encoding="utf-8"?>
<w:ftr xmlns:w="http://schemas.openxmlformats.org/wordprocessingml/2006/main">
  <w:p>
    <w:pPr>
      <w:pStyle w:val="Note"/>
    </w:pPr>
    <w:r>
      <w:t xml:space="preserve">Almanion · Дорожная карта проекта     </w:t>
    </w:r>
    <w:fldSimple w:instr="PAGE"/>
  </w:p>
</w:ftr>
</file>

<file path=word/styles.xml><?xml version="1.0" encoding="utf-8"?>
<w:styles xmlns:w="http://schemas.openxmlformats.org/wordprocessingml/2006/main">
  <w:style w:type="paragraph" w:styleId="Normal">
    <w:name w:val="Normal"/>
    <w:pPr>
      <w:spacing w:before="0" w:after="100" w:line="270" w:lineRule="auto"/>
    </w:pPr>
    <w:rPr>
      <w:rFonts w:ascii="Times New Roman" w:hAnsi="Times New Roman" w:cs="Times New Roman"/>
      <w:sz w:val="23"/>
      <w:color w:val="192332"/>
    </w:rPr>
  </w:style>
  <w:style w:type="paragraph" w:styleId="Label">
    <w:name w:val="Label"/>
    <w:pPr>
      <w:spacing w:before="0" w:after="130" w:line="270" w:lineRule="auto"/>
      <w:keepNext/>
    </w:pPr>
    <w:rPr>
      <w:rFonts w:ascii="Arial" w:hAnsi="Arial" w:cs="Arial"/>
      <w:sz w:val="16"/>
      <w:color w:val="535D77"/>
      <w:b/>
    </w:rPr>
  </w:style>
  <w:style w:type="paragraph" w:styleId="Title">
    <w:name w:val="Title"/>
    <w:pPr>
      <w:spacing w:before="0" w:after="150" w:line="270" w:lineRule="auto"/>
      <w:keepNext/>
    </w:pPr>
    <w:rPr>
      <w:rFonts w:ascii="Arial" w:hAnsi="Arial" w:cs="Arial"/>
      <w:sz w:val="46"/>
      <w:color w:val="25325A"/>
      <w:b/>
    </w:rPr>
  </w:style>
  <w:style w:type="paragraph" w:styleId="Subtitle">
    <w:name w:val="Subtitle"/>
    <w:pPr>
      <w:spacing w:before="0" w:after="130" w:line="270" w:lineRule="auto"/>
      <w:keepNext/>
    </w:pPr>
    <w:rPr>
      <w:rFonts w:ascii="Arial" w:hAnsi="Arial" w:cs="Arial"/>
      <w:sz w:val="24"/>
      <w:color w:val="192332"/>
    </w:rPr>
  </w:style>
  <w:style w:type="paragraph" w:styleId="Heading1">
    <w:name w:val="Heading1"/>
    <w:pPr>
      <w:spacing w:before="170" w:after="110" w:line="270" w:lineRule="auto"/>
      <w:keepNext/>
    </w:pPr>
    <w:rPr>
      <w:rFonts w:ascii="Arial" w:hAnsi="Arial" w:cs="Arial"/>
      <w:sz w:val="24"/>
      <w:color w:val="25325A"/>
      <w:b/>
    </w:rPr>
  </w:style>
  <w:style w:type="paragraph" w:styleId="Note">
    <w:name w:val="Note"/>
    <w:pPr>
      <w:spacing w:before="0" w:after="100" w:line="270" w:lineRule="auto"/>
    </w:pPr>
    <w:rPr>
      <w:rFonts w:ascii="Arial" w:hAnsi="Arial" w:cs="Arial"/>
      <w:sz w:val="18"/>
      <w:color w:val="586174"/>
    </w:rPr>
  </w:style>
  <w:style w:type="paragraph" w:styleId="Source">
    <w:name w:val="Source"/>
    <w:pPr>
      <w:spacing w:before="0" w:after="100" w:line="270" w:lineRule="auto"/>
    </w:pPr>
    <w:rPr>
      <w:rFonts w:ascii="Arial" w:hAnsi="Arial" w:cs="Arial"/>
      <w:sz w:val="16"/>
      <w:color w:val="586174"/>
    </w:rPr>
  </w:style>
  <w:style w:type="paragraph" w:styleId="Callout">
    <w:name w:val="Callout"/>
    <w:pPr>
      <w:spacing w:before="80" w:after="150" w:line="270" w:lineRule="auto"/>
    </w:pPr>
    <w:rPr>
      <w:rFonts w:ascii="Arial" w:hAnsi="Arial" w:cs="Arial"/>
      <w:sz w:val="20"/>
      <w:color w:val="344263"/>
      <w:b/>
    </w:rPr>
  </w:style>
  <w:style w:type="paragraph" w:styleId="TableHead">
    <w:name w:val="TableHead"/>
    <w:pPr>
      <w:spacing w:before="0" w:after="0" w:line="270" w:lineRule="auto"/>
    </w:pPr>
    <w:rPr>
      <w:rFonts w:ascii="Arial" w:hAnsi="Arial" w:cs="Arial"/>
      <w:sz w:val="18"/>
      <w:color w:val="25325A"/>
      <w:b/>
    </w:rPr>
  </w:style>
  <w:style w:type="paragraph" w:styleId="TableText">
    <w:name w:val="TableText"/>
    <w:pPr>
      <w:spacing w:before="0" w:after="0" w:line="270" w:lineRule="auto"/>
    </w:pPr>
    <w:rPr>
      <w:rFonts w:ascii="Times New Roman" w:hAnsi="Times New Roman" w:cs="Times New Roman"/>
      <w:sz w:val="21"/>
      <w:color w:val="192332"/>
    </w:rPr>
  </w:style>
</w:styles>
</file>

<file path=word/_rels/document.xml.rels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/Relationships>
</file>