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  <w:r>
        <w:rPr>
          <w:color w:val="4C5C68"/>
          <w:sz w:val="18"/>
        </w:rPr>
        <w:t>ИСКУССТВЕННЫЙ ИНТЕЛЛЕКТ И МАШИННОЕ ОБУЧЕНИЕ</w:t>
      </w:r>
    </w:p>
    <w:p>
      <w:pPr>
        <w:spacing w:after="280"/>
      </w:pPr>
      <w:r>
        <w:rPr>
          <w:b/>
          <w:color w:val="1C596A"/>
          <w:sz w:val="32"/>
        </w:rPr>
        <w:t>Кейс 1</w:t>
      </w:r>
    </w:p>
    <w:p>
      <w:pPr>
        <w:pStyle w:val="Title"/>
        <w:spacing w:after="480"/>
      </w:pPr>
      <w:r>
        <w:t>Анализ архивных показаний качества воздуха в Атырау, Актау и Актобе</w:t>
      </w:r>
    </w:p>
    <w:p>
      <w:r>
        <w:t>Преподаватель: Zhanar Oralbekova</w:t>
      </w:r>
    </w:p>
    <w:p>
      <w:r>
        <w:t>Редакция от 26 сентября 2026 года</w:t>
      </w:r>
    </w:p>
    <w:p>
      <w:pPr>
        <w:spacing w:before="560"/>
      </w:pPr>
      <w:r>
        <w:t>Данные, код, модели и результаты входят в исследовательский пакет. Происхождение данных и границы выводов указаны в отчёте.</w:t>
      </w:r>
    </w:p>
    <w:p>
      <w:pPr>
        <w:spacing w:before="320"/>
      </w:pPr>
      <w:r>
        <w:rPr>
          <w:color w:val="4C5C68"/>
          <w:sz w:val="18"/>
        </w:rPr>
        <w:t>Работа подготовлена с существенной ИИ-помощью. Подробности раскрыты в AI_USAGE_DISCLOSURE.md. Перед защитой студенту необходимо самостоятельно проверить расчёты и разобраться в методах.</w:t>
      </w:r>
    </w:p>
    <w:p>
      <w:r>
        <w:br w:type="page"/>
      </w:r>
    </w:p>
    <w:p>
      <w:r>
        <w:rPr>
          <w:b w:val="0"/>
        </w:rPr>
        <w:t>Исходный кейс №1. Assessment and Analysis of Air Pollution Levels in Major Cities of Kazakhstan.</w:t>
      </w:r>
    </w:p>
    <w:p>
      <w:r>
        <w:rPr>
          <w:b w:val="0"/>
        </w:rPr>
        <w:t>Курс: Artificial intelligence and machine learning. Assignment 1. Период анализа: 2022–2025. Статус: PARTIAL — вычислительное исследование завершено; экологическая интерпретация ограничена неразрешённой проверкой измерительных каналов.</w:t>
      </w:r>
    </w:p>
    <w:p>
      <w:pPr>
        <w:pStyle w:val="Heading1"/>
      </w:pPr>
      <w:r>
        <w:t>Аннотация</w:t>
      </w:r>
    </w:p>
    <w:p>
      <w:r>
        <w:rPr>
          <w:b w:val="0"/>
        </w:rPr>
        <w:t>Исследование сопоставляет фиксированные пункты наблюдений трёх городов западного Казахстана и проверяет, насколько метеорологические условия объясняют архивный показатель PM2.5. На 1124 общих пригодных датах средняя опубликованная PM2.5 на посту № 32 в Атырау составляет 54.298 мкг/м³. Это наибольшее значение среди выбранных станций, но не доказанный рейтинг загрязнения городов: PM2.5 превышает парную PM10 в 845 из 1209 суток. Дополнительный временной ML-эксперимент не показывает устойчивого выигрыша над простым средним. Его MAE на 304 сутках итоговой проверки равна 23.708 мкг/м³. Приоритетная рекомендация — восстановить проверяемую метрологическую цепочку, затем оценивать меры снижения воздействия. Все результаты рассчитаны по сохранённым CSV. Исходное вычисление: 25.09.2026; повторный научный аудит и редакция: 26.09.2026. Использованы реальные опубликованные измерительные записи, а не синтетические данные. Однако принадлежность записи архиву не подтверждает исправность канала: нужна независимая проверка калибровки. Работа выполнена с раскрываемой ИИ-помощью; авторские реквизиты студента не установлены и не выдуманы.</w:t>
      </w:r>
    </w:p>
    <w:p>
      <w:pPr>
        <w:pStyle w:val="Heading1"/>
      </w:pPr>
      <w:r>
        <w:t>1. Проблема и исследовательские вопросы</w:t>
      </w:r>
    </w:p>
    <w:p>
      <w:r>
        <w:rPr>
          <w:b w:val="0"/>
        </w:rPr>
        <w:t>В локальном экологическом анализе важно различать измеренную концентрацию, индекс качества воздуха и оценку воздействия на население. Здесь объект — суточное показание конкретной станции. Городская экспозиция, доли источников и медицинские исходы не наблюдаются. Поэтому работа отвечает на пять вопросов Task 1 на уровне доступного доказательства: какая выбранная станция имеет более высокие архивные показания; какие вещества чаще превышают сопоставимые ориентиры; что известно об источниках из литературы; меняются ли показания по сезонам; какие действия реалистичны в ближайшие 5–10 лет.</w:t>
      </w:r>
    </w:p>
    <w:p>
      <w:r>
        <w:rPr>
          <w:b w:val="0"/>
        </w:rPr>
        <w:t>Атырау — основной объект. Актау и Актобе добавлены из того же национального архива для единого происхождения и частоты. В каждом городе фиксируется один пункт, чтобы меняющийся состав сети не создавал ложный тренд. Такой дизайн улучшает временную сопоставимость и одновременно ограничивает пространственную: один пост не представляет все жилые районы. Число постов, отсутствующие параметры и различия полноты рассматриваются как часть результата, а не скрываются.</w:t>
      </w:r>
    </w:p>
    <w:p>
      <w:pPr>
        <w:pStyle w:val="Heading1"/>
      </w:pPr>
      <w:r>
        <w:t>2. Обзор первоисточников</w:t>
      </w:r>
    </w:p>
    <w:p>
      <w:r>
        <w:rPr>
          <w:b w:val="0"/>
        </w:rPr>
        <w:t>Казгидромет описывает наблюдения в промышленной зоне Атырау и перечень контролируемых примесей [3]. Это подтверждает существование мониторинга, но не является доказательством доступности длинного почасового архива. Для эмпирического анализа выбран открытый архив AirData.kz, который публикует значения с исходными единицами и документацией очистки [1, 2]. Бюро национальной статистики публикует годовые индикаторы [4]; они подходят для широкого контекста, но не заменяют суточные записи.</w:t>
      </w:r>
    </w:p>
    <w:p>
      <w:r>
        <w:rPr>
          <w:b w:val="0"/>
        </w:rPr>
        <w:t>Исследование Yessenamanova и соавторов использовало мониторинг H₂S в Атырау за ограниченный период 2020 года [10]. Его пространственная неоднородность обосновывает необходимость нескольких станций. При этом заключение статьи прямо признаёт неопределённость источника отдельных выбросов; переносить результат на наши годы или рассчитывать долю АНПЗ по корреляции нельзя. Региональная инвентаризация за 2018–2022 годы отдельно рассматривает стационарные источники, автотранспорт и отопление [9]. Это основание обсуждать соответствующие направления политики, но областной инвентаризационный объём выбросов не равен концентрации в точке.</w:t>
      </w:r>
    </w:p>
    <w:p>
      <w:r>
        <w:rPr>
          <w:b w:val="0"/>
        </w:rPr>
        <w:t>ВОЗ 2021 задаёт ориентиры концентраций и времени усреднения [5, 6]. Они не являются юридически обязательными стандартами. Национальный приказ № ҚР ДСМ-70 содержит отдельные среднесуточные и максимально разовые ПДК [7]. В работе выполняется описательное сопоставление с текущей прочитанной редакцией; ретроспективная квалификация правонарушений не проводится.</w:t>
      </w:r>
    </w:p>
    <w:p>
      <w:r>
        <w:rPr>
          <w:b w:val="0"/>
        </w:rPr>
        <w:t>Сопоставление этих источников определяет дизайн исследования. Инвентаризация описывает массу выбросов и категории объектов, станционные ряды — концентрацию после переноса и рассеивания, а рекомендации ВОЗ — ориентиры воздействия. Эти три уровня нельзя подменять друг другом. Поэтому здесь не рассчитываются проценты вклада завода и транспорта: для них потребовались бы совместимые сведения о выбросах, химическом составе и переносе примесей. Исследование H₂S в Атырау охватывало 32 дня с сентября по октябрь 2020 года и восемь пунктов [10]; оно полезно как пример пространственного дизайна, но не подтверждает сезонность PM2.5 в 2022–2025 годах.</w:t>
      </w:r>
    </w:p>
    <w:p>
      <w:r>
        <w:rPr>
          <w:b w:val="0"/>
        </w:rPr>
        <w:t>Пробел, который закрывает настоящая работа, — проверяемое соединение архивных записей, полноты и простых моделей в одной локальной задаче. При этом документация набора [2] описывает ретроспективные фильтры, а не протокол поверки каждого датчика. Поэтому воспроизводимость вычислений рассматривается отдельно от экологической достоверности. Отрицательный результат модели и обнаруженное противоречие каналов имеют самостоятельное исследовательское значение: они указывают, какие доказательства нужны до содержательной интерпретации показаний.</w:t>
      </w:r>
    </w:p>
    <w:p>
      <w:pPr>
        <w:pStyle w:val="Heading1"/>
      </w:pPr>
      <w:r>
        <w:t>3. Происхождение и проверка данных</w:t>
      </w:r>
    </w:p>
    <w:p>
      <w:r>
        <w:rPr>
          <w:b w:val="0"/>
        </w:rPr>
        <w:t>Зафиксирован commit AirData.kz 0fe9a615baf614346e282796f685ce72b852187f. Для семи загрязнителей получены полные gzip-архивы; SHA-256 и URL сохранены в results/download_manifest.csv. Исходное наблюдение — запись станции за час. После фильтрации трёх городов, периода и проверки конечности значений сохранено 1054818 записей по всем доступным станциям и веществам. Значения mg/m³ проверены против value_ugm3=raw_value×1000. Собственная проверка не выявила несовпадений пересчёта, отрицательных значений или дубликатов station_id–time; это ожидаемо для уже очищенного поставщиком архива и не означает, что приборы исправны.</w:t>
      </w:r>
    </w:p>
    <w:p>
      <w:r>
        <w:rPr>
          <w:b w:val="0"/>
        </w:rPr>
        <w:t>Пост № 32 в Атырау обозначен PCP #8 и имеет координаты 47.096617, 51.942701. Сравниваемые станции — Актау, пост № 22 и Актобе, пост № 31. Строки времени содержат явные смещения −07/−08 несмотря на название datetime_utc: код сохраняет абсолютный момент по указанному offset, затем переводит в Asia/Atyrau (UTC+5). Смысл этих исходных смещений нуждается в подтверждении поставщика. Исходные строки не переписываются под желаемую локальную дату.</w:t>
      </w:r>
    </w:p>
    <w:p>
      <w:r>
        <w:rPr>
          <w:b w:val="0"/>
        </w:rPr>
        <w:t>Погода получена отдельно из ERA5 через Open-Meteo для точки Атырау, пост № 32: температура, относительная влажность, ветер и осадки [8]. Это пространственный реанализ, а не датчик на станции. Он используется только в одновременной объяснительной задаче; здесь не делается предположение о доступности реанализа в реальном времени.</w:t>
      </w:r>
    </w:p>
    <w:p>
      <w:pPr>
        <w:keepNext/>
        <w:spacing w:after="100"/>
      </w:pPr>
      <w:r>
        <w:rPr>
          <w:b/>
          <w:sz w:val="18"/>
        </w:rPr>
        <w:t>Таблица 1. Полнота суточной PM2.5 Атырау, пост № 32. Условие пригодности — минимум 18 уникальных часов из 24.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2976"/>
        <w:gridCol w:w="3373"/>
        <w:gridCol w:w="1587"/>
      </w:tblGrid>
      <w:tr>
        <w:trPr>
          <w:cantSplit/>
          <w:tblHeader/>
        </w:trPr>
        <w:tc>
          <w:tcPr>
            <w:tcW w:type="dxa" w:w="1587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Год</w:t>
            </w:r>
          </w:p>
        </w:tc>
        <w:tc>
          <w:tcPr>
            <w:tcW w:type="dxa" w:w="2976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Пригодные сутки</w:t>
            </w:r>
          </w:p>
        </w:tc>
        <w:tc>
          <w:tcPr>
            <w:tcW w:type="dxa" w:w="3373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Календарные сутки</w:t>
            </w:r>
          </w:p>
        </w:tc>
        <w:tc>
          <w:tcPr>
            <w:tcW w:type="dxa" w:w="1587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Полнота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2022</w:t>
            </w:r>
          </w:p>
        </w:tc>
        <w:tc>
          <w:tcPr>
            <w:tcW w:type="dxa" w:w="297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338</w:t>
            </w:r>
          </w:p>
        </w:tc>
        <w:tc>
          <w:tcPr>
            <w:tcW w:type="dxa" w:w="3373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365</w:t>
            </w:r>
          </w:p>
        </w:tc>
        <w:tc>
          <w:tcPr>
            <w:tcW w:type="dxa" w:w="158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92.6%</w:t>
            </w:r>
          </w:p>
        </w:tc>
      </w:tr>
      <w:tr>
        <w:trPr>
          <w:cantSplit/>
        </w:trPr>
        <w:tc>
          <w:tcPr>
            <w:tcW w:type="dxa" w:w="1587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2023</w:t>
            </w:r>
          </w:p>
        </w:tc>
        <w:tc>
          <w:tcPr>
            <w:tcW w:type="dxa" w:w="2976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356</w:t>
            </w:r>
          </w:p>
        </w:tc>
        <w:tc>
          <w:tcPr>
            <w:tcW w:type="dxa" w:w="3373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365</w:t>
            </w:r>
          </w:p>
        </w:tc>
        <w:tc>
          <w:tcPr>
            <w:tcW w:type="dxa" w:w="1587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97.5%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2024</w:t>
            </w:r>
          </w:p>
        </w:tc>
        <w:tc>
          <w:tcPr>
            <w:tcW w:type="dxa" w:w="297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211</w:t>
            </w:r>
          </w:p>
        </w:tc>
        <w:tc>
          <w:tcPr>
            <w:tcW w:type="dxa" w:w="3373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366</w:t>
            </w:r>
          </w:p>
        </w:tc>
        <w:tc>
          <w:tcPr>
            <w:tcW w:type="dxa" w:w="158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57.7%</w:t>
            </w:r>
          </w:p>
        </w:tc>
      </w:tr>
      <w:tr>
        <w:trPr>
          <w:cantSplit/>
        </w:trPr>
        <w:tc>
          <w:tcPr>
            <w:tcW w:type="dxa" w:w="1587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2025</w:t>
            </w:r>
          </w:p>
        </w:tc>
        <w:tc>
          <w:tcPr>
            <w:tcW w:type="dxa" w:w="2976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304</w:t>
            </w:r>
          </w:p>
        </w:tc>
        <w:tc>
          <w:tcPr>
            <w:tcW w:type="dxa" w:w="3373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365</w:t>
            </w:r>
          </w:p>
        </w:tc>
        <w:tc>
          <w:tcPr>
            <w:tcW w:type="dxa" w:w="1587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83.3%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10628" cy="3337560"/>
            <wp:docPr id="1" name="Picture 1" descr="cove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0628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200"/>
      </w:pPr>
      <w:r>
        <w:rPr>
          <w:b/>
          <w:i w:val="0"/>
          <w:sz w:val="18"/>
        </w:rPr>
        <w:t>Рисунок 1. Полнота выбранных станций</w:t>
      </w:r>
    </w:p>
    <w:p>
      <w:r>
        <w:rPr>
          <w:b w:val="0"/>
        </w:rPr>
        <w:t>Из 1461 календарных суток Атырау пригодны 1209; 252 отсутствуют или неполны. Особенно разрежен 2024 год. Пропуски не превращены в нули и не заполнены для оценки. Фильтр 18 часов — аналитическое правило полноты, а не утверждение о выполнении всех требований государственного мониторинга.</w:t>
      </w:r>
    </w:p>
    <w:p>
      <w:pPr>
        <w:pStyle w:val="Heading1"/>
      </w:pPr>
      <w:r>
        <w:t>4. Методология и контроль качества</w:t>
      </w:r>
    </w:p>
    <w:p>
      <w:r>
        <w:rPr>
          <w:b w:val="0"/>
        </w:rPr>
        <w:t>Для каждой пары станция–вещество рассчитана средняя доступных часов суток; при недостатке часов целевая величина остаётся пропущенной. Межгородское сравнение PM2.5 ограничено пересечением пригодных дат. Анализ каждого вещества использует собственный явно указанный знаменатель. Рассчитываются распределения, месячные средние, сезонные таблицы и ранговая корреляция Spearman с погодой. Графики не соединяют искусственно восстановленные целевые метки.</w:t>
      </w:r>
    </w:p>
    <w:p>
      <w:r>
        <w:rPr>
          <w:b w:val="0"/>
        </w:rPr>
        <w:t>Критическая дополнительная проверка сопоставляет вложенные фракции частиц. На посту № 32 в Атырау PM2.5 больше PM10 в 845 из 1209 парных суток (69.9%); в 280 случаях разница превышает 20%. Неодинаковые приборы и ошибки измерений могут давать отдельные несоответствия, однако столь частое расхождение требует проверки маркировки каналов, единиц и калибровки. На посту № 31 в Актобе отмечена необычно малая вариативность PM2.5. Значения не исправлены произвольным коэффициентом, а дни не исключены ради красивого рейтинга.</w:t>
      </w:r>
    </w:p>
    <w:p>
      <w:r>
        <w:rPr>
          <w:b w:val="0"/>
        </w:rPr>
        <w:t>Объяснительная модель оценивает PM2.5 того же дня по ERA5 и циклическому календарю. Обучение — 2022–2023, валидация — 2024, итоговая проверка — 2025. Ridge выбирается из alpha=0.1,1,10; Random Forest — 200 деревьев, глубина 8, минимальный лист 3 или 10. Критерий выбора — MAE на валидации. Медиана для заполнения признаков и StandardScaler обучаются только на обучающей части. После выбора выполняется повторное обучение на обучающей и валидационной частях. Простое среднее обучающего периода является обязательным контрольным ориентиром. Все метрики итоговой проверки рассчитываются по одним датам. Это не прогноз будущего — для него выделен отдельный кейс №10.</w:t>
      </w:r>
    </w:p>
    <w:p>
      <w:pPr>
        <w:pStyle w:val="Heading1"/>
      </w:pPr>
      <w:r>
        <w:t>5. Результаты: сравнение станций и веществ</w:t>
      </w:r>
    </w:p>
    <w:p>
      <w:pPr>
        <w:keepNext/>
        <w:spacing w:after="100"/>
      </w:pPr>
      <w:r>
        <w:rPr>
          <w:b/>
          <w:sz w:val="18"/>
        </w:rPr>
        <w:t>Таблица 2. PM2.5 на общих пригодных датах. Среднее и медиана — мкг/м³. Последние столбцы показывают число и долю суток выше суточного ориентира ВОЗ 15 мкг/м³.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2381"/>
        <w:gridCol w:w="1701"/>
      </w:tblGrid>
      <w:tr>
        <w:trPr>
          <w:cantSplit/>
          <w:tblHeader/>
        </w:trPr>
        <w:tc>
          <w:tcPr>
            <w:tcW w:type="dxa" w:w="1361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Город</w:t>
            </w:r>
          </w:p>
        </w:tc>
        <w:tc>
          <w:tcPr>
            <w:tcW w:type="dxa" w:w="1361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Сутки</w:t>
            </w:r>
          </w:p>
        </w:tc>
        <w:tc>
          <w:tcPr>
            <w:tcW w:type="dxa" w:w="1361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Среднее</w:t>
            </w:r>
          </w:p>
        </w:tc>
        <w:tc>
          <w:tcPr>
            <w:tcW w:type="dxa" w:w="1361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Медиана</w:t>
            </w:r>
          </w:p>
        </w:tc>
        <w:tc>
          <w:tcPr>
            <w:tcW w:type="dxa" w:w="2381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Выше 15: сутки</w:t>
            </w:r>
          </w:p>
        </w:tc>
        <w:tc>
          <w:tcPr>
            <w:tcW w:type="dxa" w:w="1701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Выше 15: %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Актау</w:t>
            </w:r>
          </w:p>
        </w:tc>
        <w:tc>
          <w:tcPr>
            <w:tcW w:type="dxa" w:w="136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1124</w:t>
            </w:r>
          </w:p>
        </w:tc>
        <w:tc>
          <w:tcPr>
            <w:tcW w:type="dxa" w:w="136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2.359</w:t>
            </w:r>
          </w:p>
        </w:tc>
        <w:tc>
          <w:tcPr>
            <w:tcW w:type="dxa" w:w="136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1.253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13</w:t>
            </w:r>
          </w:p>
        </w:tc>
        <w:tc>
          <w:tcPr>
            <w:tcW w:type="dxa" w:w="170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1.157</w:t>
            </w:r>
          </w:p>
        </w:tc>
      </w:tr>
      <w:tr>
        <w:trPr>
          <w:cantSplit/>
        </w:trPr>
        <w:tc>
          <w:tcPr>
            <w:tcW w:type="dxa" w:w="136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Актобе</w:t>
            </w:r>
          </w:p>
        </w:tc>
        <w:tc>
          <w:tcPr>
            <w:tcW w:type="dxa" w:w="136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1124</w:t>
            </w:r>
          </w:p>
        </w:tc>
        <w:tc>
          <w:tcPr>
            <w:tcW w:type="dxa" w:w="136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1.459</w:t>
            </w:r>
          </w:p>
        </w:tc>
        <w:tc>
          <w:tcPr>
            <w:tcW w:type="dxa" w:w="136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1.449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0</w:t>
            </w:r>
          </w:p>
        </w:tc>
        <w:tc>
          <w:tcPr>
            <w:tcW w:type="dxa" w:w="170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Атырау</w:t>
            </w:r>
          </w:p>
        </w:tc>
        <w:tc>
          <w:tcPr>
            <w:tcW w:type="dxa" w:w="136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1124</w:t>
            </w:r>
          </w:p>
        </w:tc>
        <w:tc>
          <w:tcPr>
            <w:tcW w:type="dxa" w:w="136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54.298</w:t>
            </w:r>
          </w:p>
        </w:tc>
        <w:tc>
          <w:tcPr>
            <w:tcW w:type="dxa" w:w="136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54.507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1093</w:t>
            </w:r>
          </w:p>
        </w:tc>
        <w:tc>
          <w:tcPr>
            <w:tcW w:type="dxa" w:w="170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97.242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295665"/>
            <wp:docPr id="2" name="Picture 2" descr="city 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5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200"/>
      </w:pPr>
      <w:r>
        <w:rPr>
          <w:b/>
          <w:i w:val="0"/>
          <w:sz w:val="18"/>
        </w:rPr>
        <w:t>Рисунок 2. Сопоставление архивных показаний</w:t>
      </w:r>
    </w:p>
    <w:p>
      <w:r>
        <w:rPr>
          <w:b w:val="0"/>
        </w:rPr>
        <w:t>Ответ на вопрос о наиболее загрязнённом городе ограничен: в скачанном архиве выше показатель Атырау, пост № 32. На основании проверки фракций нельзя надёжно превратить это в вывод о наиболее загрязнённом городе Казахстана или даже реальном ранге экспозиции этих трёх городов. Отсутствие превышений на другом посту также не доказывает безопасность воздуха в городе.</w:t>
      </w:r>
    </w:p>
    <w:p>
      <w:pPr>
        <w:keepNext/>
        <w:spacing w:after="100"/>
      </w:pPr>
      <w:r>
        <w:rPr>
          <w:b/>
          <w:sz w:val="18"/>
        </w:rPr>
        <w:t>Таблица 3. Атырау, пост № 32: суточные ориентиры ВОЗ и отдельные знаменатели по веществам.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14"/>
        <w:gridCol w:w="2627"/>
        <w:gridCol w:w="2463"/>
        <w:gridCol w:w="1806"/>
        <w:gridCol w:w="1314"/>
      </w:tblGrid>
      <w:tr>
        <w:trPr>
          <w:cantSplit/>
          <w:tblHeader/>
        </w:trPr>
        <w:tc>
          <w:tcPr>
            <w:tcW w:type="dxa" w:w="1314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Вещество</w:t>
            </w:r>
          </w:p>
        </w:tc>
        <w:tc>
          <w:tcPr>
            <w:tcW w:type="dxa" w:w="2627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Ориентир, мкг/м³</w:t>
            </w:r>
          </w:p>
        </w:tc>
        <w:tc>
          <w:tcPr>
            <w:tcW w:type="dxa" w:w="2463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Пригодные сутки</w:t>
            </w:r>
          </w:p>
        </w:tc>
        <w:tc>
          <w:tcPr>
            <w:tcW w:type="dxa" w:w="1806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Выше: сутки</w:t>
            </w:r>
          </w:p>
        </w:tc>
        <w:tc>
          <w:tcPr>
            <w:tcW w:type="dxa" w:w="1314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Выше: %</w:t>
            </w:r>
          </w:p>
        </w:tc>
      </w:tr>
      <w:tr>
        <w:trPr>
          <w:cantSplit/>
        </w:trPr>
        <w:tc>
          <w:tcPr>
            <w:tcW w:type="dxa" w:w="131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CO</w:t>
            </w:r>
          </w:p>
        </w:tc>
        <w:tc>
          <w:tcPr>
            <w:tcW w:type="dxa" w:w="262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4000.000</w:t>
            </w:r>
          </w:p>
        </w:tc>
        <w:tc>
          <w:tcPr>
            <w:tcW w:type="dxa" w:w="2463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1208</w:t>
            </w:r>
          </w:p>
        </w:tc>
        <w:tc>
          <w:tcPr>
            <w:tcW w:type="dxa" w:w="180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0</w:t>
            </w:r>
          </w:p>
        </w:tc>
        <w:tc>
          <w:tcPr>
            <w:tcW w:type="dxa" w:w="131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314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NO₂</w:t>
            </w:r>
          </w:p>
        </w:tc>
        <w:tc>
          <w:tcPr>
            <w:tcW w:type="dxa" w:w="2627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25.000</w:t>
            </w:r>
          </w:p>
        </w:tc>
        <w:tc>
          <w:tcPr>
            <w:tcW w:type="dxa" w:w="2463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1012</w:t>
            </w:r>
          </w:p>
        </w:tc>
        <w:tc>
          <w:tcPr>
            <w:tcW w:type="dxa" w:w="1806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5</w:t>
            </w:r>
          </w:p>
        </w:tc>
        <w:tc>
          <w:tcPr>
            <w:tcW w:type="dxa" w:w="1314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0.494</w:t>
            </w:r>
          </w:p>
        </w:tc>
      </w:tr>
      <w:tr>
        <w:trPr>
          <w:cantSplit/>
        </w:trPr>
        <w:tc>
          <w:tcPr>
            <w:tcW w:type="dxa" w:w="131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PM10</w:t>
            </w:r>
          </w:p>
        </w:tc>
        <w:tc>
          <w:tcPr>
            <w:tcW w:type="dxa" w:w="262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45.000</w:t>
            </w:r>
          </w:p>
        </w:tc>
        <w:tc>
          <w:tcPr>
            <w:tcW w:type="dxa" w:w="2463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1209</w:t>
            </w:r>
          </w:p>
        </w:tc>
        <w:tc>
          <w:tcPr>
            <w:tcW w:type="dxa" w:w="180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751</w:t>
            </w:r>
          </w:p>
        </w:tc>
        <w:tc>
          <w:tcPr>
            <w:tcW w:type="dxa" w:w="131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62.117</w:t>
            </w:r>
          </w:p>
        </w:tc>
      </w:tr>
      <w:tr>
        <w:trPr>
          <w:cantSplit/>
        </w:trPr>
        <w:tc>
          <w:tcPr>
            <w:tcW w:type="dxa" w:w="1314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PM2.5</w:t>
            </w:r>
          </w:p>
        </w:tc>
        <w:tc>
          <w:tcPr>
            <w:tcW w:type="dxa" w:w="2627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15.000</w:t>
            </w:r>
          </w:p>
        </w:tc>
        <w:tc>
          <w:tcPr>
            <w:tcW w:type="dxa" w:w="2463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1209</w:t>
            </w:r>
          </w:p>
        </w:tc>
        <w:tc>
          <w:tcPr>
            <w:tcW w:type="dxa" w:w="1806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1176</w:t>
            </w:r>
          </w:p>
        </w:tc>
        <w:tc>
          <w:tcPr>
            <w:tcW w:type="dxa" w:w="1314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97.270</w:t>
            </w:r>
          </w:p>
        </w:tc>
      </w:tr>
      <w:tr>
        <w:trPr>
          <w:cantSplit/>
        </w:trPr>
        <w:tc>
          <w:tcPr>
            <w:tcW w:type="dxa" w:w="131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SO₂</w:t>
            </w:r>
          </w:p>
        </w:tc>
        <w:tc>
          <w:tcPr>
            <w:tcW w:type="dxa" w:w="262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40.000</w:t>
            </w:r>
          </w:p>
        </w:tc>
        <w:tc>
          <w:tcPr>
            <w:tcW w:type="dxa" w:w="2463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529</w:t>
            </w:r>
          </w:p>
        </w:tc>
        <w:tc>
          <w:tcPr>
            <w:tcW w:type="dxa" w:w="180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11</w:t>
            </w:r>
          </w:p>
        </w:tc>
        <w:tc>
          <w:tcPr>
            <w:tcW w:type="dxa" w:w="131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2.079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880874"/>
            <wp:docPr id="3" name="Picture 3" descr="pollutant exceed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lutant_exceed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80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200"/>
      </w:pPr>
      <w:r>
        <w:rPr>
          <w:b/>
          <w:i w:val="0"/>
          <w:sz w:val="18"/>
        </w:rPr>
        <w:t>Рисунок 3. Частота превышения ориентиров ВОЗ</w:t>
      </w:r>
    </w:p>
    <w:p>
      <w:r>
        <w:rPr>
          <w:b w:val="0"/>
        </w:rPr>
        <w:t>Частоту превышения можно использовать для первичного отбора каналов на проверку. Нельзя ранжировать токсичность просто по числу микрограммов. Для H₂S и O₃ достаточного сопоставимого суточного ряда выбранного поста нет; суточный ВОЗ-порог для H₂S не выдуман, а восьмичасовой критерий O₃ не приложен к суточным средним. ВОЗ суточный уровень соответствует 99-му процентилю распределения; простая доля дней выше него — описательная статистика, не самостоятельная процедура сертификации соответствия.</w:t>
      </w:r>
    </w:p>
    <w:p>
      <w:pPr>
        <w:keepNext/>
        <w:spacing w:after="100"/>
      </w:pPr>
      <w:r>
        <w:rPr>
          <w:b/>
          <w:sz w:val="18"/>
        </w:rPr>
        <w:t>Таблица 4. Сопоставление с национальными среднесуточными величинами из текущей прочитанной редакции № ҚР ДСМ-70. Единицы переведены из mg/m³ в мкг/м³; не используются максимально разовые значения.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14"/>
        <w:gridCol w:w="2627"/>
        <w:gridCol w:w="2463"/>
        <w:gridCol w:w="1806"/>
        <w:gridCol w:w="1314"/>
      </w:tblGrid>
      <w:tr>
        <w:trPr>
          <w:cantSplit/>
          <w:tblHeader/>
        </w:trPr>
        <w:tc>
          <w:tcPr>
            <w:tcW w:type="dxa" w:w="1314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Вещество</w:t>
            </w:r>
          </w:p>
        </w:tc>
        <w:tc>
          <w:tcPr>
            <w:tcW w:type="dxa" w:w="2627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Ориентир, мкг/м³</w:t>
            </w:r>
          </w:p>
        </w:tc>
        <w:tc>
          <w:tcPr>
            <w:tcW w:type="dxa" w:w="2463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Пригодные сутки</w:t>
            </w:r>
          </w:p>
        </w:tc>
        <w:tc>
          <w:tcPr>
            <w:tcW w:type="dxa" w:w="1806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Выше: сутки</w:t>
            </w:r>
          </w:p>
        </w:tc>
        <w:tc>
          <w:tcPr>
            <w:tcW w:type="dxa" w:w="1314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Выше: %</w:t>
            </w:r>
          </w:p>
        </w:tc>
      </w:tr>
      <w:tr>
        <w:trPr>
          <w:cantSplit/>
        </w:trPr>
        <w:tc>
          <w:tcPr>
            <w:tcW w:type="dxa" w:w="131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CO</w:t>
            </w:r>
          </w:p>
        </w:tc>
        <w:tc>
          <w:tcPr>
            <w:tcW w:type="dxa" w:w="262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3000.000</w:t>
            </w:r>
          </w:p>
        </w:tc>
        <w:tc>
          <w:tcPr>
            <w:tcW w:type="dxa" w:w="2463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1208</w:t>
            </w:r>
          </w:p>
        </w:tc>
        <w:tc>
          <w:tcPr>
            <w:tcW w:type="dxa" w:w="180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0</w:t>
            </w:r>
          </w:p>
        </w:tc>
        <w:tc>
          <w:tcPr>
            <w:tcW w:type="dxa" w:w="131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314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NO₂</w:t>
            </w:r>
          </w:p>
        </w:tc>
        <w:tc>
          <w:tcPr>
            <w:tcW w:type="dxa" w:w="2627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40.000</w:t>
            </w:r>
          </w:p>
        </w:tc>
        <w:tc>
          <w:tcPr>
            <w:tcW w:type="dxa" w:w="2463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1012</w:t>
            </w:r>
          </w:p>
        </w:tc>
        <w:tc>
          <w:tcPr>
            <w:tcW w:type="dxa" w:w="1806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</w:t>
            </w:r>
          </w:p>
        </w:tc>
        <w:tc>
          <w:tcPr>
            <w:tcW w:type="dxa" w:w="1314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0.296</w:t>
            </w:r>
          </w:p>
        </w:tc>
      </w:tr>
      <w:tr>
        <w:trPr>
          <w:cantSplit/>
        </w:trPr>
        <w:tc>
          <w:tcPr>
            <w:tcW w:type="dxa" w:w="131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PM10</w:t>
            </w:r>
          </w:p>
        </w:tc>
        <w:tc>
          <w:tcPr>
            <w:tcW w:type="dxa" w:w="262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60.000</w:t>
            </w:r>
          </w:p>
        </w:tc>
        <w:tc>
          <w:tcPr>
            <w:tcW w:type="dxa" w:w="2463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1209</w:t>
            </w:r>
          </w:p>
        </w:tc>
        <w:tc>
          <w:tcPr>
            <w:tcW w:type="dxa" w:w="180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451</w:t>
            </w:r>
          </w:p>
        </w:tc>
        <w:tc>
          <w:tcPr>
            <w:tcW w:type="dxa" w:w="131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37.304</w:t>
            </w:r>
          </w:p>
        </w:tc>
      </w:tr>
      <w:tr>
        <w:trPr>
          <w:cantSplit/>
        </w:trPr>
        <w:tc>
          <w:tcPr>
            <w:tcW w:type="dxa" w:w="1314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PM2.5</w:t>
            </w:r>
          </w:p>
        </w:tc>
        <w:tc>
          <w:tcPr>
            <w:tcW w:type="dxa" w:w="2627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35.000</w:t>
            </w:r>
          </w:p>
        </w:tc>
        <w:tc>
          <w:tcPr>
            <w:tcW w:type="dxa" w:w="2463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1209</w:t>
            </w:r>
          </w:p>
        </w:tc>
        <w:tc>
          <w:tcPr>
            <w:tcW w:type="dxa" w:w="1806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1054</w:t>
            </w:r>
          </w:p>
        </w:tc>
        <w:tc>
          <w:tcPr>
            <w:tcW w:type="dxa" w:w="1314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87.179</w:t>
            </w:r>
          </w:p>
        </w:tc>
      </w:tr>
      <w:tr>
        <w:trPr>
          <w:cantSplit/>
        </w:trPr>
        <w:tc>
          <w:tcPr>
            <w:tcW w:type="dxa" w:w="131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SO₂</w:t>
            </w:r>
          </w:p>
        </w:tc>
        <w:tc>
          <w:tcPr>
            <w:tcW w:type="dxa" w:w="262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50.000</w:t>
            </w:r>
          </w:p>
        </w:tc>
        <w:tc>
          <w:tcPr>
            <w:tcW w:type="dxa" w:w="2463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529</w:t>
            </w:r>
          </w:p>
        </w:tc>
        <w:tc>
          <w:tcPr>
            <w:tcW w:type="dxa" w:w="180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7</w:t>
            </w:r>
          </w:p>
        </w:tc>
        <w:tc>
          <w:tcPr>
            <w:tcW w:type="dxa" w:w="131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1.323</w:t>
            </w:r>
          </w:p>
        </w:tc>
      </w:tr>
    </w:tbl>
    <w:p>
      <w:pPr>
        <w:spacing w:after="60"/>
      </w:pPr>
    </w:p>
    <w:p>
      <w:pPr>
        <w:pStyle w:val="Heading1"/>
      </w:pPr>
      <w:r>
        <w:t>6. Время, сезоны и метеоусловия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310583"/>
            <wp:docPr id="4" name="Picture 4" descr="monthly mea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mea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200"/>
      </w:pPr>
      <w:r>
        <w:rPr>
          <w:b/>
          <w:i w:val="0"/>
          <w:sz w:val="18"/>
        </w:rPr>
        <w:t>Рисунок 4. Месячные средние по пригодным суткам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397270"/>
            <wp:docPr id="5" name="Picture 5" descr="seasonal heat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sonal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7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200"/>
      </w:pPr>
      <w:r>
        <w:rPr>
          <w:b/>
          <w:i w:val="0"/>
          <w:sz w:val="18"/>
        </w:rPr>
        <w:t>Рисунок 5. Атырау, пост № 32: сезонная структура по годам</w:t>
      </w:r>
    </w:p>
    <w:p>
      <w:pPr>
        <w:keepNext/>
        <w:spacing w:after="100"/>
      </w:pPr>
      <w:r>
        <w:rPr>
          <w:b/>
          <w:sz w:val="18"/>
        </w:rPr>
        <w:t>Таблица 5. Сезонные значения PM2.5 Атырау, пост № 32, мкг/м³; n — наблюдаемые пригодные сутки.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2381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Год</w:t>
            </w:r>
          </w:p>
        </w:tc>
        <w:tc>
          <w:tcPr>
            <w:tcW w:type="dxa" w:w="2381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Сезон</w:t>
            </w:r>
          </w:p>
        </w:tc>
        <w:tc>
          <w:tcPr>
            <w:tcW w:type="dxa" w:w="2381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Сутки</w:t>
            </w:r>
          </w:p>
        </w:tc>
        <w:tc>
          <w:tcPr>
            <w:tcW w:type="dxa" w:w="2381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Среднее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2022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Весна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88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67.987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2022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Зима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80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74.553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2022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Лето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83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76.688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2022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Осень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87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74.952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2023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Весна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87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59.183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2023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Зима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87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61.458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2023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Лето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92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59.546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2023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Осень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90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61.629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2024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Весна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92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33.369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2024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Зима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60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46.352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2024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Лето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21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39.670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2024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Осень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38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48.929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2025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Весна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91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43.993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2025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Зима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60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31.492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2025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Лето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92</w:t>
            </w:r>
          </w:p>
        </w:tc>
        <w:tc>
          <w:tcPr>
            <w:tcW w:type="dxa" w:w="238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37.831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2025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Осень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61</w:t>
            </w:r>
          </w:p>
        </w:tc>
        <w:tc>
          <w:tcPr>
            <w:tcW w:type="dxa" w:w="238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30.618</w:t>
            </w:r>
          </w:p>
        </w:tc>
      </w:tr>
    </w:tbl>
    <w:p>
      <w:pPr>
        <w:spacing w:after="60"/>
      </w:pPr>
    </w:p>
    <w:p>
      <w:r>
        <w:rPr>
          <w:b w:val="0"/>
        </w:rPr>
        <w:t>Единого устойчивого зимнего максимума во все годы эта таблица не подтверждает. Межгодовые уровни меняются, часть сезонных клеток имеет заметно меньше наблюдений. Поэтому разделение на календарные сезоны здесь описательное: полноценную сезонную декомпозицию с заполненными пробелами нельзя интерпретировать как наблюдаемую ежегодную закономерность. Наблюдаемый спад не приписывается конкретной экологической политике: могут влиять калибровка, изменение канала, отбор провайдером и пропуски.</w:t>
      </w:r>
    </w:p>
    <w:p>
      <w:r>
        <w:rPr>
          <w:b w:val="0"/>
        </w:rPr>
        <w:t>Spearman(PM2.5, температура)=-0.033; с ветром — 0.028; с влажностью — 0.034. В текущей выборке это слабые монотонные связи. Нулевая агрегированная связь не исключает отдельных метеорологических эпизодов и тем более не доказывает отсутствие выбросов.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302812"/>
            <wp:docPr id="6" name="Picture 6" descr="weather associ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associ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200"/>
      </w:pPr>
      <w:r>
        <w:rPr>
          <w:b/>
          <w:i w:val="0"/>
          <w:sz w:val="18"/>
        </w:rPr>
        <w:t>Рисунок 6. Одновременные метеорологические ассоциации</w:t>
      </w:r>
    </w:p>
    <w:p>
      <w:pPr>
        <w:pStyle w:val="Heading1"/>
      </w:pPr>
      <w:r>
        <w:t>7. Реально обученный объяснительный эксперимент</w:t>
      </w:r>
    </w:p>
    <w:p>
      <w:pPr>
        <w:keepNext/>
        <w:spacing w:after="100"/>
      </w:pPr>
      <w:r>
        <w:rPr>
          <w:b/>
          <w:sz w:val="18"/>
        </w:rPr>
        <w:t>Таблица 6. Отложенная проверка на данных 2025 года. MAE и RMSE — мкг/м³, R² безразмерен.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3175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Модель</w:t>
            </w:r>
          </w:p>
        </w:tc>
        <w:tc>
          <w:tcPr>
            <w:tcW w:type="dxa" w:w="1587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MAE</w:t>
            </w:r>
          </w:p>
        </w:tc>
        <w:tc>
          <w:tcPr>
            <w:tcW w:type="dxa" w:w="1587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RMSE</w:t>
            </w:r>
          </w:p>
        </w:tc>
        <w:tc>
          <w:tcPr>
            <w:tcW w:type="dxa" w:w="1587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R²</w:t>
            </w:r>
          </w:p>
        </w:tc>
        <w:tc>
          <w:tcPr>
            <w:tcW w:type="dxa" w:w="1587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Сутки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Среднее обучения</w:t>
            </w:r>
          </w:p>
        </w:tc>
        <w:tc>
          <w:tcPr>
            <w:tcW w:type="dxa" w:w="158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23.708</w:t>
            </w:r>
          </w:p>
        </w:tc>
        <w:tc>
          <w:tcPr>
            <w:tcW w:type="dxa" w:w="158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25.211</w:t>
            </w:r>
          </w:p>
        </w:tc>
        <w:tc>
          <w:tcPr>
            <w:tcW w:type="dxa" w:w="158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-7.504</w:t>
            </w:r>
          </w:p>
        </w:tc>
        <w:tc>
          <w:tcPr>
            <w:tcW w:type="dxa" w:w="158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304</w:t>
            </w:r>
          </w:p>
        </w:tc>
      </w:tr>
      <w:tr>
        <w:trPr>
          <w:cantSplit/>
        </w:trPr>
        <w:tc>
          <w:tcPr>
            <w:tcW w:type="dxa" w:w="3175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Ridge</w:t>
            </w:r>
          </w:p>
        </w:tc>
        <w:tc>
          <w:tcPr>
            <w:tcW w:type="dxa" w:w="1587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23.707</w:t>
            </w:r>
          </w:p>
        </w:tc>
        <w:tc>
          <w:tcPr>
            <w:tcW w:type="dxa" w:w="1587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26.561</w:t>
            </w:r>
          </w:p>
        </w:tc>
        <w:tc>
          <w:tcPr>
            <w:tcW w:type="dxa" w:w="1587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-8.439</w:t>
            </w:r>
          </w:p>
        </w:tc>
        <w:tc>
          <w:tcPr>
            <w:tcW w:type="dxa" w:w="1587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304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Случайный лес</w:t>
            </w:r>
          </w:p>
        </w:tc>
        <w:tc>
          <w:tcPr>
            <w:tcW w:type="dxa" w:w="158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24.593</w:t>
            </w:r>
          </w:p>
        </w:tc>
        <w:tc>
          <w:tcPr>
            <w:tcW w:type="dxa" w:w="158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27.584</w:t>
            </w:r>
          </w:p>
        </w:tc>
        <w:tc>
          <w:tcPr>
            <w:tcW w:type="dxa" w:w="158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-9.180</w:t>
            </w:r>
          </w:p>
        </w:tc>
        <w:tc>
          <w:tcPr>
            <w:tcW w:type="dxa" w:w="1587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304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559179"/>
            <wp:docPr id="7" name="Picture 7" descr="model 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200"/>
      </w:pPr>
      <w:r>
        <w:rPr>
          <w:b/>
          <w:i w:val="0"/>
          <w:sz w:val="18"/>
        </w:rPr>
        <w:t>Рисунок 7. Сравнение объяснительных моделей</w:t>
      </w:r>
    </w:p>
    <w:p>
      <w:r>
        <w:rPr>
          <w:b w:val="0"/>
        </w:rPr>
        <w:t>По валидации выбрано среднее обучающего периода. Незначительное различие MAE между Ridge и baseline на итоговой проверке не меняет заранее выбранную модель. Все R² отрицательны: ошибка существенно больше вариации целевой переменной вокруг среднего самого test. Сдвиг уровня между 2022–2023 и 2025 годами объясняет, почему простая экстраполяция обученного среднего особенно неудачна. Погода и календарь не обеспечили переносимость. Дополнительное блочное пересэмплирование парных ошибок даёт для разницы MAE Ridge минус среднее -0.002 мкг/м³ и приблизительный 95%-й диапазон [-1.680; 1.738] при блоке 14 суток. Столь малое различие нельзя считать устойчивым преимуществом. Методика и ограничения этой последующей проверки описаны в results/revision_analysis_metadata.json и [12]; модели не переобучались. Это отрицательный эмпирический результат, а не основание менять границы test.</w:t>
      </w:r>
    </w:p>
    <w:p>
      <w:r>
        <w:rPr>
          <w:b w:val="0"/>
        </w:rPr>
        <w:t>Предсказания, остатки, результаты перестановки признаков, фактические параметры и веса сохранены. Перестановочная важность — чувствительность обученной модели; при слабой общей модели она не даёт доказательства причинного вклада погоды. Коррелированные погодные признаки дополнительно ограничивают её интерпретацию.</w:t>
      </w:r>
    </w:p>
    <w:p>
      <w:pPr>
        <w:pStyle w:val="Heading1"/>
      </w:pPr>
      <w:r>
        <w:t>8. Источники, риски и рекомендации</w:t>
      </w:r>
    </w:p>
    <w:p>
      <w:r>
        <w:rPr>
          <w:b w:val="0"/>
        </w:rPr>
        <w:t>Промышленность, энергетика, отопление и транспорт рассматриваются как документированные региональные направления [3, 9], а не количественно оценённые причины каждой точки графика. Диаграмма долей источников не построена: нет сопоставимой локальной инвентаризации массы выбросов, химического состава и модели переноса, позволяющей оценить эти доли. Последствия для здоровья обсуждаются только на уровне общего обоснования мониторинга ВОЗ. Число заболеваний, смертей или индивидуальный риск по этой выборке не рассчитывались.</w:t>
      </w:r>
    </w:p>
    <w:p>
      <w:r>
        <w:rPr>
          <w:b w:val="0"/>
        </w:rPr>
        <w:t>В течение ближайшего года практический приоритет — аудит каналов № 32, 22 и 31, сопоставление с паспортами приборов и ручными/референсными пробами, публикация происхождения флагов качества и истории калибровки. Затем следует восстановить многопостовую сеть с гарантированной доступностью временных архивов и регистрировать время публикации записи. Для информации населению использовать официальные сообщения, а не этот экспериментальный прогноз.</w:t>
      </w:r>
    </w:p>
    <w:p>
      <w:r>
        <w:rPr>
          <w:b w:val="0"/>
        </w:rPr>
        <w:t>На горизонте 1–3 лет полезны верификация инвентаризации выбросов, прицельные измерения рядом с промышленными и транспортными объектами, сезонные кампании H₂S и PM, документирование ремонтов и смены приборов. На 5–10 лет возможны модернизация очистки выбросов, повышение энергоэффективности и транспортные меры, но выбор и бюджет должны опираться на дополнительное исследование источников. Наблюдаемые различия архива не являются рассчитанной экономической выгодой какой-либо меры.</w:t>
      </w:r>
    </w:p>
    <w:p>
      <w:pPr>
        <w:pStyle w:val="Heading1"/>
      </w:pPr>
      <w:r>
        <w:t>Дополнительная проверка станции Атырау, пост № 235</w:t>
      </w:r>
    </w:p>
    <w:p>
      <w:r>
        <w:rPr>
          <w:b w:val="0"/>
        </w:rPr>
        <w:t>Выявленная проблема не относится автоматически ко всей сети. У PCP #10 (ID 235) исходное сравнение суточных средних даёт один случай PM2.5 &gt; PM10 из 1300; ниже показано, что при выравнивании часов он исчезает, у более коротких рядов 33 и 86 таких случаев в проверенном периоде нет. Это делает 235 разумным кандидатом для следующей независимой проверки, но само согласие фракций не удостоверяет калибровку. В дополнительном исследовательском эксперименте кейса №10 на 235 сохранены признаки, годы split и уже выбранные на 32 гиперпараметры; настройки по 235 не проводились. На 353 отложенных сутках persistence имеет MAE 2.928 мкг/м³. Основной заранее зафиксированный эксперимент 32 не заменён. Этот анализ добавлен после проверки качества, является дополнительным исследовательским и не устраняет ограничения времени публикации и ретроспективного QC. Подробная таблица находится в отчёте кейса №10 и results/sensitivity235.</w:t>
      </w:r>
    </w:p>
    <w:p>
      <w:pPr>
        <w:pStyle w:val="Heading2"/>
      </w:pPr>
      <w:r>
        <w:t>Дополнительная проверка 26.09.2026: одинаковые часы</w:t>
      </w:r>
    </w:p>
    <w:p>
      <w:r>
        <w:rPr>
          <w:b w:val="0"/>
        </w:rPr>
        <w:t>Первоначальное сравнение суточных средних допускает, что PM2.5 и PM10 наблюдались в разные часы. При повторном аудите записи соединены по городу, посту и точному временному штампу; обе средние рассчитаны заново только по общим часам. В таблицу входят сутки с минимум 18 такими парами. Это последующая проверка устойчивости, а не изменение основной выборки или отбор удобных дней.</w:t>
      </w:r>
    </w:p>
    <w:p>
      <w:pPr>
        <w:keepNext/>
        <w:spacing w:after="100"/>
      </w:pPr>
      <w:r>
        <w:rPr>
          <w:b/>
          <w:sz w:val="18"/>
        </w:rPr>
        <w:t>Таблица 7. Сравнение фракций Атырау после выравнивания часов.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14"/>
        <w:gridCol w:w="1971"/>
        <w:gridCol w:w="3120"/>
        <w:gridCol w:w="3120"/>
      </w:tblGrid>
      <w:tr>
        <w:trPr>
          <w:cantSplit/>
          <w:tblHeader/>
        </w:trPr>
        <w:tc>
          <w:tcPr>
            <w:tcW w:type="dxa" w:w="1314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Пост</w:t>
            </w:r>
          </w:p>
        </w:tc>
        <w:tc>
          <w:tcPr>
            <w:tcW w:type="dxa" w:w="1971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Парные сутки</w:t>
            </w:r>
          </w:p>
        </w:tc>
        <w:tc>
          <w:tcPr>
            <w:tcW w:type="dxa" w:w="3120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PM2.5 &gt; PM10: сутки</w:t>
            </w:r>
          </w:p>
        </w:tc>
        <w:tc>
          <w:tcPr>
            <w:tcW w:type="dxa" w:w="3120"/>
            <w:shd w:fill="E8EEF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/>
                <w:color w:val="192733"/>
                <w:sz w:val="17"/>
              </w:rPr>
              <w:t>Разница &gt;20%: сутки</w:t>
            </w:r>
          </w:p>
        </w:tc>
      </w:tr>
      <w:tr>
        <w:trPr>
          <w:cantSplit/>
        </w:trPr>
        <w:tc>
          <w:tcPr>
            <w:tcW w:type="dxa" w:w="131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235</w:t>
            </w:r>
          </w:p>
        </w:tc>
        <w:tc>
          <w:tcPr>
            <w:tcW w:type="dxa" w:w="1971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1300</w:t>
            </w:r>
          </w:p>
        </w:tc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0</w:t>
            </w:r>
          </w:p>
        </w:tc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314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32</w:t>
            </w:r>
          </w:p>
        </w:tc>
        <w:tc>
          <w:tcPr>
            <w:tcW w:type="dxa" w:w="1971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1209</w:t>
            </w:r>
          </w:p>
        </w:tc>
        <w:tc>
          <w:tcPr>
            <w:tcW w:type="dxa" w:w="3120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845</w:t>
            </w:r>
          </w:p>
        </w:tc>
        <w:tc>
          <w:tcPr>
            <w:tcW w:type="dxa" w:w="3120"/>
            <w:shd w:fill="F5F7F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192733"/>
                <w:sz w:val="17"/>
              </w:rPr>
              <w:t>280</w:t>
            </w:r>
          </w:p>
        </w:tc>
      </w:tr>
    </w:tbl>
    <w:p>
      <w:pPr>
        <w:spacing w:after="60"/>
      </w:pPr>
    </w:p>
    <w:p>
      <w:r>
        <w:rPr>
          <w:b w:val="0"/>
        </w:rPr>
        <w:t>На посту № 32 остаются 845 несоответствий: различное часовое покрытие не объясняет основной сигнал. На посту № 235 прежний единственный случай исчезает: 0 из 1300 суток. Поэтому первоначальный показатель 1/1300 нельзя трактовать как подтверждённую аномалию этого поста. Небольшие межприборные различия сами по себе не доказывают ошибку; частота и расхождения более 20% на посту № 32 требуют проверки приборов.</w:t>
      </w:r>
    </w:p>
    <w:p>
      <w:r>
        <w:rPr>
          <w:b w:val="0"/>
        </w:rPr>
        <w:t>Дополнительно правило полноты ужесточено с 18 до 24 часов без изменения исходных значений. На 1003 общих датах трёх постов среднее Атырау равно 53.917 мкг/м³. Порядок архивных средних сохраняется; метрологическое ограничение остаётся. Полная таблица сохранена в results/completeness_sensitivity.csv.</w:t>
      </w:r>
    </w:p>
    <w:p>
      <w:pPr>
        <w:pStyle w:val="Heading1"/>
      </w:pPr>
      <w:r>
        <w:t>9. Ограничения и ответы на вопросы Task 1</w:t>
      </w:r>
    </w:p>
    <w:p>
      <w:r>
        <w:rPr>
          <w:b w:val="0"/>
        </w:rPr>
        <w:t>Самое существенное ограничение — непроверенная физическая согласованность PM-каналов выбранного поста № 32. Дополнительно действуют выборочность станций, пропуски, неизвестное время фактической доступности записей и ретроспективная очистка AirData.kz. Процедуры соседних скачков и пространственных выбросов поставщика могут опираться на последующие наблюдения; этот архив нельзя безоговорочно считать доступным в исходном виде в прошлом.</w:t>
      </w:r>
    </w:p>
    <w:p>
      <w:r>
        <w:rPr>
          <w:b w:val="0"/>
        </w:rPr>
        <w:t>RQ1: максимальный архивный показатель среди выбранных постов — Атырау, пост № 32; рейтинг городов не подтверждён. RQ2: таблица 3 показывает частоту превышений доступных веществ, но не полный перечень рисков. RQ3: литература указывает направления источников, их доли не установлены. RQ4: сезонные различия есть, устойчивый одинаковый зимний максимум не подтверждён. RQ5: сначала метрология и полнота, затем проверяемая оценка источников и мер. Каждая формулировка относится к фактически доступному доказательству.</w:t>
      </w:r>
    </w:p>
    <w:p>
      <w:pPr>
        <w:pStyle w:val="Heading1"/>
      </w:pPr>
      <w:r>
        <w:t>10. Заключение и воспроизводимость</w:t>
      </w:r>
    </w:p>
    <w:p>
      <w:r>
        <w:rPr>
          <w:b w:val="0"/>
        </w:rPr>
        <w:t>Создан проверяемый путь от опубликованных почасовых записей к суточным таблицам, графикам и реальному ML-эксперименту. Основное содержательное открытие — ограничение достоверности, которое обнаруживается при совместном анализе PM2.5 и PM10. Кейс имеет статус PARTIAL до получения метаданных каналов и независимой проверки калибровки. Код, веса и вычисления доступны для проверки, но это не заключение о санитарной безопасности.</w:t>
      </w:r>
    </w:p>
    <w:p>
      <w:r>
        <w:rPr>
          <w:b w:val="0"/>
        </w:rPr>
        <w:t xml:space="preserve">Запуск из корня пакета: </w:t>
      </w:r>
      <w:r>
        <w:rPr>
          <w:rFonts w:ascii="Consolas" w:hAnsi="Consolas"/>
          <w:b w:val="0"/>
          <w:sz w:val="18"/>
        </w:rPr>
        <w:t>python 01_Air_Pollution/pipeline.py --case 1</w:t>
      </w:r>
      <w:r>
        <w:rPr>
          <w:b w:val="0"/>
        </w:rPr>
        <w:t xml:space="preserve">. Проверка сохранённых метрик: </w:t>
      </w:r>
      <w:r>
        <w:rPr>
          <w:rFonts w:ascii="Consolas" w:hAnsi="Consolas"/>
          <w:b w:val="0"/>
          <w:sz w:val="18"/>
        </w:rPr>
        <w:t>python 01_Air_Pollution/pipeline.py --verify</w:t>
      </w:r>
      <w:r>
        <w:rPr>
          <w:b w:val="0"/>
        </w:rPr>
        <w:t>. Отдельно выполненный Notebook воспроизводит расчёты из чистого kernel. Источники, хеши, quality_checks и limitations позволяют проверить происхождение каждого числа.</w:t>
      </w:r>
    </w:p>
    <w:p>
      <w:pPr>
        <w:pStyle w:val="Heading1"/>
      </w:pPr>
      <w:r>
        <w:t>Литература</w:t>
      </w:r>
    </w:p>
    <w:p>
      <w:r>
        <w:rPr>
          <w:b w:val="0"/>
        </w:rPr>
        <w:t>1. AirData.kz / Global Shapers Almaty Hub. Open Air Quality Dataset for Kazakhstan. Kazakhstan; 2020–2026. URL: https://github.com/qazybekb/AirDatakz-OpenData (обращение: 25.09.2026).</w:t>
      </w:r>
    </w:p>
    <w:p>
      <w:r>
        <w:rPr>
          <w:b w:val="0"/>
        </w:rPr>
        <w:t>2. AirData.kz. Datasheet for Dataset: AirData.kz Open Air Quality Data. Kazakhstan; 2017–2026. URL: https://github.com/qazybekb/AirDatakz-OpenData/blob/0fe9a615baf614346e282796f685ce72b852187f/DATASHEET.md (обращение: 25.09.2026).</w:t>
      </w:r>
    </w:p>
    <w:p>
      <w:r>
        <w:rPr>
          <w:b w:val="0"/>
        </w:rPr>
        <w:t>3. РГП Казгидромет. Мониторинг промышленной зоны Атырау. Atyrau; 2021. URL: https://www.kazhydromet.kz/ru/post/1063 (обращение: 25.09.2026).</w:t>
      </w:r>
    </w:p>
    <w:p>
      <w:r>
        <w:rPr>
          <w:b w:val="0"/>
        </w:rPr>
        <w:t>4. Bureau of National Statistics of Kazakhstan. 21.2.a Air quality. Kazakhstan; annual since 2014. URL: https://stat.gov.kz/en/open-data/pollution/482928/ (обращение: 25.09.2026).</w:t>
      </w:r>
    </w:p>
    <w:p>
      <w:r>
        <w:rPr>
          <w:b w:val="0"/>
        </w:rPr>
        <w:t>5. World Health Organization. WHO global air quality guidelines. Global; 2021. URL: https://www.who.int/publications/i/item/9789240034228 (обращение: 25.09.2026).</w:t>
      </w:r>
    </w:p>
    <w:p>
      <w:r>
        <w:rPr>
          <w:b w:val="0"/>
        </w:rPr>
        <w:t>6. World Health Organization. What are the WHO Air quality guidelines?. Global; 2021. URL: https://www.who.int/news-room/feature-stories/detail/what-are-the-who-air-quality-guidelines (обращение: 25.09.2026).</w:t>
      </w:r>
    </w:p>
    <w:p>
      <w:r>
        <w:rPr>
          <w:b w:val="0"/>
        </w:rPr>
        <w:t>7. Министерство здравоохранения Республики Казахстан. Об утверждении Гигиенических нормативов к атмосферному воздуху. Kazakhstan; 2022, amended 2025. URL: https://old.adilet.zan.kz/rus/docs/V2200029011 (обращение: 25.09.2026).</w:t>
      </w:r>
    </w:p>
    <w:p>
      <w:r>
        <w:rPr>
          <w:b w:val="0"/>
        </w:rPr>
        <w:t>8. Open-Meteo / Copernicus / ECMWF. Historical Weather API, ERA5. Atyrau ERA5 grid point; 2022–2025. URL: https://open-meteo.com/en/docs/historical-weather-api (обращение: 25.09.2026).</w:t>
      </w:r>
    </w:p>
    <w:p>
      <w:r>
        <w:rPr>
          <w:b w:val="0"/>
        </w:rPr>
        <w:t>9. Гидрометеорология и экология. Инвентаризация источников загрязнения атмосферного воздуха Западно-Казахстанского региона. Western Kazakhstan four regions; 2018–2022. URL: https://journal.kazhydromet.kz/kazgidro/article/view/2341 (обращение: 25.09.2026).</w:t>
      </w:r>
    </w:p>
    <w:p>
      <w:r>
        <w:rPr>
          <w:b w:val="0"/>
        </w:rPr>
        <w:t>10. M. Yessenamanova, Z. Yessenamanova, A. Tlepbergenova, G. Batyrbayeva. Analysis of the Content of Hydrogen Sulfide in the Air of the City of Atyrau. Atyrau; 2020 observations; published 2021. URL: https://www.iieta.org/journals/ijsdp/paper/10.18280/ijsdp.160308 (обращение: 25.09.2026).</w:t>
      </w:r>
    </w:p>
    <w:p>
      <w:r>
        <w:rPr>
          <w:b w:val="0"/>
        </w:rPr>
        <w:t>11. scikit-learn developers. Lagged features for time series forecasting. Methodological; accessed 2026. URL: https://scikit-learn.org/stable/auto_examples/applications/plot_time_series_lagged_features.html (обращение: 25.09.2026).</w:t>
      </w:r>
    </w:p>
    <w:p>
      <w:r>
        <w:rPr>
          <w:b w:val="0"/>
        </w:rPr>
        <w:t>12. Hans R. Künsch. The Jackknife and the Bootstrap for General Stationary Observations. Annals of Statistics 17(3), 1217–1241. Methodological; 1989. URL: https://doi.org/10.1214/aos/1176347265 (обращение: 26.09.2026).</w:t>
      </w:r>
    </w:p>
    <w:sectPr w:rsidR="00FC693F" w:rsidRPr="0006063C" w:rsidSect="00034616">
      <w:footerReference w:type="default" r:id="rId9"/>
      <w:pgSz w:w="11906" w:h="16838"/>
      <w:pgMar w:top="1162" w:right="1162" w:bottom="1162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Arial" w:hAnsi="Arial"/>
      <w:color w:val="141C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141C23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141C23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41C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141C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141C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141C2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141C2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141C2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141C23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141C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141C23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141C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141C23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141C23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141C23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141C23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141C23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41C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141C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141C23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41C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141C23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141C23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141C23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141C23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141C23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141C23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141C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141C2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141C2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141C23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архивных показаний качества воздуха в Атырау, Актау и Актобе</dc:title>
  <dc:subject>Четыре кейса по ИИ и машинному обучению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