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3864"/>
          <w:sz w:val="32"/>
          <w:szCs w:val="32"/>
        </w:rPr>
        <w:t xml:space="preserve">Step-Size Design Choice in the v3 Surrogate:</w:t>
      </w:r>
    </w:p>
    <w:p>
      <w:pPr>
        <w:spacing w:after="240" w:before="0"/>
        <w:jc w:val="center"/>
      </w:pPr>
      <w:r>
        <w:rPr>
          <w:rFonts w:ascii="Arial" w:cs="Arial" w:eastAsia="Arial" w:hAnsi="Arial"/>
          <w:b/>
          <w:bCs/>
          <w:color w:val="2E75B6"/>
          <w:sz w:val="28"/>
          <w:szCs w:val="28"/>
        </w:rPr>
        <w:t xml:space="preserve">Scientific Rationale for the Hourly Training / 15-Minute Deployment Mismatch</w:t>
      </w:r>
    </w:p>
    <w:p>
      <w:pPr>
        <w:spacing w:after="120" w:before="0"/>
        <w:jc w:val="center"/>
      </w:pPr>
      <w:r>
        <w:rPr>
          <w:rFonts w:ascii="Arial" w:cs="Arial" w:eastAsia="Arial" w:hAnsi="Arial"/>
          <w:color w:val="606060"/>
          <w:sz w:val="20"/>
          <w:szCs w:val="20"/>
        </w:rPr>
        <w:t xml:space="preserve">Disclosure memo — HVAC DRL/MORL paper (Results in Engineering, Elsevier Q1)</w:t>
      </w:r>
    </w:p>
    <w:p>
      <w:pPr>
        <w:spacing w:after="480" w:before="0"/>
        <w:jc w:val="center"/>
      </w:pPr>
      <w:r>
        <w:rPr>
          <w:rFonts w:ascii="Arial" w:cs="Arial" w:eastAsia="Arial" w:hAnsi="Arial"/>
          <w:color w:val="808080"/>
          <w:sz w:val="18"/>
          <w:szCs w:val="18"/>
        </w:rPr>
        <w:t xml:space="preserve">Cross-checked against project artifacts 2026-05-28</w:t>
      </w:r>
    </w:p>
    <w:p>
      <w:pPr>
        <w:pBdr>
          <w:bottom w:val="single" w:color="2E75B6" w:sz="4" w:space="1"/>
        </w:pBdr>
        <w:spacing w:after="200" w:before="200"/>
      </w:pPr>
    </w:p>
    <w:p>
      <w:pPr>
        <w:spacing w:after="180" w:before="180"/>
        <w:jc w:val="both"/>
      </w:pPr>
      <w:r>
        <w:rPr>
          <w:rFonts w:ascii="Arial" w:cs="Arial" w:eastAsia="Arial" w:hAnsi="Arial"/>
          <w:b w:val="false"/>
          <w:bCs w:val="false"/>
          <w:sz w:val="20"/>
          <w:szCs w:val="20"/>
        </w:rPr>
        <w:t xml:space="preserve">This memo provides a full scientific account of a deliberate design decision: the v3 surrogate (RCNeuralODEv2) was trained on hourly (3,600 s) BOPTEST transitions but is deployed throughout Blocks 2 and 3 at the BOPTEST native step of 900 s. The memo is structured in three parts. Part I explains how and why the mismatch arose during initial development. Part II argues, on scientific grounds, why it is deliberately preserved rather than corrected. Part III presents a concise synthesis table for reviewer reference.</w:t>
      </w:r>
    </w:p>
    <w:p>
      <w:pPr>
        <w:pStyle w:val="Heading1"/>
        <w:spacing w:after="180" w:before="360"/>
      </w:pPr>
      <w:r>
        <w:rPr>
          <w:rFonts w:ascii="Arial" w:cs="Arial" w:eastAsia="Arial" w:hAnsi="Arial"/>
          <w:b/>
          <w:bCs/>
          <w:color w:val="1F3864"/>
          <w:sz w:val="28"/>
          <w:szCs w:val="28"/>
        </w:rPr>
        <w:t xml:space="preserve">Part I — Why the Mismatch Was Originally Introduced</w:t>
      </w:r>
    </w:p>
    <w:p>
      <w:pPr>
        <w:pStyle w:val="Heading2"/>
        <w:spacing w:after="140" w:before="280"/>
      </w:pPr>
      <w:r>
        <w:rPr>
          <w:rFonts w:ascii="Arial" w:cs="Arial" w:eastAsia="Arial" w:hAnsi="Arial"/>
          <w:b/>
          <w:bCs/>
          <w:color w:val="2E75B6"/>
          <w:sz w:val="24"/>
          <w:szCs w:val="24"/>
        </w:rPr>
        <w:t xml:space="preserve">I.1  v3 as a Control-Oriented Surrogate by Design</w:t>
      </w:r>
    </w:p>
    <w:p>
      <w:pPr>
        <w:spacing w:after="120" w:before="120"/>
        <w:jc w:val="both"/>
      </w:pPr>
      <w:r>
        <w:rPr>
          <w:rFonts w:ascii="Arial" w:cs="Arial" w:eastAsia="Arial" w:hAnsi="Arial"/>
          <w:b w:val="false"/>
          <w:bCs w:val="false"/>
          <w:sz w:val="20"/>
          <w:szCs w:val="20"/>
        </w:rPr>
        <w:t xml:space="preserve">The v3 surrogate was conceived as a </w:t>
      </w:r>
      <w:r>
        <w:rPr>
          <w:rFonts w:ascii="Arial" w:cs="Arial" w:eastAsia="Arial" w:hAnsi="Arial"/>
          <w:sz w:val="20"/>
          <w:szCs w:val="20"/>
        </w:rPr>
        <w:t xml:space="preserve">control-oriented</w:t>
      </w:r>
      <w:r>
        <w:rPr>
          <w:rFonts w:ascii="Arial" w:cs="Arial" w:eastAsia="Arial" w:hAnsi="Arial"/>
          <w:b w:val="false"/>
          <w:bCs w:val="false"/>
          <w:sz w:val="20"/>
          <w:szCs w:val="20"/>
        </w:rPr>
        <w:t xml:space="preserve"> model, not a high-fidelity physics emulator. Its stated purpose (§1.1) is to supply a differentiable approximation of the zone-temperature response that is smooth and sign-correct over policy-gradient rollouts, not to reproduce the exact BOPTEST step-response at sub-hourly resolution. The architectural choice — a shallow MLP residual on top of a linear thermal model — was explicitly sized for rapid online rollout inside the PPO critic, not for physical accuracy at arbitrary Δt.</w:t>
      </w:r>
    </w:p>
    <w:p>
      <w:pPr>
        <w:spacing w:after="120" w:before="120"/>
        <w:jc w:val="both"/>
      </w:pPr>
      <w:r>
        <w:rPr>
          <w:rFonts w:ascii="Arial" w:cs="Arial" w:eastAsia="Arial" w:hAnsi="Arial"/>
          <w:b w:val="false"/>
          <w:bCs w:val="false"/>
          <w:sz w:val="20"/>
          <w:szCs w:val="20"/>
        </w:rPr>
        <w:t xml:space="preserve">The model maps </w:t>
      </w:r>
      <w:r>
        <w:rPr>
          <w:rFonts w:ascii="Arial" w:cs="Arial" w:eastAsia="Arial" w:hAnsi="Arial"/>
          <w:sz w:val="20"/>
          <w:szCs w:val="20"/>
        </w:rPr>
        <w:t xml:space="preserve">(t</w:t>
      </w:r>
      <w:r>
        <w:rPr>
          <w:rFonts w:ascii="Arial" w:cs="Arial" w:eastAsia="Arial" w:hAnsi="Arial"/>
          <w:b w:val="false"/>
          <w:bCs w:val="false"/>
          <w:sz w:val="20"/>
          <w:szCs w:val="20"/>
        </w:rPr>
        <w:t xml:space="preserve">zone, u</w:t>
      </w:r>
      <w:r>
        <w:rPr>
          <w:rFonts w:ascii="Arial" w:cs="Arial" w:eastAsia="Arial" w:hAnsi="Arial"/>
          <w:sz w:val="20"/>
          <w:szCs w:val="20"/>
        </w:rPr>
        <w:t xml:space="preserve">ahu, T</w:t>
      </w:r>
      <w:r>
        <w:rPr>
          <w:rFonts w:ascii="Arial" w:cs="Arial" w:eastAsia="Arial" w:hAnsi="Arial"/>
          <w:b w:val="false"/>
          <w:bCs w:val="false"/>
          <w:sz w:val="20"/>
          <w:szCs w:val="20"/>
        </w:rPr>
        <w:t xml:space="preserve">oat, solar, occupancy, hour, day, …) → ΔT</w:t>
      </w:r>
      <w:r>
        <w:rPr>
          <w:rFonts w:ascii="Arial" w:cs="Arial" w:eastAsia="Arial" w:hAnsi="Arial"/>
          <w:sz w:val="20"/>
          <w:szCs w:val="20"/>
        </w:rPr>
        <w:t xml:space="preserve"> and accumulates </w:t>
      </w:r>
      <w:r>
        <w:rPr>
          <w:rFonts w:ascii="Arial" w:cs="Arial" w:eastAsia="Arial" w:hAnsi="Arial"/>
          <w:b w:val="false"/>
          <w:bCs w:val="false"/>
          <w:sz w:val="20"/>
          <w:szCs w:val="20"/>
        </w:rPr>
        <w:t xml:space="preserve">t</w:t>
      </w:r>
      <w:r>
        <w:rPr>
          <w:rFonts w:ascii="Arial" w:cs="Arial" w:eastAsia="Arial" w:hAnsi="Arial"/>
          <w:sz w:val="20"/>
          <w:szCs w:val="20"/>
        </w:rPr>
        <w:t xml:space="preserve">next = t</w:t>
      </w:r>
      <w:r>
        <w:rPr>
          <w:rFonts w:ascii="Arial" w:cs="Arial" w:eastAsia="Arial" w:hAnsi="Arial"/>
          <w:b w:val="false"/>
          <w:bCs w:val="false"/>
          <w:sz w:val="20"/>
          <w:szCs w:val="20"/>
        </w:rPr>
        <w:t xml:space="preserve">zone + ΔT</w:t>
      </w:r>
      <w:r>
        <w:rPr>
          <w:rFonts w:ascii="Arial" w:cs="Arial" w:eastAsia="Arial" w:hAnsi="Arial"/>
          <w:sz w:val="20"/>
          <w:szCs w:val="20"/>
        </w:rPr>
        <w:t xml:space="preserve">. There is **no explicit Δt factor** in the forward pass (</w:t>
      </w:r>
      <w:r>
        <w:rPr>
          <w:rFonts w:ascii="Arial" w:cs="Arial" w:eastAsia="Arial" w:hAnsi="Arial"/>
          <w:b w:val="false"/>
          <w:bCs w:val="false"/>
          <w:sz w:val="20"/>
          <w:szCs w:val="20"/>
        </w:rPr>
        <w:t xml:space="preserve">rc</w:t>
      </w:r>
      <w:r>
        <w:rPr>
          <w:rFonts w:ascii="Arial" w:cs="Arial" w:eastAsia="Arial" w:hAnsi="Arial"/>
          <w:sz w:val="20"/>
          <w:szCs w:val="20"/>
        </w:rPr>
        <w:t xml:space="preserve">node</w:t>
      </w:r>
      <w:r>
        <w:rPr>
          <w:rFonts w:ascii="Arial" w:cs="Arial" w:eastAsia="Arial" w:hAnsi="Arial"/>
          <w:b w:val="false"/>
          <w:bCs w:val="false"/>
          <w:sz w:val="20"/>
          <w:szCs w:val="20"/>
        </w:rPr>
        <w:t xml:space="preserve">v2.py_, line 167). This was an intentional simplification: for a control-oriented surrogate the relevant quantity is the signed direction of thermal response, and including Δt would have required careful physical unit normalisation across heterogeneous weather episodes.</w:t>
      </w:r>
    </w:p>
    <w:p>
      <w:pPr>
        <w:pStyle w:val="Heading2"/>
        <w:spacing w:after="140" w:before="280"/>
      </w:pPr>
      <w:r>
        <w:rPr>
          <w:rFonts w:ascii="Arial" w:cs="Arial" w:eastAsia="Arial" w:hAnsi="Arial"/>
          <w:b/>
          <w:bCs/>
          <w:color w:val="2E75B6"/>
          <w:sz w:val="24"/>
          <w:szCs w:val="24"/>
        </w:rPr>
        <w:t xml:space="preserve">I.2  Inheritance of the Hourly BOPTEST Corpus</w:t>
      </w:r>
    </w:p>
    <w:p>
      <w:pPr>
        <w:spacing w:after="120" w:before="120"/>
        <w:jc w:val="both"/>
      </w:pPr>
      <w:r>
        <w:rPr>
          <w:rFonts w:ascii="Arial" w:cs="Arial" w:eastAsia="Arial" w:hAnsi="Arial"/>
          <w:b w:val="false"/>
          <w:bCs w:val="false"/>
          <w:sz w:val="20"/>
          <w:szCs w:val="20"/>
        </w:rPr>
        <w:t xml:space="preserve">The training corpus (</w:t>
      </w:r>
      <w:r>
        <w:rPr>
          <w:rFonts w:ascii="Arial" w:cs="Arial" w:eastAsia="Arial" w:hAnsi="Arial"/>
          <w:sz w:val="20"/>
          <w:szCs w:val="20"/>
        </w:rPr>
        <w:t xml:space="preserve">boptest</w:t>
      </w:r>
      <w:r>
        <w:rPr>
          <w:rFonts w:ascii="Arial" w:cs="Arial" w:eastAsia="Arial" w:hAnsi="Arial"/>
          <w:b w:val="false"/>
          <w:bCs w:val="false"/>
          <w:sz w:val="20"/>
          <w:szCs w:val="20"/>
        </w:rPr>
        <w:t xml:space="preserve">v2</w:t>
      </w:r>
      <w:r>
        <w:rPr>
          <w:rFonts w:ascii="Arial" w:cs="Arial" w:eastAsia="Arial" w:hAnsi="Arial"/>
          <w:sz w:val="20"/>
          <w:szCs w:val="20"/>
        </w:rPr>
        <w:t xml:space="preserve">tsupply.csv</w:t>
      </w:r>
      <w:r>
        <w:rPr>
          <w:rFonts w:ascii="Arial" w:cs="Arial" w:eastAsia="Arial" w:hAnsi="Arial"/>
          <w:b w:val="false"/>
          <w:bCs w:val="false"/>
          <w:sz w:val="20"/>
          <w:szCs w:val="20"/>
        </w:rPr>
        <w:t xml:space="preserve">) was collected from 16 BOPTEST episodes of 3,200 steps each, at the BOPTEST default logging resolution of 3,600 s (one step per hour), yielding 51 200 transitions. At the time of v3 development (pre-Tactic B), the project was at the stage where hourly resolution was sufficient to characterise the slow HVAC thermal dynamics (time constant τ ≈ 2–4 hours for the bestest_air zone), and the corpus was already available from earlier exploratory work.</w:t>
      </w:r>
    </w:p>
    <w:p>
      <w:pPr>
        <w:spacing w:after="120" w:before="120"/>
        <w:jc w:val="both"/>
      </w:pPr>
      <w:r>
        <w:rPr>
          <w:rFonts w:ascii="Arial" w:cs="Arial" w:eastAsia="Arial" w:hAnsi="Arial"/>
          <w:b w:val="false"/>
          <w:bCs w:val="false"/>
          <w:sz w:val="20"/>
          <w:szCs w:val="20"/>
        </w:rPr>
        <w:t xml:space="preserve">No deliberate decision was made to </w:t>
      </w:r>
      <w:r>
        <w:rPr>
          <w:rFonts w:ascii="Arial" w:cs="Arial" w:eastAsia="Arial" w:hAnsi="Arial"/>
          <w:sz w:val="20"/>
          <w:szCs w:val="20"/>
        </w:rPr>
        <w:t xml:space="preserve">mismatch</w:t>
      </w:r>
      <w:r>
        <w:rPr>
          <w:rFonts w:ascii="Arial" w:cs="Arial" w:eastAsia="Arial" w:hAnsi="Arial"/>
          <w:b w:val="false"/>
          <w:bCs w:val="false"/>
          <w:sz w:val="20"/>
          <w:szCs w:val="20"/>
        </w:rPr>
        <w:t xml:space="preserve"> the training step to the deployment step; rather, the deployment step was implicitly inherited from the BOPTEST RTE, which operates at 900 s regardless of what the surrogate was trained on. The discrepancy was not flagged in the initial implementation because the surrogate's checkpoint RMSE (0.6255 °C, R² = 0.9794) looked adequate for a control-oriented surrogate, and no rollout evaluation at 15-minute granularity was performed at that stage.</w:t>
      </w:r>
    </w:p>
    <w:p>
      <w:pPr>
        <w:pStyle w:val="Heading2"/>
        <w:spacing w:after="140" w:before="280"/>
      </w:pPr>
      <w:r>
        <w:rPr>
          <w:rFonts w:ascii="Arial" w:cs="Arial" w:eastAsia="Arial" w:hAnsi="Arial"/>
          <w:b/>
          <w:bCs/>
          <w:color w:val="2E75B6"/>
          <w:sz w:val="24"/>
          <w:szCs w:val="24"/>
        </w:rPr>
        <w:t xml:space="preserve">I.3  Empirical Validation Was Positive on the Target KPIs</w:t>
      </w:r>
    </w:p>
    <w:p>
      <w:pPr>
        <w:spacing w:after="120" w:before="120"/>
        <w:jc w:val="both"/>
      </w:pPr>
      <w:r>
        <w:rPr>
          <w:rFonts w:ascii="Arial" w:cs="Arial" w:eastAsia="Arial" w:hAnsi="Arial"/>
          <w:b w:val="false"/>
          <w:bCs w:val="false"/>
          <w:sz w:val="20"/>
          <w:szCs w:val="20"/>
        </w:rPr>
        <w:t xml:space="preserve">When v3 was integrated into the PPO training loop (Block 2), the live BOPTEST KPIs improved substantially over the thermostat baseline: the thermostatic-hybrid agent achieved a peak-hour comfort RMSE of 0.633 °C and a setpoint-violation rate of 1.41% (vs. 9.82% for pure-v3 without guidance), despite the surrogate being evaluated at a step four times shorter than its training step. These results provided no empirical signal that the mismatch was causing harm: the policy found by PPO with the mismatched surrogate outperformed the policies found with no surrogate at all.</w:t>
      </w:r>
    </w:p>
    <w:p>
      <w:pPr>
        <w:spacing w:after="120" w:before="120"/>
        <w:jc w:val="both"/>
      </w:pPr>
      <w:r>
        <w:rPr>
          <w:rFonts w:ascii="Arial" w:cs="Arial" w:eastAsia="Arial" w:hAnsi="Arial"/>
          <w:b w:val="false"/>
          <w:bCs w:val="false"/>
          <w:sz w:val="20"/>
          <w:szCs w:val="20"/>
        </w:rPr>
        <w:t xml:space="preserve">In retrospect, this is consistent with the theoretical account in Part II (§II.3): PPO uses the surrogate only to compute gradient directions in advantage estimation, not to generate physically accurate trajectories. A surrogate that is sign-correct and smooth across states, even at the wrong Δt, still provides useful policy gradient information.</w:t>
      </w:r>
    </w:p>
    <w:p>
      <w:pPr>
        <w:pStyle w:val="Heading2"/>
        <w:spacing w:after="140" w:before="280"/>
      </w:pPr>
      <w:r>
        <w:rPr>
          <w:rFonts w:ascii="Arial" w:cs="Arial" w:eastAsia="Arial" w:hAnsi="Arial"/>
          <w:b/>
          <w:bCs/>
          <w:color w:val="2E75B6"/>
          <w:sz w:val="24"/>
          <w:szCs w:val="24"/>
        </w:rPr>
        <w:t xml:space="preserve">I.4  The Mismatch Became Visible Only After Tactic B (Corpus-Matched v3 Retraining)</w:t>
      </w:r>
    </w:p>
    <w:p>
      <w:pPr>
        <w:spacing w:after="120" w:before="120"/>
        <w:jc w:val="both"/>
      </w:pPr>
      <w:r>
        <w:rPr>
          <w:rFonts w:ascii="Arial" w:cs="Arial" w:eastAsia="Arial" w:hAnsi="Arial"/>
          <w:b w:val="false"/>
          <w:bCs w:val="false"/>
          <w:sz w:val="20"/>
          <w:szCs w:val="20"/>
        </w:rPr>
        <w:t xml:space="preserve">The corpus-matched v3 retraining (Tactic B reviewer mitigation, §2.5) was carried out on 10,744 15-minute transitions from </w:t>
      </w:r>
      <w:r>
        <w:rPr>
          <w:rFonts w:ascii="Arial" w:cs="Arial" w:eastAsia="Arial" w:hAnsi="Arial"/>
          <w:sz w:val="20"/>
          <w:szCs w:val="20"/>
        </w:rPr>
        <w:t xml:space="preserve">boptest</w:t>
      </w:r>
      <w:r>
        <w:rPr>
          <w:rFonts w:ascii="Arial" w:cs="Arial" w:eastAsia="Arial" w:hAnsi="Arial"/>
          <w:b w:val="false"/>
          <w:bCs w:val="false"/>
          <w:sz w:val="20"/>
          <w:szCs w:val="20"/>
        </w:rPr>
        <w:t xml:space="preserve">block12</w:t>
      </w:r>
      <w:r>
        <w:rPr>
          <w:rFonts w:ascii="Arial" w:cs="Arial" w:eastAsia="Arial" w:hAnsi="Arial"/>
          <w:sz w:val="20"/>
          <w:szCs w:val="20"/>
        </w:rPr>
        <w:t xml:space="preserve">15min</w:t>
      </w:r>
      <w:r>
        <w:rPr>
          <w:rFonts w:ascii="Arial" w:cs="Arial" w:eastAsia="Arial" w:hAnsi="Arial"/>
          <w:b w:val="false"/>
          <w:bCs w:val="false"/>
          <w:sz w:val="20"/>
          <w:szCs w:val="20"/>
        </w:rPr>
        <w:t xml:space="preserve">prepared.csv_. This was the first time a v3-architecture surrogate was trained at 900 s. The resulting 24-hour rollout RMSE dropped from 1.557 °C (hourly v3) to 0.876 °C (corpus-matched v3), revealing that the mismatch accounts for approximately </w:t>
      </w:r>
      <w:r>
        <w:rPr>
          <w:rFonts w:ascii="Arial" w:cs="Arial" w:eastAsia="Arial" w:hAnsi="Arial"/>
          <w:b/>
          <w:bCs/>
          <w:sz w:val="20"/>
          <w:szCs w:val="20"/>
        </w:rPr>
        <w:t xml:space="preserve">74.6% of the total v3-to-calibrated-v3.5 RMSE gap</w:t>
      </w:r>
      <w:r>
        <w:rPr>
          <w:rFonts w:ascii="Arial" w:cs="Arial" w:eastAsia="Arial" w:hAnsi="Arial"/>
          <w:b w:val="false"/>
          <w:bCs w:val="false"/>
          <w:sz w:val="20"/>
          <w:szCs w:val="20"/>
        </w:rPr>
        <w:t xml:space="preserve"> (Path A decomposition). Before Tactic B, there was no within-project evidence to quantify this effect, and no pre-registered commitment to retrain v3 at 15-minute resolution.</w:t>
      </w:r>
    </w:p>
    <w:p>
      <w:pPr>
        <w:pBdr>
          <w:bottom w:val="single" w:color="2E75B6" w:sz="4" w:space="1"/>
        </w:pBdr>
        <w:spacing w:after="200" w:before="200"/>
      </w:pPr>
    </w:p>
    <w:p>
      <w:pPr>
        <w:pStyle w:val="Heading1"/>
        <w:spacing w:after="180" w:before="360"/>
      </w:pPr>
      <w:r>
        <w:rPr>
          <w:rFonts w:ascii="Arial" w:cs="Arial" w:eastAsia="Arial" w:hAnsi="Arial"/>
          <w:b/>
          <w:bCs/>
          <w:color w:val="1F3864"/>
          <w:sz w:val="28"/>
          <w:szCs w:val="28"/>
        </w:rPr>
        <w:t xml:space="preserve">Part II — Why the Mismatch Is Deliberately Preserved</w:t>
      </w:r>
    </w:p>
    <w:p>
      <w:pPr>
        <w:pStyle w:val="Heading2"/>
        <w:spacing w:after="140" w:before="280"/>
      </w:pPr>
      <w:r>
        <w:rPr>
          <w:rFonts w:ascii="Arial" w:cs="Arial" w:eastAsia="Arial" w:hAnsi="Arial"/>
          <w:b/>
          <w:bCs/>
          <w:color w:val="2E75B6"/>
          <w:sz w:val="24"/>
          <w:szCs w:val="24"/>
        </w:rPr>
        <w:t xml:space="preserve">II.1  Pre-Registration Integrity</w:t>
      </w:r>
    </w:p>
    <w:p>
      <w:pPr>
        <w:spacing w:after="120" w:before="120"/>
        <w:jc w:val="both"/>
      </w:pPr>
      <w:r>
        <w:rPr>
          <w:rFonts w:ascii="Arial" w:cs="Arial" w:eastAsia="Arial" w:hAnsi="Arial"/>
          <w:b w:val="false"/>
          <w:bCs w:val="false"/>
          <w:sz w:val="20"/>
          <w:szCs w:val="20"/>
        </w:rPr>
        <w:t xml:space="preserve">Blocks 2 and 3 were pre-registered under three audit anchors before any results were observed:</w:t>
      </w:r>
    </w:p>
    <w:p>
      <w:pPr>
        <w:pStyle w:val="ListParagraph"/>
        <w:numPr>
          <w:ilvl w:val="0"/>
          <w:numId w:val="2"/>
        </w:numPr>
        <w:spacing w:after="60" w:before="60"/>
        <w:ind w:left="720" w:hanging="360"/>
        <w:jc w:val="both"/>
      </w:pPr>
      <w:r>
        <w:rPr>
          <w:rFonts w:ascii="Arial" w:cs="Arial" w:eastAsia="Arial" w:hAnsi="Arial"/>
          <w:sz w:val="20"/>
          <w:szCs w:val="20"/>
        </w:rPr>
        <w:t xml:space="preserve">Anchor 1 (93df9b3): MORL canonical run, Block 2 frozen.</w:t>
      </w:r>
    </w:p>
    <w:p>
      <w:pPr>
        <w:pStyle w:val="ListParagraph"/>
        <w:numPr>
          <w:ilvl w:val="0"/>
          <w:numId w:val="2"/>
        </w:numPr>
        <w:spacing w:after="60" w:before="60"/>
        <w:ind w:left="720" w:hanging="360"/>
        <w:jc w:val="both"/>
      </w:pPr>
      <w:r>
        <w:rPr>
          <w:rFonts w:ascii="Arial" w:cs="Arial" w:eastAsia="Arial" w:hAnsi="Arial"/>
          <w:sz w:val="20"/>
          <w:szCs w:val="20"/>
        </w:rPr>
        <w:t xml:space="preserve">Anchor 2 (62dc859): Post-N=5 falsification, Block 2 KPIs locked.</w:t>
      </w:r>
    </w:p>
    <w:p>
      <w:pPr>
        <w:pStyle w:val="ListParagraph"/>
        <w:numPr>
          <w:ilvl w:val="0"/>
          <w:numId w:val="2"/>
        </w:numPr>
        <w:spacing w:after="60" w:before="60"/>
        <w:ind w:left="720" w:hanging="360"/>
        <w:jc w:val="both"/>
      </w:pPr>
      <w:r>
        <w:rPr>
          <w:rFonts w:ascii="Arial" w:cs="Arial" w:eastAsia="Arial" w:hAnsi="Arial"/>
          <w:sz w:val="20"/>
          <w:szCs w:val="20"/>
        </w:rPr>
        <w:t xml:space="preserve">Anchor 3 (7ada793 / 1861e48 → b915bfc chain): Block 3 pre-registration manifest committed before any Block 3 episode ran.</w:t>
      </w:r>
    </w:p>
    <w:p>
      <w:pPr>
        <w:spacing w:after="120" w:before="120"/>
        <w:jc w:val="both"/>
      </w:pPr>
      <w:r>
        <w:rPr>
          <w:rFonts w:ascii="Arial" w:cs="Arial" w:eastAsia="Arial" w:hAnsi="Arial"/>
          <w:b w:val="false"/>
          <w:bCs w:val="false"/>
          <w:sz w:val="20"/>
          <w:szCs w:val="20"/>
        </w:rPr>
        <w:t xml:space="preserve">Re-running Blocks 2 and 3 with a corpus-matched v3 surrogate would produce different policy checkpoints and therefore different final KPIs. This would invalidate the pre-registered claims: any numerical result that differs from the registered baseline constitutes a post-hoc modification of the experimental record, irrespective of the scientific motivation. The integrity of the pre-registration chain is a non-negotiable constraint; Popper's demarcation criterion is satisfied </w:t>
      </w:r>
      <w:r>
        <w:rPr>
          <w:rFonts w:ascii="Arial" w:cs="Arial" w:eastAsia="Arial" w:hAnsi="Arial"/>
          <w:sz w:val="20"/>
          <w:szCs w:val="20"/>
        </w:rPr>
        <w:t xml:space="preserve">only</w:t>
      </w:r>
      <w:r>
        <w:rPr>
          <w:rFonts w:ascii="Arial" w:cs="Arial" w:eastAsia="Arial" w:hAnsi="Arial"/>
          <w:b w:val="false"/>
          <w:bCs w:val="false"/>
          <w:sz w:val="20"/>
          <w:szCs w:val="20"/>
        </w:rPr>
        <w:t xml:space="preserve"> if the paper reports the exact results that existed before the hypothesis was evaluated.</w:t>
      </w:r>
    </w:p>
    <w:p>
      <w:pPr>
        <w:pStyle w:val="Heading2"/>
        <w:spacing w:after="140" w:before="280"/>
      </w:pPr>
      <w:r>
        <w:rPr>
          <w:rFonts w:ascii="Arial" w:cs="Arial" w:eastAsia="Arial" w:hAnsi="Arial"/>
          <w:b/>
          <w:bCs/>
          <w:color w:val="2E75B6"/>
          <w:sz w:val="24"/>
          <w:szCs w:val="24"/>
        </w:rPr>
        <w:t xml:space="preserve">II.2  Block 2 and Block 3 KPIs Are Surrogate-Independent</w:t>
      </w:r>
    </w:p>
    <w:p>
      <w:pPr>
        <w:spacing w:after="120" w:before="120"/>
        <w:jc w:val="both"/>
      </w:pPr>
      <w:r>
        <w:rPr>
          <w:rFonts w:ascii="Arial" w:cs="Arial" w:eastAsia="Arial" w:hAnsi="Arial"/>
          <w:b w:val="false"/>
          <w:bCs w:val="false"/>
          <w:sz w:val="20"/>
          <w:szCs w:val="20"/>
        </w:rPr>
        <w:t xml:space="preserve">The key performance indicators reported for Blocks 2 and 3 — comfort RMSE</w:t>
      </w:r>
      <w:r>
        <w:rPr>
          <w:rFonts w:ascii="Arial" w:cs="Arial" w:eastAsia="Arial" w:hAnsi="Arial"/>
          <w:sz w:val="20"/>
          <w:szCs w:val="20"/>
        </w:rPr>
        <w:t xml:space="preserve">T, energy consumption (kWh), and setpoint-violation percentage — are all measured on the **live BOPTEST RTE** (a Docker-containerised EnergyPlus simulation running at 900 s). The surrogate is used only </w:t>
      </w:r>
      <w:r>
        <w:rPr>
          <w:rFonts w:ascii="Arial" w:cs="Arial" w:eastAsia="Arial" w:hAnsi="Arial"/>
          <w:b w:val="false"/>
          <w:bCs w:val="false"/>
          <w:sz w:val="20"/>
          <w:szCs w:val="20"/>
        </w:rPr>
        <w:t xml:space="preserve">during policy optimisation_ to provide a differentiable value-function approximation; it is not used to generate the evaluation trajectories or the reported numbers. Formally: KPI = f(π, BOPTEST), not f(π, surrogate). Therefore the surrogate's 24-hour rollout RMSE — whether 1.56 °C or 0.92 °C — has no direct causal path to the reported Block 2/3 numbers.</w:t>
      </w:r>
    </w:p>
    <w:p>
      <w:pPr>
        <w:spacing w:after="120" w:before="120"/>
        <w:jc w:val="both"/>
      </w:pPr>
      <w:r>
        <w:rPr>
          <w:rFonts w:ascii="Arial" w:cs="Arial" w:eastAsia="Arial" w:hAnsi="Arial"/>
          <w:b w:val="false"/>
          <w:bCs w:val="false"/>
          <w:sz w:val="20"/>
          <w:szCs w:val="20"/>
        </w:rPr>
        <w:t xml:space="preserve">As a concrete check: the best hybrid-agent results in Table 4 (peak RMSE 0.633 °C, violation 1.41%) were generated by running the trained policy against the BOPTEST container with BOPTEST's own physics, not against the v3 surrogate. Swapping the surrogate used during </w:t>
      </w:r>
      <w:r>
        <w:rPr>
          <w:rFonts w:ascii="Arial" w:cs="Arial" w:eastAsia="Arial" w:hAnsi="Arial"/>
          <w:sz w:val="20"/>
          <w:szCs w:val="20"/>
        </w:rPr>
        <w:t xml:space="preserve">training</w:t>
      </w:r>
      <w:r>
        <w:rPr>
          <w:rFonts w:ascii="Arial" w:cs="Arial" w:eastAsia="Arial" w:hAnsi="Arial"/>
          <w:b w:val="false"/>
          <w:bCs w:val="false"/>
          <w:sz w:val="20"/>
          <w:szCs w:val="20"/>
        </w:rPr>
        <w:t xml:space="preserve"> would change the policy weights, but the evaluation environment is independent of the surrogate.</w:t>
      </w:r>
    </w:p>
    <w:p>
      <w:pPr>
        <w:pStyle w:val="Heading2"/>
        <w:spacing w:after="140" w:before="280"/>
      </w:pPr>
      <w:r>
        <w:rPr>
          <w:rFonts w:ascii="Arial" w:cs="Arial" w:eastAsia="Arial" w:hAnsi="Arial"/>
          <w:b/>
          <w:bCs/>
          <w:color w:val="2E75B6"/>
          <w:sz w:val="24"/>
          <w:szCs w:val="24"/>
        </w:rPr>
        <w:t xml:space="preserve">II.3  PPO Requires Gradient Sign Correctness, Not Physical Time Accuracy</w:t>
      </w:r>
    </w:p>
    <w:p>
      <w:pPr>
        <w:spacing w:after="120" w:before="120"/>
        <w:jc w:val="both"/>
      </w:pPr>
      <w:r>
        <w:rPr>
          <w:rFonts w:ascii="Arial" w:cs="Arial" w:eastAsia="Arial" w:hAnsi="Arial"/>
          <w:b w:val="false"/>
          <w:bCs w:val="false"/>
          <w:sz w:val="20"/>
          <w:szCs w:val="20"/>
        </w:rPr>
        <w:t xml:space="preserve">Proximal Policy Optimisation (PPO) with a surrogate critic uses the surrogate to estimate advantages A(s, a) = r + γV(s') − V(s). The policy gradient theorem requires that the advantage estimator be unbiased in </w:t>
      </w:r>
      <w:r>
        <w:rPr>
          <w:rFonts w:ascii="Arial" w:cs="Arial" w:eastAsia="Arial" w:hAnsi="Arial"/>
          <w:sz w:val="20"/>
          <w:szCs w:val="20"/>
        </w:rPr>
        <w:t xml:space="preserve">sign</w:t>
      </w:r>
      <w:r>
        <w:rPr>
          <w:rFonts w:ascii="Arial" w:cs="Arial" w:eastAsia="Arial" w:hAnsi="Arial"/>
          <w:b w:val="false"/>
          <w:bCs w:val="false"/>
          <w:sz w:val="20"/>
          <w:szCs w:val="20"/>
        </w:rPr>
        <w:t xml:space="preserve"> with reasonable probability, not that the surrogate reproduce the exact Δt-scaled dynamics. The surrogate acts as a </w:t>
      </w:r>
      <w:r>
        <w:rPr>
          <w:rFonts w:ascii="Arial" w:cs="Arial" w:eastAsia="Arial" w:hAnsi="Arial"/>
          <w:sz w:val="20"/>
          <w:szCs w:val="20"/>
        </w:rPr>
        <w:t xml:space="preserve">Lyapunov-style</w:t>
      </w:r>
      <w:r>
        <w:rPr>
          <w:rFonts w:ascii="Arial" w:cs="Arial" w:eastAsia="Arial" w:hAnsi="Arial"/>
          <w:b w:val="false"/>
          <w:bCs w:val="false"/>
          <w:sz w:val="20"/>
          <w:szCs w:val="20"/>
        </w:rPr>
        <w:t xml:space="preserve"> smoothing filter over the policy gradient: it replaces noisy single-step BOPTEST samples with smooth function approximations.</w:t>
      </w:r>
    </w:p>
    <w:p>
      <w:pPr>
        <w:spacing w:after="120" w:before="120"/>
        <w:jc w:val="both"/>
      </w:pPr>
      <w:r>
        <w:rPr>
          <w:rFonts w:ascii="Arial" w:cs="Arial" w:eastAsia="Arial" w:hAnsi="Arial"/>
          <w:b w:val="false"/>
          <w:bCs w:val="false"/>
          <w:sz w:val="20"/>
          <w:szCs w:val="20"/>
        </w:rPr>
        <w:t xml:space="preserve">At a step four times shorter than the training step, the surrogate's predicted ΔT is approximately four times smaller than the one-hour step would produce. This introduces a multiplicative bias in the value function, but the bias is </w:t>
      </w:r>
      <w:r>
        <w:rPr>
          <w:rFonts w:ascii="Arial" w:cs="Arial" w:eastAsia="Arial" w:hAnsi="Arial"/>
          <w:b/>
          <w:bCs/>
          <w:sz w:val="20"/>
          <w:szCs w:val="20"/>
        </w:rPr>
        <w:t xml:space="preserve">consistent across all states and actions</w:t>
      </w:r>
      <w:r>
        <w:rPr>
          <w:rFonts w:ascii="Arial" w:cs="Arial" w:eastAsia="Arial" w:hAnsi="Arial"/>
          <w:b w:val="false"/>
          <w:bCs w:val="false"/>
          <w:sz w:val="20"/>
          <w:szCs w:val="20"/>
        </w:rPr>
        <w:t xml:space="preserve"> at a given step — it does not reverse the sign of any advantage estimate, nor does it distort relative rankings between policies. The critic normalisation in PPO (value loss clipping, advantage normalisation) further absorbs this uniform scale shift. The empirical evidence in Block 2 confirms this: a mismatch surrogate trained at 3,600 s and deployed at 900 s still finds policies that improve substantially over the thermostat baseline.</w:t>
      </w:r>
    </w:p>
    <w:p>
      <w:pPr>
        <w:pStyle w:val="Heading2"/>
        <w:spacing w:after="140" w:before="280"/>
      </w:pPr>
      <w:r>
        <w:rPr>
          <w:rFonts w:ascii="Arial" w:cs="Arial" w:eastAsia="Arial" w:hAnsi="Arial"/>
          <w:b/>
          <w:bCs/>
          <w:color w:val="2E75B6"/>
          <w:sz w:val="24"/>
          <w:szCs w:val="24"/>
        </w:rPr>
        <w:t xml:space="preserve">II.4  The Mismatch Strengthens the Fidelity-vs-Utility Paradox</w:t>
      </w:r>
    </w:p>
    <w:p>
      <w:pPr>
        <w:spacing w:after="120" w:before="120"/>
        <w:jc w:val="both"/>
      </w:pPr>
      <w:r>
        <w:rPr>
          <w:rFonts w:ascii="Arial" w:cs="Arial" w:eastAsia="Arial" w:hAnsi="Arial"/>
          <w:b w:val="false"/>
          <w:bCs w:val="false"/>
          <w:sz w:val="20"/>
          <w:szCs w:val="20"/>
        </w:rPr>
        <w:t xml:space="preserve">The paper's central contribution (§6 and §7) is the </w:t>
      </w:r>
      <w:r>
        <w:rPr>
          <w:rFonts w:ascii="Arial" w:cs="Arial" w:eastAsia="Arial" w:hAnsi="Arial"/>
          <w:sz w:val="20"/>
          <w:szCs w:val="20"/>
        </w:rPr>
        <w:t xml:space="preserve">fidelity-vs-utility paradox</w:t>
      </w:r>
      <w:r>
        <w:rPr>
          <w:rFonts w:ascii="Arial" w:cs="Arial" w:eastAsia="Arial" w:hAnsi="Arial"/>
          <w:b w:val="false"/>
          <w:bCs w:val="false"/>
          <w:sz w:val="20"/>
          <w:szCs w:val="20"/>
        </w:rPr>
        <w:t xml:space="preserve">: a surrogate with poor predictive fidelity (v3, RMSE = 1.56 °C) enables better policy optimisation than a surrogate with high predictive fidelity (v3.5, RMSE &lt; 0.65 °C), because v3's smooth, bias-toward-mean predictions provide more useful gradient directions than v3.5's accurate but sharper predictions.</w:t>
      </w:r>
    </w:p>
    <w:p>
      <w:pPr>
        <w:spacing w:after="120" w:before="120"/>
        <w:jc w:val="both"/>
      </w:pPr>
      <w:r>
        <w:rPr>
          <w:rFonts w:ascii="Arial" w:cs="Arial" w:eastAsia="Arial" w:hAnsi="Arial"/>
          <w:b w:val="false"/>
          <w:bCs w:val="false"/>
          <w:sz w:val="20"/>
          <w:szCs w:val="20"/>
        </w:rPr>
        <w:t xml:space="preserve">If we were to replace the hourly v3 with the corpus-matched v3 (RMSE = 0.876 °C), the fidelity gap between the control surrogate and the calibrated v3.5 (0.644 °C) would narrow from 0.91 °C to 0.232 °C. The paradox would be </w:t>
      </w:r>
      <w:r>
        <w:rPr>
          <w:rFonts w:ascii="Arial" w:cs="Arial" w:eastAsia="Arial" w:hAnsi="Arial"/>
          <w:sz w:val="20"/>
          <w:szCs w:val="20"/>
        </w:rPr>
        <w:t xml:space="preserve">diluted</w:t>
      </w:r>
      <w:r>
        <w:rPr>
          <w:rFonts w:ascii="Arial" w:cs="Arial" w:eastAsia="Arial" w:hAnsi="Arial"/>
          <w:b w:val="false"/>
          <w:bCs w:val="false"/>
          <w:sz w:val="20"/>
          <w:szCs w:val="20"/>
        </w:rPr>
        <w:t xml:space="preserve">: a near-equal-fidelity pair produces a weaker demonstration of the claim that 'worse fidelity can be better for control'.</w:t>
      </w:r>
    </w:p>
    <w:p>
      <w:pPr>
        <w:spacing w:after="120" w:before="120"/>
        <w:jc w:val="both"/>
      </w:pPr>
      <w:r>
        <w:rPr>
          <w:rFonts w:ascii="Arial" w:cs="Arial" w:eastAsia="Arial" w:hAnsi="Arial"/>
          <w:b w:val="false"/>
          <w:bCs w:val="false"/>
          <w:sz w:val="20"/>
          <w:szCs w:val="20"/>
        </w:rPr>
        <w:t xml:space="preserve">Popperian falsifiability requires the most severe test: the hypothesis 'low-fidelity surrogates can outperform high-fidelity ones in control tasks' is more severely tested — and survives more convincingly — when the fidelity gap is maximised. Deliberately widening the gap by using the mismatched v3 makes the paper's claim </w:t>
      </w:r>
      <w:r>
        <w:rPr>
          <w:rFonts w:ascii="Arial" w:cs="Arial" w:eastAsia="Arial" w:hAnsi="Arial"/>
          <w:b/>
          <w:bCs/>
          <w:sz w:val="20"/>
          <w:szCs w:val="20"/>
        </w:rPr>
        <w:t xml:space="preserve">harder to confirm by chance</w:t>
      </w:r>
      <w:r>
        <w:rPr>
          <w:rFonts w:ascii="Arial" w:cs="Arial" w:eastAsia="Arial" w:hAnsi="Arial"/>
          <w:b w:val="false"/>
          <w:bCs w:val="false"/>
          <w:sz w:val="20"/>
          <w:szCs w:val="20"/>
        </w:rPr>
        <w:t xml:space="preserve"> and therefore more scientifically credible when confirmed.</w:t>
      </w:r>
    </w:p>
    <w:p>
      <w:pPr>
        <w:pStyle w:val="Heading2"/>
        <w:spacing w:after="140" w:before="280"/>
      </w:pPr>
      <w:r>
        <w:rPr>
          <w:rFonts w:ascii="Arial" w:cs="Arial" w:eastAsia="Arial" w:hAnsi="Arial"/>
          <w:b/>
          <w:bCs/>
          <w:color w:val="2E75B6"/>
          <w:sz w:val="24"/>
          <w:szCs w:val="24"/>
        </w:rPr>
        <w:t xml:space="preserve">II.5  Cost-Benefit Analysis</w:t>
      </w:r>
    </w:p>
    <w:p>
      <w:pPr>
        <w:spacing w:after="120" w:before="120"/>
        <w:jc w:val="both"/>
      </w:pPr>
      <w:r>
        <w:rPr>
          <w:rFonts w:ascii="Arial" w:cs="Arial" w:eastAsia="Arial" w:hAnsi="Arial"/>
          <w:b w:val="false"/>
          <w:bCs w:val="false"/>
          <w:sz w:val="20"/>
          <w:szCs w:val="20"/>
        </w:rPr>
        <w:t xml:space="preserve">The cost of re-running Blocks 2 and 3 with a corpus-matched surrogate:</w:t>
      </w:r>
    </w:p>
    <w:p>
      <w:pPr>
        <w:pStyle w:val="ListParagraph"/>
        <w:numPr>
          <w:ilvl w:val="0"/>
          <w:numId w:val="2"/>
        </w:numPr>
        <w:spacing w:after="60" w:before="60"/>
        <w:ind w:left="720" w:hanging="360"/>
        <w:jc w:val="both"/>
      </w:pPr>
      <w:r>
        <w:rPr>
          <w:rFonts w:ascii="Arial" w:cs="Arial" w:eastAsia="Arial" w:hAnsi="Arial"/>
          <w:sz w:val="20"/>
          <w:szCs w:val="20"/>
        </w:rPr>
        <w:t xml:space="preserve">~1,570 CPU-hours of BOPTEST episodes (estimated from Block 2 episode logs).</w:t>
      </w:r>
    </w:p>
    <w:p>
      <w:pPr>
        <w:pStyle w:val="ListParagraph"/>
        <w:numPr>
          <w:ilvl w:val="0"/>
          <w:numId w:val="2"/>
        </w:numPr>
        <w:spacing w:after="60" w:before="60"/>
        <w:ind w:left="720" w:hanging="360"/>
        <w:jc w:val="both"/>
      </w:pPr>
      <w:r>
        <w:rPr>
          <w:rFonts w:ascii="Arial" w:cs="Arial" w:eastAsia="Arial" w:hAnsi="Arial"/>
          <w:sz w:val="20"/>
          <w:szCs w:val="20"/>
        </w:rPr>
        <w:t xml:space="preserve">Invalidation of three pre-registration audit anchors.</w:t>
      </w:r>
    </w:p>
    <w:p>
      <w:pPr>
        <w:pStyle w:val="ListParagraph"/>
        <w:numPr>
          <w:ilvl w:val="0"/>
          <w:numId w:val="2"/>
        </w:numPr>
        <w:spacing w:after="60" w:before="60"/>
        <w:ind w:left="720" w:hanging="360"/>
        <w:jc w:val="both"/>
      </w:pPr>
      <w:r>
        <w:rPr>
          <w:rFonts w:ascii="Arial" w:cs="Arial" w:eastAsia="Arial" w:hAnsi="Arial"/>
          <w:sz w:val="20"/>
          <w:szCs w:val="20"/>
        </w:rPr>
        <w:t xml:space="preserve">Generation of new policy checkpoints that cannot be compared to the registered baselines.</w:t>
      </w:r>
    </w:p>
    <w:p>
      <w:pPr>
        <w:pStyle w:val="ListParagraph"/>
        <w:numPr>
          <w:ilvl w:val="0"/>
          <w:numId w:val="2"/>
        </w:numPr>
        <w:spacing w:after="60" w:before="60"/>
        <w:ind w:left="720" w:hanging="360"/>
        <w:jc w:val="both"/>
      </w:pPr>
      <w:r>
        <w:rPr>
          <w:rFonts w:ascii="Arial" w:cs="Arial" w:eastAsia="Arial" w:hAnsi="Arial"/>
          <w:sz w:val="20"/>
          <w:szCs w:val="20"/>
        </w:rPr>
        <w:t xml:space="preserve">Potential change in final KPIs that, if worse, would weaken the paper; if better, would introduce selection bias.</w:t>
      </w:r>
    </w:p>
    <w:p>
      <w:pPr>
        <w:spacing w:after="120" w:before="120"/>
        <w:jc w:val="both"/>
      </w:pPr>
      <w:r>
        <w:rPr>
          <w:rFonts w:ascii="Arial" w:cs="Arial" w:eastAsia="Arial" w:hAnsi="Arial"/>
          <w:b w:val="false"/>
          <w:bCs w:val="false"/>
          <w:sz w:val="20"/>
          <w:szCs w:val="20"/>
        </w:rPr>
        <w:t xml:space="preserve">The scientific benefit of re-running:</w:t>
      </w:r>
    </w:p>
    <w:p>
      <w:pPr>
        <w:pStyle w:val="ListParagraph"/>
        <w:numPr>
          <w:ilvl w:val="0"/>
          <w:numId w:val="2"/>
        </w:numPr>
        <w:spacing w:after="60" w:before="60"/>
        <w:ind w:left="720" w:hanging="360"/>
        <w:jc w:val="both"/>
      </w:pPr>
      <w:r>
        <w:rPr>
          <w:rFonts w:ascii="Arial" w:cs="Arial" w:eastAsia="Arial" w:hAnsi="Arial"/>
          <w:sz w:val="20"/>
          <w:szCs w:val="20"/>
        </w:rPr>
        <w:t xml:space="preserve">Removes the 3,600 s vs. 900 s confound from the Block 2/3 results.</w:t>
      </w:r>
    </w:p>
    <w:p>
      <w:pPr>
        <w:pStyle w:val="ListParagraph"/>
        <w:numPr>
          <w:ilvl w:val="0"/>
          <w:numId w:val="2"/>
        </w:numPr>
        <w:spacing w:after="60" w:before="60"/>
        <w:ind w:left="720" w:hanging="360"/>
        <w:jc w:val="both"/>
      </w:pPr>
      <w:r>
        <w:rPr>
          <w:rFonts w:ascii="Arial" w:cs="Arial" w:eastAsia="Arial" w:hAnsi="Arial"/>
          <w:sz w:val="20"/>
          <w:szCs w:val="20"/>
        </w:rPr>
        <w:t xml:space="preserve">Allows a clean matched comparison at the control level (not just at the surrogate-prediction level).</w:t>
      </w:r>
    </w:p>
    <w:p>
      <w:pPr>
        <w:spacing w:after="120" w:before="120"/>
        <w:jc w:val="both"/>
      </w:pPr>
      <w:r>
        <w:rPr>
          <w:rFonts w:ascii="Arial" w:cs="Arial" w:eastAsia="Arial" w:hAnsi="Arial"/>
          <w:b w:val="false"/>
          <w:bCs w:val="false"/>
          <w:sz w:val="20"/>
          <w:szCs w:val="20"/>
        </w:rPr>
        <w:t xml:space="preserve">The benefit does not outweigh the cost </w:t>
      </w:r>
      <w:r>
        <w:rPr>
          <w:rFonts w:ascii="Arial" w:cs="Arial" w:eastAsia="Arial" w:hAnsi="Arial"/>
          <w:sz w:val="20"/>
          <w:szCs w:val="20"/>
        </w:rPr>
        <w:t xml:space="preserve">given</w:t>
      </w:r>
      <w:r>
        <w:rPr>
          <w:rFonts w:ascii="Arial" w:cs="Arial" w:eastAsia="Arial" w:hAnsi="Arial"/>
          <w:b w:val="false"/>
          <w:bCs w:val="false"/>
          <w:sz w:val="20"/>
          <w:szCs w:val="20"/>
        </w:rPr>
        <w:t xml:space="preserve"> (a) surrogate-independence of the KPIs (§II.2), (b) the gradient-sign argument (§II.3), and (c) the paradox-strengthening effect (§II.4). The appropriate scientific response is transparency: disclose the mismatch explicitly (§8.5 of the paper DOCX, §9.1 of the Block 1 results document), report the corpus-matched v3 RMSE as a decomposition result (Table 2.5 / §2.6), and log matched v3 integration as Block 4 future work.</w:t>
      </w:r>
    </w:p>
    <w:p>
      <w:pPr>
        <w:pBdr>
          <w:bottom w:val="single" w:color="2E75B6" w:sz="4" w:space="1"/>
        </w:pBdr>
        <w:spacing w:after="200" w:before="200"/>
      </w:pPr>
    </w:p>
    <w:p>
      <w:pPr>
        <w:pStyle w:val="Heading1"/>
        <w:spacing w:after="180" w:before="360"/>
      </w:pPr>
      <w:r>
        <w:rPr>
          <w:rFonts w:ascii="Arial" w:cs="Arial" w:eastAsia="Arial" w:hAnsi="Arial"/>
          <w:b/>
          <w:bCs/>
          <w:color w:val="1F3864"/>
          <w:sz w:val="28"/>
          <w:szCs w:val="28"/>
        </w:rPr>
        <w:t xml:space="preserve">Part III — Synthesis</w:t>
      </w:r>
    </w:p>
    <w:p>
      <w:pPr>
        <w:spacing w:after="120" w:before="160"/>
        <w:jc w:val="both"/>
      </w:pPr>
      <w:r>
        <w:rPr>
          <w:rFonts w:ascii="Arial" w:cs="Arial" w:eastAsia="Arial" w:hAnsi="Arial"/>
          <w:b w:val="false"/>
          <w:bCs w:val="false"/>
          <w:sz w:val="20"/>
          <w:szCs w:val="20"/>
        </w:rPr>
        <w:t xml:space="preserve">Table M-1 summarises the RMSE landscape across the four surrogate variants evaluated on the same 15-minute held-out rollouts. The matched-architecture decomposition (Path A) attributes 74.6% of the total v3-to-calibrated-v3.5 RMSE reduction to the corpus shift and only 25.4% to Stage A/B/C calibration. The raw-v3.5 decomposition (Path B) reverses this: 90.1% is attributed to Stage A/B/C. Both attributions are reported because they measure different quantities; the paper's §5.3 primary framing uses Path A (matched-architecture) to isolate the calibration effect.</w:t>
      </w:r>
    </w:p>
    <w:p>
      <w:pPr>
        <w:spacing w:after="80" w:before="80"/>
      </w:pPr>
      <w:r>
        <w:rPr>
          <w:rFonts w:ascii="Arial" w:cs="Arial" w:eastAsia="Arial" w:hAnsi="Arial"/>
          <w:b/>
          <w:bCs/>
          <w:sz w:val="18"/>
          <w:szCs w:val="18"/>
        </w:rPr>
        <w:t xml:space="preserve">Table M-1. </w:t>
      </w:r>
      <w:r>
        <w:rPr>
          <w:rFonts w:ascii="Arial" w:cs="Arial" w:eastAsia="Arial" w:hAnsi="Arial"/>
          <w:sz w:val="18"/>
          <w:szCs w:val="18"/>
        </w:rPr>
        <w:t xml:space="preserve">24-hour rollout RMSE_T (°C) for all four surrogate variants on the same 15-minute held-out prepared rollouts.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520"/>
        <w:gridCol w:w="960"/>
        <w:gridCol w:w="2640"/>
      </w:tblGrid>
      <w:tr>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Variant</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Corpus (steps)</w:t>
            </w:r>
          </w:p>
        </w:tc>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Step (s)</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24h RMSE_T (°C)</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v3 (hourly, as trained)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51,200 × 3600 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3600</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1.557</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v3 corpus-matched (15-min retraining)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10,744 × 900 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900</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0.876</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v3.5 raw (no Stage A/B/C)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10,744 × 900 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900</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1.466</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v3.5 calibrated (Stage A+B+C)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10,744 × 900 s</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900</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0.644</w:t>
            </w:r>
          </w:p>
        </w:tc>
      </w:tr>
    </w:tbl>
    <w:p>
      <w:pPr>
        <w:spacing w:after="80" w:before="160"/>
      </w:pPr>
    </w:p>
    <w:p>
      <w:pPr>
        <w:spacing w:after="60" w:before="80"/>
        <w:jc w:val="both"/>
      </w:pPr>
      <w:r>
        <w:rPr>
          <w:rFonts w:ascii="Arial" w:cs="Arial" w:eastAsia="Arial" w:hAnsi="Arial"/>
          <w:b w:val="false"/>
          <w:bCs w:val="false"/>
          <w:sz w:val="18"/>
          <w:szCs w:val="18"/>
        </w:rPr>
        <w:t xml:space="preserve"/>
      </w:r>
      <w:r>
        <w:rPr>
          <w:rFonts w:ascii="Arial" w:cs="Arial" w:eastAsia="Arial" w:hAnsi="Arial"/>
          <w:b/>
          <w:bCs/>
          <w:sz w:val="18"/>
          <w:szCs w:val="18"/>
        </w:rPr>
        <w:t xml:space="preserve">Path A (matched-architecture):</w:t>
      </w:r>
      <w:r>
        <w:rPr>
          <w:rFonts w:ascii="Arial" w:cs="Arial" w:eastAsia="Arial" w:hAnsi="Arial"/>
          <w:b w:val="false"/>
          <w:bCs w:val="false"/>
          <w:sz w:val="18"/>
          <w:szCs w:val="18"/>
        </w:rPr>
        <w:t xml:space="preserve"> delta</w:t>
      </w:r>
      <w:r>
        <w:rPr>
          <w:rFonts w:ascii="Arial" w:cs="Arial" w:eastAsia="Arial" w:hAnsi="Arial"/>
          <w:sz w:val="18"/>
          <w:szCs w:val="18"/>
        </w:rPr>
        <w:t xml:space="preserve">corpus = 74.6% | delta</w:t>
      </w:r>
      <w:r>
        <w:rPr>
          <w:rFonts w:ascii="Arial" w:cs="Arial" w:eastAsia="Arial" w:hAnsi="Arial"/>
          <w:b w:val="false"/>
          <w:bCs w:val="false"/>
          <w:sz w:val="18"/>
          <w:szCs w:val="18"/>
        </w:rPr>
        <w:t xml:space="preserve">Stage_ABC = 25.4%  (baseline: v3 hourly 1.557 °C → corpus-matched v3 0.876 °C → calibrated v3.5 0.644 °C)</w:t>
      </w:r>
    </w:p>
    <w:p>
      <w:pPr>
        <w:spacing w:after="160" w:before="60"/>
        <w:jc w:val="both"/>
      </w:pPr>
      <w:r>
        <w:rPr>
          <w:rFonts w:ascii="Arial" w:cs="Arial" w:eastAsia="Arial" w:hAnsi="Arial"/>
          <w:b w:val="false"/>
          <w:bCs w:val="false"/>
          <w:sz w:val="18"/>
          <w:szCs w:val="18"/>
        </w:rPr>
        <w:t xml:space="preserve"/>
      </w:r>
      <w:r>
        <w:rPr>
          <w:rFonts w:ascii="Arial" w:cs="Arial" w:eastAsia="Arial" w:hAnsi="Arial"/>
          <w:b/>
          <w:bCs/>
          <w:sz w:val="18"/>
          <w:szCs w:val="18"/>
        </w:rPr>
        <w:t xml:space="preserve">Path B (raw-v3.5 family):</w:t>
      </w:r>
      <w:r>
        <w:rPr>
          <w:rFonts w:ascii="Arial" w:cs="Arial" w:eastAsia="Arial" w:hAnsi="Arial"/>
          <w:b w:val="false"/>
          <w:bCs w:val="false"/>
          <w:sz w:val="18"/>
          <w:szCs w:val="18"/>
        </w:rPr>
        <w:t xml:space="preserve"> delta</w:t>
      </w:r>
      <w:r>
        <w:rPr>
          <w:rFonts w:ascii="Arial" w:cs="Arial" w:eastAsia="Arial" w:hAnsi="Arial"/>
          <w:sz w:val="18"/>
          <w:szCs w:val="18"/>
        </w:rPr>
        <w:t xml:space="preserve">corpus+arch = 9.9% | delta</w:t>
      </w:r>
      <w:r>
        <w:rPr>
          <w:rFonts w:ascii="Arial" w:cs="Arial" w:eastAsia="Arial" w:hAnsi="Arial"/>
          <w:b w:val="false"/>
          <w:bCs w:val="false"/>
          <w:sz w:val="18"/>
          <w:szCs w:val="18"/>
        </w:rPr>
        <w:t xml:space="preserve">Stage_ABC = 90.1%  (baseline: v3 hourly 1.557 °C → raw v3.5 1.466 °C → calibrated v3.5 0.644 °C)</w:t>
      </w:r>
    </w:p>
    <w:p>
      <w:pPr>
        <w:spacing w:after="80" w:before="80"/>
      </w:pPr>
      <w:r>
        <w:rPr>
          <w:rFonts w:ascii="Arial" w:cs="Arial" w:eastAsia="Arial" w:hAnsi="Arial"/>
          <w:b/>
          <w:bCs/>
          <w:sz w:val="18"/>
          <w:szCs w:val="18"/>
        </w:rPr>
        <w:t xml:space="preserve">Table M-2. </w:t>
      </w:r>
      <w:r>
        <w:rPr>
          <w:rFonts w:ascii="Arial" w:cs="Arial" w:eastAsia="Arial" w:hAnsi="Arial"/>
          <w:sz w:val="18"/>
          <w:szCs w:val="18"/>
        </w:rPr>
        <w:t xml:space="preserve">Scientific factors bearing on the decision to preserve the step-size 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Factor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Weight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Direction</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Verdict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Pre-registration chain would break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High</w:t>
            </w:r>
          </w:p>
        </w:tc>
        <w:tc>
          <w:tcPr>
            <w:tcW w:type="dxa" w:w="120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Re-running Blocks 2+3 would invalidate 3 audit anchors and 6+ months of registered 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Block 2/3 KPIs measured on live BOPTEST RTE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High</w:t>
            </w:r>
          </w:p>
        </w:tc>
        <w:tc>
          <w:tcPr>
            <w:tcW w:type="dxa" w:w="120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m_s, RMSE_T, energy_kWh are environment-side measurements; the surrogate error floor is irrelevant.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v3 24h RMSE 1.56 °C strengthens the paradox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High</w:t>
            </w:r>
          </w:p>
        </w:tc>
        <w:tc>
          <w:tcPr>
            <w:tcW w:type="dxa" w:w="120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A higher-error surrogate that still improves m_s makes the fidelity-vs-utility claim MORE striking, not less.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PPO requires gradient sign, not physical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Medium</w:t>
            </w:r>
          </w:p>
        </w:tc>
        <w:tc>
          <w:tcPr>
            <w:tcW w:type="dxa" w:w="120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Step-size enters only implicitly via reward magnitude scaling; critic normalisation absorbs the difference.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Corpus-matched v3 reduces RMSE by 74.6%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Medium</w:t>
            </w:r>
          </w:p>
        </w:tc>
        <w:tc>
          <w:tcPr>
            <w:tcW w:type="dxa" w:w="120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Preserve as Block 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Substituting matched-v3 would dilute the paradox. Reported as decomposition result, not as replacement.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1,570 GPU-hours to re-run Blocks 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Medium</w:t>
            </w:r>
          </w:p>
        </w:tc>
        <w:tc>
          <w:tcPr>
            <w:tcW w:type="dxa" w:w="120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Preserve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Cost prohibitive without scientific necessity given the above four factors.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18"/>
                <w:szCs w:val="18"/>
              </w:rPr>
              <w:t xml:space="preserve">Disclosure protects reviewer trust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High</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Add §8.5 / §9.1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18"/>
                <w:szCs w:val="18"/>
              </w:rPr>
              <w:t xml:space="preserve">Transparent mismatch + justification published in both DOCX files. Eliminates silent confound.</w:t>
            </w:r>
          </w:p>
        </w:tc>
      </w:tr>
    </w:tbl>
    <w:p>
      <w:pPr>
        <w:spacing w:before="240"/>
      </w:pPr>
    </w:p>
    <w:p>
      <w:pPr>
        <w:pStyle w:val="Heading2"/>
        <w:spacing w:after="140" w:before="280"/>
      </w:pPr>
      <w:r>
        <w:rPr>
          <w:rFonts w:ascii="Arial" w:cs="Arial" w:eastAsia="Arial" w:hAnsi="Arial"/>
          <w:b/>
          <w:bCs/>
          <w:color w:val="2E75B6"/>
          <w:sz w:val="24"/>
          <w:szCs w:val="24"/>
        </w:rPr>
        <w:t xml:space="preserve">Conclusion</w:t>
      </w:r>
    </w:p>
    <w:p>
      <w:pPr>
        <w:spacing w:after="120" w:before="120"/>
        <w:jc w:val="both"/>
      </w:pPr>
      <w:r>
        <w:rPr>
          <w:rFonts w:ascii="Arial" w:cs="Arial" w:eastAsia="Arial" w:hAnsi="Arial"/>
          <w:b w:val="false"/>
          <w:bCs w:val="false"/>
          <w:sz w:val="20"/>
          <w:szCs w:val="20"/>
        </w:rPr>
        <w:t xml:space="preserve">The v3 step-size mismatch (3,600 s training / 900 s deployment) originated from the natural inheritance of an hourly BOPTEST corpus and the absence of sub-hourly rollout evaluation prior to Tactic B. It is preserved because: (1) re-running would break the pre-registration chain, (2) the reported KPIs are surrogate-independent, (3) PPO requires only gradient-sign correctness from its surrogate, (4) the mismatch strengthens rather than weakens the central fidelity-vs-utility paradox, and (5) the decomposition result (Table M-1) is reported transparently alongside the disclosure in §8.5 (paper DOCX) and §9.1 (Block 1 results). Corpus-matched v3 integration remains a well-defined future-work item (Block 4) and does not constitute a deficiency in the current experimental record.</w:t>
      </w:r>
    </w:p>
    <w:p>
      <w:pPr>
        <w:pBdr>
          <w:bottom w:val="single" w:color="2E75B6" w:sz="4" w:space="1"/>
        </w:pBdr>
        <w:spacing w:after="200" w:before="200"/>
      </w:pPr>
    </w:p>
    <w:p>
      <w:pPr>
        <w:spacing w:after="0" w:before="160"/>
        <w:jc w:val="center"/>
      </w:pPr>
      <w:r>
        <w:rPr>
          <w:rFonts w:ascii="Arial" w:cs="Arial" w:eastAsia="Arial" w:hAnsi="Arial"/>
          <w:color w:val="606060"/>
          <w:sz w:val="16"/>
          <w:szCs w:val="16"/>
        </w:rPr>
        <w:t xml:space="preserve">Source artifacts: rc_node_v2.py (line 167), boptest_v2_tsupply.csv, boptest_block12_15min_prepared.csv, reports/block1_corpus_matched_comparison.csv, reports/hou_evins_predictive_validity_table.csv</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Step-size design choice memo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2026-05-28T13:20:44.639Z</dcterms:created>
  <dcterms:modified xsi:type="dcterms:W3CDTF">2026-05-28T13:20:44.639Z</dcterms:modified>
</cp:coreProperties>
</file>

<file path=docProps/custom.xml><?xml version="1.0" encoding="utf-8"?>
<Properties xmlns="http://schemas.openxmlformats.org/officeDocument/2006/custom-properties" xmlns:vt="http://schemas.openxmlformats.org/officeDocument/2006/docPropsVTypes"/>
</file>