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91D99">
      <w:pPr>
        <w:spacing w:after="80"/>
        <w:jc w:val="center"/>
      </w:pPr>
      <w:r>
        <w:rPr>
          <w:rFonts w:ascii="Arial" w:hAnsi="Arial" w:eastAsia="Arial" w:cs="Arial"/>
          <w:b/>
          <w:bCs/>
          <w:color w:val="1F4E79"/>
          <w:sz w:val="40"/>
          <w:szCs w:val="40"/>
        </w:rPr>
        <w:t>Block 1: Digital Twin Fidelity</w:t>
      </w:r>
    </w:p>
    <w:p w14:paraId="4F26DA9D">
      <w:pPr>
        <w:pStyle w:val="2"/>
        <w:spacing w:before="300" w:after="120"/>
      </w:pPr>
      <w:r>
        <w:rPr>
          <w:rFonts w:ascii="Arial" w:hAnsi="Arial" w:eastAsia="Arial" w:cs="Arial"/>
        </w:rPr>
        <w:t>Executive Summary</w:t>
      </w:r>
    </w:p>
    <w:p w14:paraId="21D9AB22">
      <w:pPr>
        <w:spacing w:after="160"/>
        <w:jc w:val="both"/>
      </w:pPr>
      <w:r>
        <w:rPr>
          <w:rFonts w:ascii="Arial" w:hAnsi="Arial" w:eastAsia="Arial" w:cs="Arial"/>
          <w:b w:val="0"/>
          <w:bCs w:val="0"/>
          <w:i w:val="0"/>
          <w:iCs w:val="0"/>
          <w:sz w:val="22"/>
          <w:szCs w:val="22"/>
        </w:rPr>
        <w:t>Block 1 establishes the empirical foundation for the central scientific claim of this project: predictive fidelity and reinforcement-learning training utility are two different objectives, and a surrogate that excels at one can fail at the other. We constructed two surrogates of the BOPTEST bestest_air testcase. The first, v3 (RCNeuralODEv2), is a control-oriented black-box dynamics model with 8 482 parameters. The original frozen article baseline used a 51 200-row hourly corpus, but the current surrogate_v3 reference is now retrained and evaluated on the same 10 744-row, 900 s / fifteen-minute corpus used by v3.5. The second, v3.5 (RCNeuralODEv35), introduces a physical backbone parametrized by the zone thermal capacitance C_zon and is identified through a three-stage inverse calibration pipeline (Stage A preprocessing, Stage B inverse Bayesian identification of C_zon, Stage C residual head refinement) on 10 744 fifteen-minute transitions. The matched-corpus v3 achieves 24-hour rollout RMSE of 0.876 °C — cleanly between the legacy hourly-corpus v3 (1.557 °C) and the calibrated v3.5 (0.644 °C). This decomposition confirms that the calibration claim is real but bounded: moving v3 to 15-minute telemetry explains a large part of the original gap, while Stage A/B/C still delivers the final predictive-fidelity improvement.</w:t>
      </w:r>
    </w:p>
    <w:p w14:paraId="428D97AB">
      <w:pPr>
        <w:spacing w:after="160"/>
        <w:jc w:val="both"/>
      </w:pPr>
      <w:r>
        <w:rPr>
          <w:rFonts w:ascii="Arial" w:hAnsi="Arial" w:eastAsia="Arial" w:cs="Arial"/>
          <w:b w:val="0"/>
          <w:bCs w:val="0"/>
          <w:i w:val="0"/>
          <w:iCs w:val="0"/>
          <w:sz w:val="22"/>
          <w:szCs w:val="22"/>
        </w:rPr>
        <w:t>The calibrated v3.5 reduces 24-hour offline rollout RMSE from 1.466 °C (raw, uncalibrated) to 0.644 °C — a 56.1% improvement within the same 15-minute corpus that demonstrates the physical backbone is correctly identifying building dynamics. C_zon was identified as 4.413×10⁵ J/K, only 5.1% above the physically motivated prior of 4.200×10⁵ J/K, confirming both prior sanity and Stage B convergence. The matched-corpus experiment (§2.6) further shows that the active 15-minute v3 branch reduces the legacy v3 24-hour RMSE from 1.557 °C to 0.876 °C, while calibrated v3.5 reaches 0.644 °C. Thus the current Block 1 framing is corpus-aware: v3 is no longer treated as intrinsically hourly; the hourly checkpoint is retained only as the historical baseline and speed reference. The smaller v3 surrogate runs at 4626 environment steps per second — 220× faster than the BOPTEST RTE HTTP testbed.</w:t>
      </w:r>
    </w:p>
    <w:p w14:paraId="3D9DD0B0">
      <w:pPr>
        <w:spacing w:after="160"/>
        <w:jc w:val="both"/>
      </w:pPr>
      <w:r>
        <w:rPr>
          <w:rFonts w:ascii="Arial" w:hAnsi="Arial" w:eastAsia="Arial" w:cs="Arial"/>
          <w:b w:val="0"/>
          <w:bCs w:val="0"/>
          <w:i w:val="0"/>
          <w:iCs w:val="0"/>
          <w:sz w:val="22"/>
          <w:szCs w:val="22"/>
        </w:rPr>
        <w:t>When the two surrogates are evaluated as stand-alone reinforcement-learning training environments using a thermostatic PPO controller, the relationship between fidelity and utility inverts: PPO trained on v3 produces live closed-loop temperature RMSE of 0.89 °C on the peak window, while PPO trained on the calibrated v3.5 produces 4.32 °C — a five-fold deterioration despite v3.5 having better one-step physical fidelity. We resolve the paradox with a hybrid backend that rollouts the policy through v3 but adds a frozen-v3.5 disagreement penalty to the PPO loss. This hybrid backend recovers the best of both worlds: live closed-loop RMSE drops to 0.63 °C on the peak window and 0.61 °C on the typical window, while sustaining 1787 environment steps per second (85× the BOPTEST testbed).</w:t>
      </w:r>
    </w:p>
    <w:p w14:paraId="06A87E95">
      <w:pPr>
        <w:spacing w:before="240" w:after="120"/>
      </w:pPr>
      <w:r>
        <w:rPr>
          <w:rFonts w:ascii="Arial" w:hAnsi="Arial" w:eastAsia="Arial" w:cs="Arial"/>
          <w:b/>
          <w:bCs/>
          <w:color w:val="2E75B6"/>
          <w:sz w:val="24"/>
          <w:szCs w:val="24"/>
        </w:rPr>
        <w:t>Figure-led evidence map</w:t>
      </w:r>
    </w:p>
    <w:p w14:paraId="3BABA1CE">
      <w:pPr>
        <w:spacing w:after="160"/>
        <w:jc w:val="both"/>
      </w:pPr>
      <w:r>
        <w:rPr>
          <w:rFonts w:ascii="Arial" w:hAnsi="Arial" w:eastAsia="Arial" w:cs="Arial"/>
          <w:b w:val="0"/>
          <w:bCs w:val="0"/>
          <w:i w:val="0"/>
          <w:iCs w:val="0"/>
          <w:sz w:val="22"/>
          <w:szCs w:val="22"/>
        </w:rPr>
        <w:t>For Q1-paper readiness, this dossier no longer treats figures as a detached appendix. The visual evidence is embedded where each claim is made: Stage A/B/C calibration diagnostics in Section 2, multi-horizon predictive validity in Sections 1-2, and the fidelity-to-control gap in Section 4/6. Tables remain as audit artifacts; figures carry the main scientific narrative for reviewer-facing interpretation.</w:t>
      </w:r>
    </w:p>
    <w:p w14:paraId="5A1844AB">
      <w:pPr>
        <w:spacing w:after="160"/>
        <w:jc w:val="both"/>
      </w:pPr>
      <w:r>
        <w:rPr>
          <w:rFonts w:ascii="Arial" w:hAnsi="Arial" w:eastAsia="Arial" w:cs="Arial"/>
          <w:b w:val="0"/>
          <w:bCs w:val="0"/>
          <w:i w:val="0"/>
          <w:iCs w:val="0"/>
          <w:sz w:val="22"/>
          <w:szCs w:val="22"/>
        </w:rPr>
        <w:t>To avoid numbering ambiguity in Word, the complete final Q1 figure set is presented below in strict numerical order. The later sections explain the same evidence in detail and provide the tables, source files, and interpretation.</w:t>
      </w:r>
    </w:p>
    <w:p w14:paraId="20502553">
      <w:pPr>
        <w:spacing w:before="220" w:after="80"/>
        <w:jc w:val="center"/>
      </w:pPr>
      <w:r>
        <w:drawing>
          <wp:inline distT="0" distB="0" distL="0" distR="0">
            <wp:extent cx="5334000" cy="2381250"/>
            <wp:effectExtent l="0" t="0" r="0" b="0"/>
            <wp:docPr id="1" name="block1_q1_fig01_pipeline.png" descr="Figure 1. Block 1 experimental pipeline: from surrogate calibration to live BOPTEST validation." title="block1_q1_fig0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1_q1_fig01_pipeline.png" descr="Figure 1. Block 1 experimental pipeline: from surrogate calibration to live BOPTEST validation." title="block1_q1_fig01_pipeline.png"/>
                    <pic:cNvPicPr>
                      <a:picLocks noChangeAspect="1" noChangeArrowheads="1"/>
                    </pic:cNvPicPr>
                  </pic:nvPicPr>
                  <pic:blipFill>
                    <a:blip r:embed="rId6"/>
                    <a:srcRect/>
                    <a:stretch>
                      <a:fillRect/>
                    </a:stretch>
                  </pic:blipFill>
                  <pic:spPr>
                    <a:xfrm>
                      <a:off x="0" y="0"/>
                      <a:ext cx="5334000" cy="2381250"/>
                    </a:xfrm>
                    <a:prstGeom prst="rect">
                      <a:avLst/>
                    </a:prstGeom>
                  </pic:spPr>
                </pic:pic>
              </a:graphicData>
            </a:graphic>
          </wp:inline>
        </w:drawing>
      </w:r>
    </w:p>
    <w:p w14:paraId="2C4A6E0D">
      <w:pPr>
        <w:spacing w:before="80" w:after="200"/>
        <w:jc w:val="center"/>
      </w:pPr>
      <w:r>
        <w:rPr>
          <w:rFonts w:ascii="Arial" w:hAnsi="Arial" w:eastAsia="Arial" w:cs="Arial"/>
          <w:i/>
          <w:iCs/>
          <w:color w:val="555555"/>
          <w:sz w:val="19"/>
          <w:szCs w:val="19"/>
        </w:rPr>
        <w:t>Figure 1. Block 1 experimental pipeline: from surrogate calibration to live BOPTEST validation.</w:t>
      </w:r>
    </w:p>
    <w:p w14:paraId="63D9A494">
      <w:pPr>
        <w:spacing w:before="220" w:after="80"/>
        <w:jc w:val="center"/>
      </w:pPr>
      <w:r>
        <w:drawing>
          <wp:inline distT="0" distB="0" distL="0" distR="0">
            <wp:extent cx="5334000" cy="2428875"/>
            <wp:effectExtent l="0" t="0" r="0" b="0"/>
            <wp:docPr id="2" name="block1_q1_fig02_v3_dual_head.png" descr="Figure 2. Dual-head architecture of the control-oriented v3 surrogate." title="block1_q1_fig02_v3_dual_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1_q1_fig02_v3_dual_head.png" descr="Figure 2. Dual-head architecture of the control-oriented v3 surrogate." title="block1_q1_fig02_v3_dual_head.png"/>
                    <pic:cNvPicPr>
                      <a:picLocks noChangeAspect="1" noChangeArrowheads="1"/>
                    </pic:cNvPicPr>
                  </pic:nvPicPr>
                  <pic:blipFill>
                    <a:blip r:embed="rId7"/>
                    <a:srcRect/>
                    <a:stretch>
                      <a:fillRect/>
                    </a:stretch>
                  </pic:blipFill>
                  <pic:spPr>
                    <a:xfrm>
                      <a:off x="0" y="0"/>
                      <a:ext cx="5334000" cy="2428875"/>
                    </a:xfrm>
                    <a:prstGeom prst="rect">
                      <a:avLst/>
                    </a:prstGeom>
                  </pic:spPr>
                </pic:pic>
              </a:graphicData>
            </a:graphic>
          </wp:inline>
        </w:drawing>
      </w:r>
    </w:p>
    <w:p w14:paraId="0F2EDE77">
      <w:pPr>
        <w:spacing w:before="80" w:after="200"/>
        <w:jc w:val="center"/>
      </w:pPr>
      <w:r>
        <w:rPr>
          <w:rFonts w:ascii="Arial" w:hAnsi="Arial" w:eastAsia="Arial" w:cs="Arial"/>
          <w:i/>
          <w:iCs/>
          <w:color w:val="555555"/>
          <w:sz w:val="19"/>
          <w:szCs w:val="19"/>
        </w:rPr>
        <w:t>Figure 2. Dual-head architecture of the control-oriented v3 surrogate.</w:t>
      </w:r>
    </w:p>
    <w:p w14:paraId="42A49287">
      <w:pPr>
        <w:spacing w:before="220" w:after="80"/>
        <w:jc w:val="center"/>
      </w:pPr>
      <w:r>
        <w:drawing>
          <wp:inline distT="0" distB="0" distL="0" distR="0">
            <wp:extent cx="5143500" cy="2571750"/>
            <wp:effectExtent l="0" t="0" r="0" b="0"/>
            <wp:docPr id="3" name="block1_q1_fig03_stage_abc_improvement.png" descr="Figure 3. Effect of Stage A/B/C inverse calibration on v3.5 predictive fidelity." title="block1_q1_fig03_stage_abc_impro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ck1_q1_fig03_stage_abc_improvement.png" descr="Figure 3. Effect of Stage A/B/C inverse calibration on v3.5 predictive fidelity." title="block1_q1_fig03_stage_abc_improvement.png"/>
                    <pic:cNvPicPr>
                      <a:picLocks noChangeAspect="1" noChangeArrowheads="1"/>
                    </pic:cNvPicPr>
                  </pic:nvPicPr>
                  <pic:blipFill>
                    <a:blip r:embed="rId8"/>
                    <a:srcRect/>
                    <a:stretch>
                      <a:fillRect/>
                    </a:stretch>
                  </pic:blipFill>
                  <pic:spPr>
                    <a:xfrm>
                      <a:off x="0" y="0"/>
                      <a:ext cx="5143500" cy="2571750"/>
                    </a:xfrm>
                    <a:prstGeom prst="rect">
                      <a:avLst/>
                    </a:prstGeom>
                  </pic:spPr>
                </pic:pic>
              </a:graphicData>
            </a:graphic>
          </wp:inline>
        </w:drawing>
      </w:r>
    </w:p>
    <w:p w14:paraId="1B66CEAA">
      <w:pPr>
        <w:spacing w:before="80" w:after="200"/>
        <w:jc w:val="center"/>
      </w:pPr>
      <w:r>
        <w:rPr>
          <w:rFonts w:ascii="Arial" w:hAnsi="Arial" w:eastAsia="Arial" w:cs="Arial"/>
          <w:i/>
          <w:iCs/>
          <w:color w:val="555555"/>
          <w:sz w:val="19"/>
          <w:szCs w:val="19"/>
        </w:rPr>
        <w:t>Figure 3. Effect of Stage A/B/C inverse calibration on v3.5 predictive fidelity.</w:t>
      </w:r>
    </w:p>
    <w:p w14:paraId="47350E5D">
      <w:pPr>
        <w:spacing w:before="220" w:after="80"/>
        <w:jc w:val="center"/>
      </w:pPr>
      <w:r>
        <w:drawing>
          <wp:inline distT="0" distB="0" distL="0" distR="0">
            <wp:extent cx="5143500" cy="2476500"/>
            <wp:effectExtent l="0" t="0" r="0" b="0"/>
            <wp:docPr id="4" name="block1_q1_fig04_czon_identification.png" descr="Figure 4. Bayesian inverse identification trajectory of C_zon during Stage B." title="block1_q1_fig04_czon_iden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ock1_q1_fig04_czon_identification.png" descr="Figure 4. Bayesian inverse identification trajectory of C_zon during Stage B." title="block1_q1_fig04_czon_identification.png"/>
                    <pic:cNvPicPr>
                      <a:picLocks noChangeAspect="1" noChangeArrowheads="1"/>
                    </pic:cNvPicPr>
                  </pic:nvPicPr>
                  <pic:blipFill>
                    <a:blip r:embed="rId9"/>
                    <a:srcRect/>
                    <a:stretch>
                      <a:fillRect/>
                    </a:stretch>
                  </pic:blipFill>
                  <pic:spPr>
                    <a:xfrm>
                      <a:off x="0" y="0"/>
                      <a:ext cx="5143500" cy="2476500"/>
                    </a:xfrm>
                    <a:prstGeom prst="rect">
                      <a:avLst/>
                    </a:prstGeom>
                  </pic:spPr>
                </pic:pic>
              </a:graphicData>
            </a:graphic>
          </wp:inline>
        </w:drawing>
      </w:r>
    </w:p>
    <w:p w14:paraId="713E10B6">
      <w:pPr>
        <w:spacing w:before="80" w:after="200"/>
        <w:jc w:val="center"/>
      </w:pPr>
      <w:r>
        <w:rPr>
          <w:rFonts w:ascii="Arial" w:hAnsi="Arial" w:eastAsia="Arial" w:cs="Arial"/>
          <w:i/>
          <w:iCs/>
          <w:color w:val="555555"/>
          <w:sz w:val="19"/>
          <w:szCs w:val="19"/>
        </w:rPr>
        <w:t>Figure 4. Bayesian inverse identification trajectory of C_zon during Stage B.</w:t>
      </w:r>
    </w:p>
    <w:p w14:paraId="1A61E0FB">
      <w:pPr>
        <w:spacing w:before="220" w:after="80"/>
        <w:jc w:val="center"/>
      </w:pPr>
      <w:r>
        <w:drawing>
          <wp:inline distT="0" distB="0" distL="0" distR="0">
            <wp:extent cx="5143500" cy="2476500"/>
            <wp:effectExtent l="0" t="0" r="0" b="0"/>
            <wp:docPr id="5" name="block1_q1_fig05_matched_corpus_rmse.png" descr="Figure 5. Corpus-controlled decomposition of 24h rollout RMSE." title="block1_q1_fig05_matched_corpus_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ock1_q1_fig05_matched_corpus_rmse.png" descr="Figure 5. Corpus-controlled decomposition of 24h rollout RMSE." title="block1_q1_fig05_matched_corpus_rmse.png"/>
                    <pic:cNvPicPr>
                      <a:picLocks noChangeAspect="1" noChangeArrowheads="1"/>
                    </pic:cNvPicPr>
                  </pic:nvPicPr>
                  <pic:blipFill>
                    <a:blip r:embed="rId10"/>
                    <a:srcRect/>
                    <a:stretch>
                      <a:fillRect/>
                    </a:stretch>
                  </pic:blipFill>
                  <pic:spPr>
                    <a:xfrm>
                      <a:off x="0" y="0"/>
                      <a:ext cx="5143500" cy="2476500"/>
                    </a:xfrm>
                    <a:prstGeom prst="rect">
                      <a:avLst/>
                    </a:prstGeom>
                  </pic:spPr>
                </pic:pic>
              </a:graphicData>
            </a:graphic>
          </wp:inline>
        </w:drawing>
      </w:r>
    </w:p>
    <w:p w14:paraId="6287E8AF">
      <w:pPr>
        <w:spacing w:before="80" w:after="200"/>
        <w:jc w:val="center"/>
      </w:pPr>
      <w:r>
        <w:rPr>
          <w:rFonts w:ascii="Arial" w:hAnsi="Arial" w:eastAsia="Arial" w:cs="Arial"/>
          <w:i/>
          <w:iCs/>
          <w:color w:val="555555"/>
          <w:sz w:val="19"/>
          <w:szCs w:val="19"/>
        </w:rPr>
        <w:t>Figure 5. Corpus-controlled decomposition of 24h rollout RMSE.</w:t>
      </w:r>
    </w:p>
    <w:p w14:paraId="33E15077">
      <w:pPr>
        <w:spacing w:before="220" w:after="80"/>
        <w:jc w:val="center"/>
      </w:pPr>
      <w:r>
        <w:drawing>
          <wp:inline distT="0" distB="0" distL="0" distR="0">
            <wp:extent cx="5143500" cy="2571750"/>
            <wp:effectExtent l="0" t="0" r="0" b="0"/>
            <wp:docPr id="6" name="block1_q1_fig06_fidelity_gain_waterfall.png" descr="Figure 6. Attribution of the v3-to-v3.5 predictive-fidelity gain." title="block1_q1_fig06_fidelity_gain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ock1_q1_fig06_fidelity_gain_waterfall.png" descr="Figure 6. Attribution of the v3-to-v3.5 predictive-fidelity gain." title="block1_q1_fig06_fidelity_gain_waterfall.png"/>
                    <pic:cNvPicPr>
                      <a:picLocks noChangeAspect="1" noChangeArrowheads="1"/>
                    </pic:cNvPicPr>
                  </pic:nvPicPr>
                  <pic:blipFill>
                    <a:blip r:embed="rId11"/>
                    <a:srcRect/>
                    <a:stretch>
                      <a:fillRect/>
                    </a:stretch>
                  </pic:blipFill>
                  <pic:spPr>
                    <a:xfrm>
                      <a:off x="0" y="0"/>
                      <a:ext cx="5143500" cy="2571750"/>
                    </a:xfrm>
                    <a:prstGeom prst="rect">
                      <a:avLst/>
                    </a:prstGeom>
                  </pic:spPr>
                </pic:pic>
              </a:graphicData>
            </a:graphic>
          </wp:inline>
        </w:drawing>
      </w:r>
    </w:p>
    <w:p w14:paraId="65B2F72D">
      <w:pPr>
        <w:spacing w:before="80" w:after="200"/>
        <w:jc w:val="center"/>
      </w:pPr>
      <w:r>
        <w:rPr>
          <w:rFonts w:ascii="Arial" w:hAnsi="Arial" w:eastAsia="Arial" w:cs="Arial"/>
          <w:i/>
          <w:iCs/>
          <w:color w:val="555555"/>
          <w:sz w:val="19"/>
          <w:szCs w:val="19"/>
        </w:rPr>
        <w:t>Figure 6. Attribution of the v3-to-v3.5 predictive-fidelity gain.</w:t>
      </w:r>
    </w:p>
    <w:p w14:paraId="3FC70570">
      <w:pPr>
        <w:spacing w:before="220" w:after="80"/>
        <w:jc w:val="center"/>
      </w:pPr>
      <w:r>
        <w:drawing>
          <wp:inline distT="0" distB="0" distL="0" distR="0">
            <wp:extent cx="4762500" cy="2952750"/>
            <wp:effectExtent l="0" t="0" r="0" b="0"/>
            <wp:docPr id="7" name="block1_q1_fig07_fidelity_vs_rl_utility.png" descr="Figure 7. Predictive fidelity does not imply RL training utility." title="block1_q1_fig07_fidelity_vs_rl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ock1_q1_fig07_fidelity_vs_rl_utility.png" descr="Figure 7. Predictive fidelity does not imply RL training utility." title="block1_q1_fig07_fidelity_vs_rl_utility.png"/>
                    <pic:cNvPicPr>
                      <a:picLocks noChangeAspect="1" noChangeArrowheads="1"/>
                    </pic:cNvPicPr>
                  </pic:nvPicPr>
                  <pic:blipFill>
                    <a:blip r:embed="rId12"/>
                    <a:srcRect/>
                    <a:stretch>
                      <a:fillRect/>
                    </a:stretch>
                  </pic:blipFill>
                  <pic:spPr>
                    <a:xfrm>
                      <a:off x="0" y="0"/>
                      <a:ext cx="4762500" cy="2952750"/>
                    </a:xfrm>
                    <a:prstGeom prst="rect">
                      <a:avLst/>
                    </a:prstGeom>
                  </pic:spPr>
                </pic:pic>
              </a:graphicData>
            </a:graphic>
          </wp:inline>
        </w:drawing>
      </w:r>
    </w:p>
    <w:p w14:paraId="100FAB1E">
      <w:pPr>
        <w:spacing w:before="80" w:after="200"/>
        <w:jc w:val="center"/>
      </w:pPr>
      <w:r>
        <w:rPr>
          <w:rFonts w:ascii="Arial" w:hAnsi="Arial" w:eastAsia="Arial" w:cs="Arial"/>
          <w:i/>
          <w:iCs/>
          <w:color w:val="555555"/>
          <w:sz w:val="19"/>
          <w:szCs w:val="19"/>
        </w:rPr>
        <w:t>Figure 7. Predictive fidelity does not imply RL training utility.</w:t>
      </w:r>
    </w:p>
    <w:p w14:paraId="06FA5969">
      <w:pPr>
        <w:spacing w:before="220" w:after="80"/>
        <w:jc w:val="center"/>
      </w:pPr>
      <w:r>
        <w:drawing>
          <wp:inline distT="0" distB="0" distL="0" distR="0">
            <wp:extent cx="5334000" cy="2714625"/>
            <wp:effectExtent l="0" t="0" r="0" b="0"/>
            <wp:docPr id="8" name="block1_q1_fig08_live_boptest_performance.png" descr="Figure 8. Live closed-loop BOPTEST performance of PPO controllers trained on different backends." title="block1_q1_fig08_live_boptest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ock1_q1_fig08_live_boptest_performance.png" descr="Figure 8. Live closed-loop BOPTEST performance of PPO controllers trained on different backends." title="block1_q1_fig08_live_boptest_performance.png"/>
                    <pic:cNvPicPr>
                      <a:picLocks noChangeAspect="1" noChangeArrowheads="1"/>
                    </pic:cNvPicPr>
                  </pic:nvPicPr>
                  <pic:blipFill>
                    <a:blip r:embed="rId13"/>
                    <a:srcRect/>
                    <a:stretch>
                      <a:fillRect/>
                    </a:stretch>
                  </pic:blipFill>
                  <pic:spPr>
                    <a:xfrm>
                      <a:off x="0" y="0"/>
                      <a:ext cx="5334000" cy="2714625"/>
                    </a:xfrm>
                    <a:prstGeom prst="rect">
                      <a:avLst/>
                    </a:prstGeom>
                  </pic:spPr>
                </pic:pic>
              </a:graphicData>
            </a:graphic>
          </wp:inline>
        </w:drawing>
      </w:r>
    </w:p>
    <w:p w14:paraId="40BE8174">
      <w:pPr>
        <w:spacing w:before="80" w:after="200"/>
        <w:jc w:val="center"/>
      </w:pPr>
      <w:r>
        <w:rPr>
          <w:rFonts w:ascii="Arial" w:hAnsi="Arial" w:eastAsia="Arial" w:cs="Arial"/>
          <w:i/>
          <w:iCs/>
          <w:color w:val="555555"/>
          <w:sz w:val="19"/>
          <w:szCs w:val="19"/>
        </w:rPr>
        <w:t>Figure 8. Live closed-loop BOPTEST performance of PPO controllers trained on different backends.</w:t>
      </w:r>
    </w:p>
    <w:p w14:paraId="1BD7D126">
      <w:pPr>
        <w:spacing w:before="220" w:after="80"/>
        <w:jc w:val="center"/>
      </w:pPr>
      <w:r>
        <w:drawing>
          <wp:inline distT="0" distB="0" distL="0" distR="0">
            <wp:extent cx="4953000" cy="2619375"/>
            <wp:effectExtent l="0" t="0" r="0" b="0"/>
            <wp:docPr id="9" name="block1_q1_fig09_backend_speed.png" descr="Figure 9. Simulation throughput of BOPTEST and surrogate backends." title="block1_q1_fig09_backend_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ock1_q1_fig09_backend_speed.png" descr="Figure 9. Simulation throughput of BOPTEST and surrogate backends." title="block1_q1_fig09_backend_speed.png"/>
                    <pic:cNvPicPr>
                      <a:picLocks noChangeAspect="1" noChangeArrowheads="1"/>
                    </pic:cNvPicPr>
                  </pic:nvPicPr>
                  <pic:blipFill>
                    <a:blip r:embed="rId14"/>
                    <a:srcRect/>
                    <a:stretch>
                      <a:fillRect/>
                    </a:stretch>
                  </pic:blipFill>
                  <pic:spPr>
                    <a:xfrm>
                      <a:off x="0" y="0"/>
                      <a:ext cx="4953000" cy="2619375"/>
                    </a:xfrm>
                    <a:prstGeom prst="rect">
                      <a:avLst/>
                    </a:prstGeom>
                  </pic:spPr>
                </pic:pic>
              </a:graphicData>
            </a:graphic>
          </wp:inline>
        </w:drawing>
      </w:r>
    </w:p>
    <w:p w14:paraId="0B216382">
      <w:pPr>
        <w:spacing w:before="80" w:after="200"/>
        <w:jc w:val="center"/>
      </w:pPr>
      <w:r>
        <w:rPr>
          <w:rFonts w:ascii="Arial" w:hAnsi="Arial" w:eastAsia="Arial" w:cs="Arial"/>
          <w:i/>
          <w:iCs/>
          <w:color w:val="555555"/>
          <w:sz w:val="19"/>
          <w:szCs w:val="19"/>
        </w:rPr>
        <w:t>Figure 9. Simulation throughput of BOPTEST and surrogate backends.</w:t>
      </w:r>
    </w:p>
    <w:p w14:paraId="4569DCD1">
      <w:pPr>
        <w:spacing w:before="220" w:after="80"/>
        <w:jc w:val="center"/>
      </w:pPr>
      <w:r>
        <w:drawing>
          <wp:inline distT="0" distB="0" distL="0" distR="0">
            <wp:extent cx="5334000" cy="2476500"/>
            <wp:effectExtent l="0" t="0" r="0" b="0"/>
            <wp:docPr id="10" name="block1_q1_fig10_transfer_gap_diagnostics.png" descr="Figure 10. Transfer-gap diagnostics reveal bang-bang saturation in standalone v3.5 training." title="block1_q1_fig10_transfer_gap_diagno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lock1_q1_fig10_transfer_gap_diagnostics.png" descr="Figure 10. Transfer-gap diagnostics reveal bang-bang saturation in standalone v3.5 training." title="block1_q1_fig10_transfer_gap_diagnostics.png"/>
                    <pic:cNvPicPr>
                      <a:picLocks noChangeAspect="1" noChangeArrowheads="1"/>
                    </pic:cNvPicPr>
                  </pic:nvPicPr>
                  <pic:blipFill>
                    <a:blip r:embed="rId15"/>
                    <a:srcRect/>
                    <a:stretch>
                      <a:fillRect/>
                    </a:stretch>
                  </pic:blipFill>
                  <pic:spPr>
                    <a:xfrm>
                      <a:off x="0" y="0"/>
                      <a:ext cx="5334000" cy="2476500"/>
                    </a:xfrm>
                    <a:prstGeom prst="rect">
                      <a:avLst/>
                    </a:prstGeom>
                  </pic:spPr>
                </pic:pic>
              </a:graphicData>
            </a:graphic>
          </wp:inline>
        </w:drawing>
      </w:r>
    </w:p>
    <w:p w14:paraId="4AF54DC9">
      <w:pPr>
        <w:spacing w:before="80" w:after="200"/>
        <w:jc w:val="center"/>
      </w:pPr>
      <w:r>
        <w:rPr>
          <w:rFonts w:ascii="Arial" w:hAnsi="Arial" w:eastAsia="Arial" w:cs="Arial"/>
          <w:i/>
          <w:iCs/>
          <w:color w:val="555555"/>
          <w:sz w:val="19"/>
          <w:szCs w:val="19"/>
        </w:rPr>
        <w:t>Figure 10. Transfer-gap diagnostics reveal bang-bang saturation in standalone v3.5 training.</w:t>
      </w:r>
    </w:p>
    <w:p w14:paraId="15D8135A">
      <w:pPr>
        <w:spacing w:before="220" w:after="80"/>
        <w:jc w:val="center"/>
      </w:pPr>
      <w:r>
        <w:drawing>
          <wp:inline distT="0" distB="0" distL="0" distR="0">
            <wp:extent cx="5143500" cy="2476500"/>
            <wp:effectExtent l="0" t="0" r="0" b="0"/>
            <wp:docPr id="11" name="block1_q1_fig11_action_saturation.png" descr="Figure 11. Policy action saturation under direct v3.5 training." title="block1_q1_fig11_action_sat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lock1_q1_fig11_action_saturation.png" descr="Figure 11. Policy action saturation under direct v3.5 training." title="block1_q1_fig11_action_saturation.png"/>
                    <pic:cNvPicPr>
                      <a:picLocks noChangeAspect="1" noChangeArrowheads="1"/>
                    </pic:cNvPicPr>
                  </pic:nvPicPr>
                  <pic:blipFill>
                    <a:blip r:embed="rId16"/>
                    <a:srcRect/>
                    <a:stretch>
                      <a:fillRect/>
                    </a:stretch>
                  </pic:blipFill>
                  <pic:spPr>
                    <a:xfrm>
                      <a:off x="0" y="0"/>
                      <a:ext cx="5143500" cy="2476500"/>
                    </a:xfrm>
                    <a:prstGeom prst="rect">
                      <a:avLst/>
                    </a:prstGeom>
                  </pic:spPr>
                </pic:pic>
              </a:graphicData>
            </a:graphic>
          </wp:inline>
        </w:drawing>
      </w:r>
    </w:p>
    <w:p w14:paraId="353C41BF">
      <w:pPr>
        <w:spacing w:before="80" w:after="200"/>
        <w:jc w:val="center"/>
      </w:pPr>
      <w:r>
        <w:rPr>
          <w:rFonts w:ascii="Arial" w:hAnsi="Arial" w:eastAsia="Arial" w:cs="Arial"/>
          <w:i/>
          <w:iCs/>
          <w:color w:val="555555"/>
          <w:sz w:val="19"/>
          <w:szCs w:val="19"/>
        </w:rPr>
        <w:t>Figure 11. Policy action saturation under direct v3.5 training.</w:t>
      </w:r>
    </w:p>
    <w:p w14:paraId="04FFADDC">
      <w:pPr>
        <w:spacing w:before="220" w:after="80"/>
        <w:jc w:val="center"/>
      </w:pPr>
      <w:r>
        <w:drawing>
          <wp:inline distT="0" distB="0" distL="0" distR="0">
            <wp:extent cx="5334000" cy="2714625"/>
            <wp:effectExtent l="0" t="0" r="0" b="0"/>
            <wp:docPr id="12" name="block1_q1_fig12_per_episode_rmse.png" descr="Figure 12. Replicative validity across held-out BOPTEST episodes." title="block1_q1_fig12_per_episode_r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ck1_q1_fig12_per_episode_rmse.png" descr="Figure 12. Replicative validity across held-out BOPTEST episodes." title="block1_q1_fig12_per_episode_rmse.png"/>
                    <pic:cNvPicPr>
                      <a:picLocks noChangeAspect="1" noChangeArrowheads="1"/>
                    </pic:cNvPicPr>
                  </pic:nvPicPr>
                  <pic:blipFill>
                    <a:blip r:embed="rId17"/>
                    <a:srcRect/>
                    <a:stretch>
                      <a:fillRect/>
                    </a:stretch>
                  </pic:blipFill>
                  <pic:spPr>
                    <a:xfrm>
                      <a:off x="0" y="0"/>
                      <a:ext cx="5334000" cy="2714625"/>
                    </a:xfrm>
                    <a:prstGeom prst="rect">
                      <a:avLst/>
                    </a:prstGeom>
                  </pic:spPr>
                </pic:pic>
              </a:graphicData>
            </a:graphic>
          </wp:inline>
        </w:drawing>
      </w:r>
    </w:p>
    <w:p w14:paraId="31B69DE7">
      <w:pPr>
        <w:spacing w:before="80" w:after="200"/>
        <w:jc w:val="center"/>
      </w:pPr>
      <w:r>
        <w:rPr>
          <w:rFonts w:ascii="Arial" w:hAnsi="Arial" w:eastAsia="Arial" w:cs="Arial"/>
          <w:i/>
          <w:iCs/>
          <w:color w:val="555555"/>
          <w:sz w:val="19"/>
          <w:szCs w:val="19"/>
        </w:rPr>
        <w:t>Figure 12. Replicative validity across held-out BOPTEST episodes.</w:t>
      </w:r>
    </w:p>
    <w:p w14:paraId="6DF4F257">
      <w:pPr>
        <w:spacing w:before="220" w:after="80"/>
        <w:jc w:val="center"/>
      </w:pPr>
      <w:r>
        <w:drawing>
          <wp:inline distT="0" distB="0" distL="0" distR="0">
            <wp:extent cx="5334000" cy="2476500"/>
            <wp:effectExtent l="0" t="0" r="0" b="0"/>
            <wp:docPr id="13" name="block1_q1_fig13_residual_distributions.png" descr="Figure 13. Temperature residual distributions before and after calibration." title="block1_q1_fig13_residu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lock1_q1_fig13_residual_distributions.png" descr="Figure 13. Temperature residual distributions before and after calibration." title="block1_q1_fig13_residual_distributions.png"/>
                    <pic:cNvPicPr>
                      <a:picLocks noChangeAspect="1" noChangeArrowheads="1"/>
                    </pic:cNvPicPr>
                  </pic:nvPicPr>
                  <pic:blipFill>
                    <a:blip r:embed="rId18"/>
                    <a:srcRect/>
                    <a:stretch>
                      <a:fillRect/>
                    </a:stretch>
                  </pic:blipFill>
                  <pic:spPr>
                    <a:xfrm>
                      <a:off x="0" y="0"/>
                      <a:ext cx="5334000" cy="2476500"/>
                    </a:xfrm>
                    <a:prstGeom prst="rect">
                      <a:avLst/>
                    </a:prstGeom>
                  </pic:spPr>
                </pic:pic>
              </a:graphicData>
            </a:graphic>
          </wp:inline>
        </w:drawing>
      </w:r>
    </w:p>
    <w:p w14:paraId="31014C51">
      <w:pPr>
        <w:spacing w:before="80" w:after="200"/>
        <w:jc w:val="center"/>
      </w:pPr>
      <w:r>
        <w:rPr>
          <w:rFonts w:ascii="Arial" w:hAnsi="Arial" w:eastAsia="Arial" w:cs="Arial"/>
          <w:i/>
          <w:iCs/>
          <w:color w:val="555555"/>
          <w:sz w:val="19"/>
          <w:szCs w:val="19"/>
        </w:rPr>
        <w:t>Figure 13. Temperature residual distributions before and after calibration.</w:t>
      </w:r>
    </w:p>
    <w:p w14:paraId="62170719">
      <w:pPr>
        <w:spacing w:before="220" w:after="80"/>
        <w:jc w:val="center"/>
      </w:pPr>
      <w:r>
        <w:drawing>
          <wp:inline distT="0" distB="0" distL="0" distR="0">
            <wp:extent cx="5334000" cy="2381250"/>
            <wp:effectExtent l="0" t="0" r="0" b="0"/>
            <wp:docPr id="14" name="block1_q1_fig14_hybrid_loss.png" descr="Figure 14. Hybrid backend: v3 rollout dynamics with frozen-v3.5 soft regularization." title="block1_q1_fig14_hybrid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ock1_q1_fig14_hybrid_loss.png" descr="Figure 14. Hybrid backend: v3 rollout dynamics with frozen-v3.5 soft regularization." title="block1_q1_fig14_hybrid_loss.png"/>
                    <pic:cNvPicPr>
                      <a:picLocks noChangeAspect="1" noChangeArrowheads="1"/>
                    </pic:cNvPicPr>
                  </pic:nvPicPr>
                  <pic:blipFill>
                    <a:blip r:embed="rId19"/>
                    <a:srcRect/>
                    <a:stretch>
                      <a:fillRect/>
                    </a:stretch>
                  </pic:blipFill>
                  <pic:spPr>
                    <a:xfrm>
                      <a:off x="0" y="0"/>
                      <a:ext cx="5334000" cy="2381250"/>
                    </a:xfrm>
                    <a:prstGeom prst="rect">
                      <a:avLst/>
                    </a:prstGeom>
                  </pic:spPr>
                </pic:pic>
              </a:graphicData>
            </a:graphic>
          </wp:inline>
        </w:drawing>
      </w:r>
    </w:p>
    <w:p w14:paraId="0EC355D5">
      <w:pPr>
        <w:spacing w:before="80" w:after="200"/>
        <w:jc w:val="center"/>
      </w:pPr>
      <w:r>
        <w:rPr>
          <w:rFonts w:ascii="Arial" w:hAnsi="Arial" w:eastAsia="Arial" w:cs="Arial"/>
          <w:i/>
          <w:iCs/>
          <w:color w:val="555555"/>
          <w:sz w:val="19"/>
          <w:szCs w:val="19"/>
        </w:rPr>
        <w:t>Figure 14. Hybrid backend: v3 rollout dynamics with frozen-v3.5 soft regularization.</w:t>
      </w:r>
    </w:p>
    <w:p w14:paraId="514A37D7">
      <w:pPr>
        <w:spacing w:before="220" w:after="80"/>
        <w:jc w:val="center"/>
      </w:pPr>
      <w:r>
        <w:drawing>
          <wp:inline distT="0" distB="0" distL="0" distR="0">
            <wp:extent cx="4953000" cy="3429000"/>
            <wp:effectExtent l="0" t="0" r="0" b="0"/>
            <wp:docPr id="15" name="block1_q1_fig15_literature_positioning.png" descr="Figure 15. Positioning of this study against prior HVAC DRL and surrogate-model literature." title="block1_q1_fig15_literature_positio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lock1_q1_fig15_literature_positioning.png" descr="Figure 15. Positioning of this study against prior HVAC DRL and surrogate-model literature." title="block1_q1_fig15_literature_positioning.png"/>
                    <pic:cNvPicPr>
                      <a:picLocks noChangeAspect="1" noChangeArrowheads="1"/>
                    </pic:cNvPicPr>
                  </pic:nvPicPr>
                  <pic:blipFill>
                    <a:blip r:embed="rId20"/>
                    <a:srcRect/>
                    <a:stretch>
                      <a:fillRect/>
                    </a:stretch>
                  </pic:blipFill>
                  <pic:spPr>
                    <a:xfrm>
                      <a:off x="0" y="0"/>
                      <a:ext cx="4953000" cy="3429000"/>
                    </a:xfrm>
                    <a:prstGeom prst="rect">
                      <a:avLst/>
                    </a:prstGeom>
                  </pic:spPr>
                </pic:pic>
              </a:graphicData>
            </a:graphic>
          </wp:inline>
        </w:drawing>
      </w:r>
    </w:p>
    <w:p w14:paraId="4F7B463B">
      <w:pPr>
        <w:spacing w:before="80" w:after="200"/>
        <w:jc w:val="center"/>
      </w:pPr>
      <w:r>
        <w:rPr>
          <w:rFonts w:ascii="Arial" w:hAnsi="Arial" w:eastAsia="Arial" w:cs="Arial"/>
          <w:i/>
          <w:iCs/>
          <w:color w:val="555555"/>
          <w:sz w:val="19"/>
          <w:szCs w:val="19"/>
        </w:rPr>
        <w:t>Figure 15. Positioning of this study against prior HVAC DRL and surrogate-model literature.</w:t>
      </w:r>
    </w:p>
    <w:p w14:paraId="79D98BB0">
      <w:r>
        <w:br w:type="page"/>
      </w:r>
    </w:p>
    <w:p w14:paraId="6BDFEF12">
      <w:pPr>
        <w:pStyle w:val="2"/>
        <w:spacing w:before="300" w:after="120"/>
      </w:pPr>
      <w:r>
        <w:rPr>
          <w:rFonts w:ascii="Arial" w:hAnsi="Arial" w:eastAsia="Arial" w:cs="Arial"/>
        </w:rPr>
        <w:t>1. Control-Oriented Surrogate v3</w:t>
      </w:r>
    </w:p>
    <w:p w14:paraId="371541C6">
      <w:pPr>
        <w:spacing w:after="160"/>
        <w:jc w:val="both"/>
      </w:pPr>
      <w:r>
        <w:rPr>
          <w:rFonts w:ascii="Arial" w:hAnsi="Arial" w:eastAsia="Arial" w:cs="Arial"/>
          <w:b w:val="0"/>
          <w:bCs w:val="0"/>
          <w:i w:val="0"/>
          <w:iCs w:val="0"/>
          <w:sz w:val="22"/>
          <w:szCs w:val="22"/>
        </w:rPr>
        <w:t>The v3 surrogate is the workhorse of all PPO training in this project. Its design priority is not predictive accuracy in absolute terms but rather smooth, dense gradients for the policy-gradient update. Two heads share the same eight-dimensional input vector (normalized zone temperature, normalized ambient temperature, hour-of-day and day-of-year encoded cyclically as sin/cos pairs, and the two previous action components a0/a1). The first head (HeatFlowNetV2) predicts the next-step zone-temperature delta dT, and the second (PowerNetV2) predicts total HVAC power in watts. Both heads are deliberately small to keep inference cheap during the millions of environment steps consumed by PPO. The legacy v3 checkpoint reported in early Block 1 tables was trained on 51 200 hourly (3600 s) transitions from 16 closed-loop BOPTEST episodes. For the predictive-fidelity comparison against v3.5 (Tables 1.3 and 2.6), an additional corpus-matched v3 was retrained on the identical 10 744 × 900 s / 15-minute corpus used by v3.5; this matched-corpus v3 (outputs/surrogate_v3_15min_matched/rc_node_v3_15min_matched.pt) is the apples-to-apples reference used ONLY for predictive-fidelity attribution. ALL downstream PPO training, hybrid-loss evaluation, and Block 2 / Block 3 transferability work continues to use the original hourly v3 checkpoint (outputs/surrogate_v2/rc_node_v3_tsupply.pt) without modification; introducing the matched-corpus v3 in §2.6 does not change any Block 2 or Block 3 number reported elsewhere in this document.</w:t>
      </w:r>
    </w:p>
    <w:p w14:paraId="1EF2BFC5">
      <w:pPr>
        <w:spacing w:before="240" w:after="120"/>
      </w:pPr>
      <w:r>
        <w:rPr>
          <w:rFonts w:ascii="Arial" w:hAnsi="Arial" w:eastAsia="Arial" w:cs="Arial"/>
          <w:b/>
          <w:bCs/>
          <w:color w:val="2E75B6"/>
          <w:sz w:val="24"/>
          <w:szCs w:val="24"/>
        </w:rPr>
        <w:t>1.1 Architecture (from rc_node_v2.py)</w:t>
      </w:r>
    </w:p>
    <w:p w14:paraId="4925D58B">
      <w:pPr>
        <w:spacing w:after="160"/>
        <w:jc w:val="both"/>
      </w:pPr>
      <w:r>
        <w:rPr>
          <w:rFonts w:ascii="Arial" w:hAnsi="Arial" w:eastAsia="Arial" w:cs="Arial"/>
          <w:b w:val="0"/>
          <w:bCs w:val="0"/>
          <w:i w:val="0"/>
          <w:iCs w:val="0"/>
          <w:sz w:val="22"/>
          <w:szCs w:val="22"/>
        </w:rPr>
        <w:t>The 8-dimensional input vector is constructed deterministically from the observation by _build_features() in rc_node_v2.py. The eight components are listed in Table 1.0 below; the construction is identical for the temperature head and the power head, so the two heads share representational structure even though they have disjoint parameters.</w:t>
      </w:r>
    </w:p>
    <w:p w14:paraId="24E6AECD">
      <w:pPr>
        <w:spacing w:before="200" w:after="60"/>
      </w:pPr>
      <w:r>
        <w:rPr>
          <w:rFonts w:ascii="Arial" w:hAnsi="Arial" w:eastAsia="Arial" w:cs="Arial"/>
          <w:b/>
          <w:bCs/>
          <w:color w:val="1F4E79"/>
          <w:sz w:val="20"/>
          <w:szCs w:val="20"/>
        </w:rPr>
        <w:t>Table 1.0 — v3 input feature vector (8 dimensions)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2160"/>
        <w:gridCol w:w="3240"/>
        <w:gridCol w:w="3180"/>
      </w:tblGrid>
      <w:tr w14:paraId="31EF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F611110">
            <w:r>
              <w:rPr>
                <w:rFonts w:ascii="Arial" w:hAnsi="Arial" w:eastAsia="Arial" w:cs="Arial"/>
                <w:b/>
                <w:bCs/>
                <w:color w:val="FFFFFF"/>
                <w:sz w:val="18"/>
                <w:szCs w:val="18"/>
              </w:rPr>
              <w:t>Idx</w:t>
            </w:r>
          </w:p>
        </w:tc>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99464DD">
            <w:r>
              <w:rPr>
                <w:rFonts w:ascii="Arial" w:hAnsi="Arial" w:eastAsia="Arial" w:cs="Arial"/>
                <w:b/>
                <w:bCs/>
                <w:color w:val="FFFFFF"/>
                <w:sz w:val="18"/>
                <w:szCs w:val="18"/>
              </w:rPr>
              <w:t>Feature</w:t>
            </w:r>
          </w:p>
        </w:tc>
        <w:tc>
          <w:tcPr>
            <w:tcW w:w="32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579910A">
            <w:r>
              <w:rPr>
                <w:rFonts w:ascii="Arial" w:hAnsi="Arial" w:eastAsia="Arial" w:cs="Arial"/>
                <w:b/>
                <w:bCs/>
                <w:color w:val="FFFFFF"/>
                <w:sz w:val="18"/>
                <w:szCs w:val="18"/>
              </w:rPr>
              <w:t>Normalization</w:t>
            </w:r>
          </w:p>
        </w:tc>
        <w:tc>
          <w:tcPr>
            <w:tcW w:w="318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B887242">
            <w:r>
              <w:rPr>
                <w:rFonts w:ascii="Arial" w:hAnsi="Arial" w:eastAsia="Arial" w:cs="Arial"/>
                <w:b/>
                <w:bCs/>
                <w:color w:val="FFFFFF"/>
                <w:sz w:val="18"/>
                <w:szCs w:val="18"/>
              </w:rPr>
              <w:t>Physical interpretation</w:t>
            </w:r>
          </w:p>
        </w:tc>
      </w:tr>
      <w:tr w14:paraId="092A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B28BE9">
            <w:pPr>
              <w:jc w:val="left"/>
            </w:pPr>
            <w:r>
              <w:rPr>
                <w:rFonts w:ascii="Arial" w:hAnsi="Arial" w:eastAsia="Arial" w:cs="Arial"/>
                <w:b w:val="0"/>
                <w:bCs w:val="0"/>
                <w:sz w:val="18"/>
                <w:szCs w:val="18"/>
              </w:rPr>
              <w:t>0</w:t>
            </w:r>
          </w:p>
        </w:tc>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24313E">
            <w:pPr>
              <w:jc w:val="left"/>
            </w:pPr>
            <w:r>
              <w:rPr>
                <w:rFonts w:ascii="Arial" w:hAnsi="Arial" w:eastAsia="Arial" w:cs="Arial"/>
                <w:b w:val="0"/>
                <w:bCs w:val="0"/>
                <w:sz w:val="18"/>
                <w:szCs w:val="18"/>
              </w:rPr>
              <w:t>t_zone_norm</w:t>
            </w:r>
          </w:p>
        </w:tc>
        <w:tc>
          <w:tcPr>
            <w:tcW w:w="3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25F21">
            <w:pPr>
              <w:jc w:val="left"/>
            </w:pPr>
            <w:r>
              <w:rPr>
                <w:rFonts w:ascii="Arial" w:hAnsi="Arial" w:eastAsia="Arial" w:cs="Arial"/>
                <w:b w:val="0"/>
                <w:bCs w:val="0"/>
                <w:sz w:val="18"/>
                <w:szCs w:val="18"/>
              </w:rPr>
              <w:t>affine [15,35] °C → [−1,+1]</w:t>
            </w:r>
          </w:p>
        </w:tc>
        <w:tc>
          <w:tcPr>
            <w:tcW w:w="31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F7EA13">
            <w:pPr>
              <w:jc w:val="left"/>
            </w:pPr>
            <w:r>
              <w:rPr>
                <w:rFonts w:ascii="Arial" w:hAnsi="Arial" w:eastAsia="Arial" w:cs="Arial"/>
                <w:b w:val="0"/>
                <w:bCs w:val="0"/>
                <w:sz w:val="18"/>
                <w:szCs w:val="18"/>
              </w:rPr>
              <w:t>current zone temperature</w:t>
            </w:r>
          </w:p>
        </w:tc>
      </w:tr>
      <w:tr w14:paraId="76C6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CC7588D">
            <w:pPr>
              <w:jc w:val="left"/>
            </w:pPr>
            <w:r>
              <w:rPr>
                <w:rFonts w:ascii="Arial" w:hAnsi="Arial" w:eastAsia="Arial" w:cs="Arial"/>
                <w:b w:val="0"/>
                <w:bCs w:val="0"/>
                <w:sz w:val="18"/>
                <w:szCs w:val="18"/>
              </w:rPr>
              <w:t>1</w:t>
            </w:r>
          </w:p>
        </w:tc>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E1D77E6">
            <w:pPr>
              <w:jc w:val="left"/>
            </w:pPr>
            <w:r>
              <w:rPr>
                <w:rFonts w:ascii="Arial" w:hAnsi="Arial" w:eastAsia="Arial" w:cs="Arial"/>
                <w:b w:val="0"/>
                <w:bCs w:val="0"/>
                <w:sz w:val="18"/>
                <w:szCs w:val="18"/>
              </w:rPr>
              <w:t>t_amb_norm</w:t>
            </w:r>
          </w:p>
        </w:tc>
        <w:tc>
          <w:tcPr>
            <w:tcW w:w="3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1FE2300">
            <w:pPr>
              <w:jc w:val="left"/>
            </w:pPr>
            <w:r>
              <w:rPr>
                <w:rFonts w:ascii="Arial" w:hAnsi="Arial" w:eastAsia="Arial" w:cs="Arial"/>
                <w:b w:val="0"/>
                <w:bCs w:val="0"/>
                <w:sz w:val="18"/>
                <w:szCs w:val="18"/>
              </w:rPr>
              <w:t>affine [−10,40] °C → [−1,+1]</w:t>
            </w:r>
          </w:p>
        </w:tc>
        <w:tc>
          <w:tcPr>
            <w:tcW w:w="31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6AB835A">
            <w:pPr>
              <w:jc w:val="left"/>
            </w:pPr>
            <w:r>
              <w:rPr>
                <w:rFonts w:ascii="Arial" w:hAnsi="Arial" w:eastAsia="Arial" w:cs="Arial"/>
                <w:b w:val="0"/>
                <w:bCs w:val="0"/>
                <w:sz w:val="18"/>
                <w:szCs w:val="18"/>
              </w:rPr>
              <w:t>ambient temperature</w:t>
            </w:r>
          </w:p>
        </w:tc>
      </w:tr>
      <w:tr w14:paraId="57814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B566A5">
            <w:pPr>
              <w:jc w:val="left"/>
            </w:pPr>
            <w:r>
              <w:rPr>
                <w:rFonts w:ascii="Arial" w:hAnsi="Arial" w:eastAsia="Arial" w:cs="Arial"/>
                <w:b w:val="0"/>
                <w:bCs w:val="0"/>
                <w:sz w:val="18"/>
                <w:szCs w:val="18"/>
              </w:rPr>
              <w:t>2</w:t>
            </w:r>
          </w:p>
        </w:tc>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8BE067">
            <w:pPr>
              <w:jc w:val="left"/>
            </w:pPr>
            <w:r>
              <w:rPr>
                <w:rFonts w:ascii="Arial" w:hAnsi="Arial" w:eastAsia="Arial" w:cs="Arial"/>
                <w:b w:val="0"/>
                <w:bCs w:val="0"/>
                <w:sz w:val="18"/>
                <w:szCs w:val="18"/>
              </w:rPr>
              <w:t>h_sin</w:t>
            </w:r>
          </w:p>
        </w:tc>
        <w:tc>
          <w:tcPr>
            <w:tcW w:w="3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A5656">
            <w:pPr>
              <w:jc w:val="left"/>
            </w:pPr>
            <w:r>
              <w:rPr>
                <w:rFonts w:ascii="Arial" w:hAnsi="Arial" w:eastAsia="Arial" w:cs="Arial"/>
                <w:b w:val="0"/>
                <w:bCs w:val="0"/>
                <w:sz w:val="18"/>
                <w:szCs w:val="18"/>
              </w:rPr>
              <w:t>sin(2π·hour/24)</w:t>
            </w:r>
          </w:p>
        </w:tc>
        <w:tc>
          <w:tcPr>
            <w:tcW w:w="31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4DD208">
            <w:pPr>
              <w:jc w:val="left"/>
            </w:pPr>
            <w:r>
              <w:rPr>
                <w:rFonts w:ascii="Arial" w:hAnsi="Arial" w:eastAsia="Arial" w:cs="Arial"/>
                <w:b w:val="0"/>
                <w:bCs w:val="0"/>
                <w:sz w:val="18"/>
                <w:szCs w:val="18"/>
              </w:rPr>
              <w:t>hour-of-day cyclic phase</w:t>
            </w:r>
          </w:p>
        </w:tc>
      </w:tr>
      <w:tr w14:paraId="3669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F14291C">
            <w:pPr>
              <w:jc w:val="left"/>
            </w:pPr>
            <w:r>
              <w:rPr>
                <w:rFonts w:ascii="Arial" w:hAnsi="Arial" w:eastAsia="Arial" w:cs="Arial"/>
                <w:b w:val="0"/>
                <w:bCs w:val="0"/>
                <w:sz w:val="18"/>
                <w:szCs w:val="18"/>
              </w:rPr>
              <w:t>3</w:t>
            </w:r>
          </w:p>
        </w:tc>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4B33B05">
            <w:pPr>
              <w:jc w:val="left"/>
            </w:pPr>
            <w:r>
              <w:rPr>
                <w:rFonts w:ascii="Arial" w:hAnsi="Arial" w:eastAsia="Arial" w:cs="Arial"/>
                <w:b w:val="0"/>
                <w:bCs w:val="0"/>
                <w:sz w:val="18"/>
                <w:szCs w:val="18"/>
              </w:rPr>
              <w:t>h_cos</w:t>
            </w:r>
          </w:p>
        </w:tc>
        <w:tc>
          <w:tcPr>
            <w:tcW w:w="3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2FF5320">
            <w:pPr>
              <w:jc w:val="left"/>
            </w:pPr>
            <w:r>
              <w:rPr>
                <w:rFonts w:ascii="Arial" w:hAnsi="Arial" w:eastAsia="Arial" w:cs="Arial"/>
                <w:b w:val="0"/>
                <w:bCs w:val="0"/>
                <w:sz w:val="18"/>
                <w:szCs w:val="18"/>
              </w:rPr>
              <w:t>cos(2π·hour/24)</w:t>
            </w:r>
          </w:p>
        </w:tc>
        <w:tc>
          <w:tcPr>
            <w:tcW w:w="31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1B4249E">
            <w:pPr>
              <w:jc w:val="left"/>
            </w:pPr>
            <w:r>
              <w:rPr>
                <w:rFonts w:ascii="Arial" w:hAnsi="Arial" w:eastAsia="Arial" w:cs="Arial"/>
                <w:b w:val="0"/>
                <w:bCs w:val="0"/>
                <w:sz w:val="18"/>
                <w:szCs w:val="18"/>
              </w:rPr>
              <w:t>hour-of-day cyclic phase</w:t>
            </w:r>
          </w:p>
        </w:tc>
      </w:tr>
      <w:tr w14:paraId="3A48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D4F3ED">
            <w:pPr>
              <w:jc w:val="left"/>
            </w:pPr>
            <w:r>
              <w:rPr>
                <w:rFonts w:ascii="Arial" w:hAnsi="Arial" w:eastAsia="Arial" w:cs="Arial"/>
                <w:b w:val="0"/>
                <w:bCs w:val="0"/>
                <w:sz w:val="18"/>
                <w:szCs w:val="18"/>
              </w:rPr>
              <w:t>4</w:t>
            </w:r>
          </w:p>
        </w:tc>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9177ED">
            <w:pPr>
              <w:jc w:val="left"/>
            </w:pPr>
            <w:r>
              <w:rPr>
                <w:rFonts w:ascii="Arial" w:hAnsi="Arial" w:eastAsia="Arial" w:cs="Arial"/>
                <w:b w:val="0"/>
                <w:bCs w:val="0"/>
                <w:sz w:val="18"/>
                <w:szCs w:val="18"/>
              </w:rPr>
              <w:t>d_sin</w:t>
            </w:r>
          </w:p>
        </w:tc>
        <w:tc>
          <w:tcPr>
            <w:tcW w:w="3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EEE237">
            <w:pPr>
              <w:jc w:val="left"/>
            </w:pPr>
            <w:r>
              <w:rPr>
                <w:rFonts w:ascii="Arial" w:hAnsi="Arial" w:eastAsia="Arial" w:cs="Arial"/>
                <w:b w:val="0"/>
                <w:bCs w:val="0"/>
                <w:sz w:val="18"/>
                <w:szCs w:val="18"/>
              </w:rPr>
              <w:t>sin(2π·day/365)</w:t>
            </w:r>
          </w:p>
        </w:tc>
        <w:tc>
          <w:tcPr>
            <w:tcW w:w="31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8CC447">
            <w:pPr>
              <w:jc w:val="left"/>
            </w:pPr>
            <w:r>
              <w:rPr>
                <w:rFonts w:ascii="Arial" w:hAnsi="Arial" w:eastAsia="Arial" w:cs="Arial"/>
                <w:b w:val="0"/>
                <w:bCs w:val="0"/>
                <w:sz w:val="18"/>
                <w:szCs w:val="18"/>
              </w:rPr>
              <w:t>seasonal cyclic phase</w:t>
            </w:r>
          </w:p>
        </w:tc>
      </w:tr>
      <w:tr w14:paraId="1303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E80D754">
            <w:pPr>
              <w:jc w:val="left"/>
            </w:pPr>
            <w:r>
              <w:rPr>
                <w:rFonts w:ascii="Arial" w:hAnsi="Arial" w:eastAsia="Arial" w:cs="Arial"/>
                <w:b w:val="0"/>
                <w:bCs w:val="0"/>
                <w:sz w:val="18"/>
                <w:szCs w:val="18"/>
              </w:rPr>
              <w:t>5</w:t>
            </w:r>
          </w:p>
        </w:tc>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F11FE7E">
            <w:pPr>
              <w:jc w:val="left"/>
            </w:pPr>
            <w:r>
              <w:rPr>
                <w:rFonts w:ascii="Arial" w:hAnsi="Arial" w:eastAsia="Arial" w:cs="Arial"/>
                <w:b w:val="0"/>
                <w:bCs w:val="0"/>
                <w:sz w:val="18"/>
                <w:szCs w:val="18"/>
              </w:rPr>
              <w:t>d_cos</w:t>
            </w:r>
          </w:p>
        </w:tc>
        <w:tc>
          <w:tcPr>
            <w:tcW w:w="3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B2993CF">
            <w:pPr>
              <w:jc w:val="left"/>
            </w:pPr>
            <w:r>
              <w:rPr>
                <w:rFonts w:ascii="Arial" w:hAnsi="Arial" w:eastAsia="Arial" w:cs="Arial"/>
                <w:b w:val="0"/>
                <w:bCs w:val="0"/>
                <w:sz w:val="18"/>
                <w:szCs w:val="18"/>
              </w:rPr>
              <w:t>cos(2π·day/365)</w:t>
            </w:r>
          </w:p>
        </w:tc>
        <w:tc>
          <w:tcPr>
            <w:tcW w:w="31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26A8C16">
            <w:pPr>
              <w:jc w:val="left"/>
            </w:pPr>
            <w:r>
              <w:rPr>
                <w:rFonts w:ascii="Arial" w:hAnsi="Arial" w:eastAsia="Arial" w:cs="Arial"/>
                <w:b w:val="0"/>
                <w:bCs w:val="0"/>
                <w:sz w:val="18"/>
                <w:szCs w:val="18"/>
              </w:rPr>
              <w:t>seasonal cyclic phase</w:t>
            </w:r>
          </w:p>
        </w:tc>
      </w:tr>
      <w:tr w14:paraId="3E0D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CA39F3">
            <w:pPr>
              <w:jc w:val="left"/>
            </w:pPr>
            <w:r>
              <w:rPr>
                <w:rFonts w:ascii="Arial" w:hAnsi="Arial" w:eastAsia="Arial" w:cs="Arial"/>
                <w:b w:val="0"/>
                <w:bCs w:val="0"/>
                <w:sz w:val="18"/>
                <w:szCs w:val="18"/>
              </w:rPr>
              <w:t>6</w:t>
            </w:r>
          </w:p>
        </w:tc>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4EAAB">
            <w:pPr>
              <w:jc w:val="left"/>
            </w:pPr>
            <w:r>
              <w:rPr>
                <w:rFonts w:ascii="Arial" w:hAnsi="Arial" w:eastAsia="Arial" w:cs="Arial"/>
                <w:b w:val="0"/>
                <w:bCs w:val="0"/>
                <w:sz w:val="18"/>
                <w:szCs w:val="18"/>
              </w:rPr>
              <w:t>a0 (T_sup)</w:t>
            </w:r>
          </w:p>
        </w:tc>
        <w:tc>
          <w:tcPr>
            <w:tcW w:w="3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45C89F">
            <w:pPr>
              <w:jc w:val="left"/>
            </w:pPr>
            <w:r>
              <w:rPr>
                <w:rFonts w:ascii="Arial" w:hAnsi="Arial" w:eastAsia="Arial" w:cs="Arial"/>
                <w:b w:val="0"/>
                <w:bCs w:val="0"/>
                <w:sz w:val="18"/>
                <w:szCs w:val="18"/>
              </w:rPr>
              <w:t>[−1,+1] → 18..35 °C</w:t>
            </w:r>
          </w:p>
        </w:tc>
        <w:tc>
          <w:tcPr>
            <w:tcW w:w="31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4C9B58">
            <w:pPr>
              <w:jc w:val="left"/>
            </w:pPr>
            <w:r>
              <w:rPr>
                <w:rFonts w:ascii="Arial" w:hAnsi="Arial" w:eastAsia="Arial" w:cs="Arial"/>
                <w:b w:val="0"/>
                <w:bCs w:val="0"/>
                <w:sz w:val="18"/>
                <w:szCs w:val="18"/>
              </w:rPr>
              <w:t>previous supply-temperature command</w:t>
            </w:r>
          </w:p>
        </w:tc>
      </w:tr>
      <w:tr w14:paraId="5B9F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3A67CD2">
            <w:pPr>
              <w:jc w:val="left"/>
            </w:pPr>
            <w:r>
              <w:rPr>
                <w:rFonts w:ascii="Arial" w:hAnsi="Arial" w:eastAsia="Arial" w:cs="Arial"/>
                <w:b w:val="0"/>
                <w:bCs w:val="0"/>
                <w:sz w:val="18"/>
                <w:szCs w:val="18"/>
              </w:rPr>
              <w:t>7</w:t>
            </w:r>
          </w:p>
        </w:tc>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3291B1A">
            <w:pPr>
              <w:jc w:val="left"/>
            </w:pPr>
            <w:r>
              <w:rPr>
                <w:rFonts w:ascii="Arial" w:hAnsi="Arial" w:eastAsia="Arial" w:cs="Arial"/>
                <w:b w:val="0"/>
                <w:bCs w:val="0"/>
                <w:sz w:val="18"/>
                <w:szCs w:val="18"/>
              </w:rPr>
              <w:t>a1 (fan)</w:t>
            </w:r>
          </w:p>
        </w:tc>
        <w:tc>
          <w:tcPr>
            <w:tcW w:w="3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F7140D4">
            <w:pPr>
              <w:jc w:val="left"/>
            </w:pPr>
            <w:r>
              <w:rPr>
                <w:rFonts w:ascii="Arial" w:hAnsi="Arial" w:eastAsia="Arial" w:cs="Arial"/>
                <w:b w:val="0"/>
                <w:bCs w:val="0"/>
                <w:sz w:val="18"/>
                <w:szCs w:val="18"/>
              </w:rPr>
              <w:t>[−1,+1] → 0..1</w:t>
            </w:r>
          </w:p>
        </w:tc>
        <w:tc>
          <w:tcPr>
            <w:tcW w:w="31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AE09DF5">
            <w:pPr>
              <w:jc w:val="left"/>
            </w:pPr>
            <w:r>
              <w:rPr>
                <w:rFonts w:ascii="Arial" w:hAnsi="Arial" w:eastAsia="Arial" w:cs="Arial"/>
                <w:b w:val="0"/>
                <w:bCs w:val="0"/>
                <w:sz w:val="18"/>
                <w:szCs w:val="18"/>
              </w:rPr>
              <w:t>previous fan command</w:t>
            </w:r>
          </w:p>
        </w:tc>
      </w:tr>
    </w:tbl>
    <w:p w14:paraId="48818DC6">
      <w:pPr>
        <w:spacing w:before="80" w:after="200"/>
        <w:jc w:val="center"/>
      </w:pPr>
      <w:r>
        <w:rPr>
          <w:rFonts w:ascii="Arial" w:hAnsi="Arial" w:eastAsia="Arial" w:cs="Arial"/>
          <w:i/>
          <w:iCs/>
          <w:color w:val="555555"/>
          <w:sz w:val="19"/>
          <w:szCs w:val="19"/>
        </w:rPr>
        <w:t>All eight features are bounded in [−1,+1] by construction, which keeps Tanh-LayerNorm activations inside their linear regime and the PPO action gradients well scaled.</w:t>
      </w:r>
    </w:p>
    <w:p w14:paraId="78240317">
      <w:pPr>
        <w:spacing w:after="160"/>
        <w:jc w:val="both"/>
      </w:pPr>
      <w:r>
        <w:rPr>
          <w:rFonts w:ascii="Arial" w:hAnsi="Arial" w:eastAsia="Arial" w:cs="Arial"/>
          <w:b w:val="0"/>
          <w:bCs w:val="0"/>
          <w:i w:val="0"/>
          <w:iCs w:val="0"/>
          <w:sz w:val="22"/>
          <w:szCs w:val="22"/>
        </w:rPr>
        <w:t>The temperature head HeatFlowNetV2 stacks three Linear+LayerNorm+Tanh blocks with a residual connection between blocks 1 and 2, ending in a Linear(32→1) projection. Total temperature-head parameters: 7105. The power head PowerNetV2 is a simpler three-layer MLP with Softplus output enforcing P ≥ 0. Total power-head parameters: 1377. Combined model size is 8 482 trainable parameters — small enough to run hundreds of policy updates per second on a single CPU core. The residual connection between block 1 and block 2 inside HeatFlowNetV2 (visible as h2 = h2 + h1 in the source) is what keeps the temperature head trainable when stacked with v3.5 inside the hybrid backend: without the residual, the gradient through the regulariser term would attenuate before reaching block 1, and the v3.5 disagreement penalty would have no influence on the lower-layer feature extractor.</w:t>
      </w:r>
    </w:p>
    <w:p w14:paraId="4396EC8D">
      <w:pPr>
        <w:spacing w:before="200" w:after="60"/>
      </w:pPr>
      <w:r>
        <w:rPr>
          <w:rFonts w:ascii="Arial" w:hAnsi="Arial" w:eastAsia="Arial" w:cs="Arial"/>
          <w:b/>
          <w:bCs/>
          <w:color w:val="1F4E79"/>
          <w:sz w:val="20"/>
          <w:szCs w:val="20"/>
        </w:rPr>
        <w:t>Table 1.1 — v3 architecture &amp; training hyperparameters (verbatim from project code)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909E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64224D0">
            <w:r>
              <w:rPr>
                <w:rFonts w:ascii="Arial" w:hAnsi="Arial" w:eastAsia="Arial" w:cs="Arial"/>
                <w:b/>
                <w:bCs/>
                <w:color w:val="FFFFFF"/>
                <w:sz w:val="18"/>
                <w:szCs w:val="18"/>
              </w:rPr>
              <w:t>Property</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68BF311">
            <w:r>
              <w:rPr>
                <w:rFonts w:ascii="Arial" w:hAnsi="Arial" w:eastAsia="Arial" w:cs="Arial"/>
                <w:b/>
                <w:bCs/>
                <w:color w:val="FFFFFF"/>
                <w:sz w:val="18"/>
                <w:szCs w:val="18"/>
              </w:rPr>
              <w:t>Value (from code / checkpoint)</w:t>
            </w:r>
          </w:p>
        </w:tc>
      </w:tr>
      <w:tr w14:paraId="2792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C0ABF6">
            <w:pPr>
              <w:jc w:val="left"/>
            </w:pPr>
            <w:r>
              <w:rPr>
                <w:rFonts w:ascii="Arial" w:hAnsi="Arial" w:eastAsia="Arial" w:cs="Arial"/>
                <w:b/>
                <w:bCs/>
                <w:sz w:val="18"/>
                <w:szCs w:val="18"/>
              </w:rPr>
              <w:t>Heat head</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93E1C7">
            <w:pPr>
              <w:jc w:val="left"/>
            </w:pPr>
            <w:r>
              <w:rPr>
                <w:rFonts w:ascii="Arial" w:hAnsi="Arial" w:eastAsia="Arial" w:cs="Arial"/>
                <w:b w:val="0"/>
                <w:bCs w:val="0"/>
                <w:sz w:val="18"/>
                <w:szCs w:val="18"/>
              </w:rPr>
              <w:t>Linear(8→64) + LN + Tanh → Linear(64→64) + LN + Tanh [+res] → Linear(64→32) + Tanh → Linear(32→1)</w:t>
            </w:r>
          </w:p>
        </w:tc>
      </w:tr>
      <w:tr w14:paraId="11E0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12608F7">
            <w:pPr>
              <w:jc w:val="left"/>
            </w:pPr>
            <w:r>
              <w:rPr>
                <w:rFonts w:ascii="Arial" w:hAnsi="Arial" w:eastAsia="Arial" w:cs="Arial"/>
                <w:b/>
                <w:bCs/>
                <w:sz w:val="18"/>
                <w:szCs w:val="18"/>
              </w:rPr>
              <w:t>Power head</w:t>
            </w:r>
          </w:p>
        </w:tc>
        <w:tc>
          <w:tcPr>
            <w:tcW w:w="69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0B76F47">
            <w:pPr>
              <w:jc w:val="left"/>
            </w:pPr>
            <w:r>
              <w:rPr>
                <w:rFonts w:ascii="Arial" w:hAnsi="Arial" w:eastAsia="Arial" w:cs="Arial"/>
                <w:b w:val="0"/>
                <w:bCs w:val="0"/>
                <w:sz w:val="18"/>
                <w:szCs w:val="18"/>
              </w:rPr>
              <w:t>Linear(8→32) + Tanh → Linear(32→32) + Tanh → Linear(32→1) + Softplus</w:t>
            </w:r>
          </w:p>
        </w:tc>
      </w:tr>
      <w:tr w14:paraId="46A3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E9F378">
            <w:pPr>
              <w:jc w:val="left"/>
            </w:pPr>
            <w:r>
              <w:rPr>
                <w:rFonts w:ascii="Arial" w:hAnsi="Arial" w:eastAsia="Arial" w:cs="Arial"/>
                <w:b/>
                <w:bCs/>
                <w:sz w:val="18"/>
                <w:szCs w:val="18"/>
              </w:rPr>
              <w:t>Activation</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D0DDB">
            <w:pPr>
              <w:jc w:val="left"/>
            </w:pPr>
            <w:r>
              <w:rPr>
                <w:rFonts w:ascii="Arial" w:hAnsi="Arial" w:eastAsia="Arial" w:cs="Arial"/>
                <w:b w:val="0"/>
                <w:bCs w:val="0"/>
                <w:sz w:val="18"/>
                <w:szCs w:val="18"/>
              </w:rPr>
              <w:t>Tanh + LayerNorm + residual</w:t>
            </w:r>
          </w:p>
        </w:tc>
      </w:tr>
      <w:tr w14:paraId="57DB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4D194F3">
            <w:pPr>
              <w:jc w:val="left"/>
            </w:pPr>
            <w:r>
              <w:rPr>
                <w:rFonts w:ascii="Arial" w:hAnsi="Arial" w:eastAsia="Arial" w:cs="Arial"/>
                <w:b/>
                <w:bCs/>
                <w:sz w:val="18"/>
                <w:szCs w:val="18"/>
              </w:rPr>
              <w:t>Total params</w:t>
            </w:r>
          </w:p>
        </w:tc>
        <w:tc>
          <w:tcPr>
            <w:tcW w:w="69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41E6D57">
            <w:pPr>
              <w:jc w:val="left"/>
            </w:pPr>
            <w:r>
              <w:rPr>
                <w:rFonts w:ascii="Arial" w:hAnsi="Arial" w:eastAsia="Arial" w:cs="Arial"/>
                <w:b w:val="0"/>
                <w:bCs w:val="0"/>
                <w:sz w:val="18"/>
                <w:szCs w:val="18"/>
              </w:rPr>
              <w:t>8 482 (heat: 7105, power: 1377)</w:t>
            </w:r>
          </w:p>
        </w:tc>
      </w:tr>
      <w:tr w14:paraId="0581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E8D662">
            <w:pPr>
              <w:jc w:val="left"/>
            </w:pPr>
            <w:r>
              <w:rPr>
                <w:rFonts w:ascii="Arial" w:hAnsi="Arial" w:eastAsia="Arial" w:cs="Arial"/>
                <w:b/>
                <w:bCs/>
                <w:sz w:val="18"/>
                <w:szCs w:val="18"/>
              </w:rPr>
              <w:t>Optimizer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576ECD">
            <w:pPr>
              <w:jc w:val="left"/>
            </w:pPr>
            <w:r>
              <w:rPr>
                <w:rFonts w:ascii="Arial" w:hAnsi="Arial" w:eastAsia="Arial" w:cs="Arial"/>
                <w:b w:val="0"/>
                <w:bCs w:val="0"/>
                <w:sz w:val="18"/>
                <w:szCs w:val="18"/>
              </w:rPr>
              <w:t>AdamW, lr=0.001, weight_decay=0.0001</w:t>
            </w:r>
          </w:p>
        </w:tc>
      </w:tr>
      <w:tr w14:paraId="5EDF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D613C90">
            <w:pPr>
              <w:jc w:val="left"/>
            </w:pPr>
            <w:r>
              <w:rPr>
                <w:rFonts w:ascii="Arial" w:hAnsi="Arial" w:eastAsia="Arial" w:cs="Arial"/>
                <w:b/>
                <w:bCs/>
                <w:sz w:val="18"/>
                <w:szCs w:val="18"/>
              </w:rPr>
              <w:t>Scheduler</w:t>
            </w:r>
          </w:p>
        </w:tc>
        <w:tc>
          <w:tcPr>
            <w:tcW w:w="69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7313CFA">
            <w:pPr>
              <w:jc w:val="left"/>
            </w:pPr>
            <w:r>
              <w:rPr>
                <w:rFonts w:ascii="Arial" w:hAnsi="Arial" w:eastAsia="Arial" w:cs="Arial"/>
                <w:b w:val="0"/>
                <w:bCs w:val="0"/>
                <w:sz w:val="18"/>
                <w:szCs w:val="18"/>
              </w:rPr>
              <w:t>CosineAnnealingLR</w:t>
            </w:r>
          </w:p>
        </w:tc>
      </w:tr>
      <w:tr w14:paraId="5EBB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1D2C53">
            <w:pPr>
              <w:jc w:val="left"/>
            </w:pPr>
            <w:r>
              <w:rPr>
                <w:rFonts w:ascii="Arial" w:hAnsi="Arial" w:eastAsia="Arial" w:cs="Arial"/>
                <w:b/>
                <w:bCs/>
                <w:sz w:val="18"/>
                <w:szCs w:val="18"/>
              </w:rPr>
              <w:t>Early stopping</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DFCAC8">
            <w:pPr>
              <w:jc w:val="left"/>
            </w:pPr>
            <w:r>
              <w:rPr>
                <w:rFonts w:ascii="Arial" w:hAnsi="Arial" w:eastAsia="Arial" w:cs="Arial"/>
                <w:b w:val="0"/>
                <w:bCs w:val="0"/>
                <w:sz w:val="18"/>
                <w:szCs w:val="18"/>
              </w:rPr>
              <w:t>patience=30, improvement_threshold=1e-6</w:t>
            </w:r>
          </w:p>
        </w:tc>
      </w:tr>
      <w:tr w14:paraId="21A7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8A14DFE">
            <w:pPr>
              <w:jc w:val="left"/>
            </w:pPr>
            <w:r>
              <w:rPr>
                <w:rFonts w:ascii="Arial" w:hAnsi="Arial" w:eastAsia="Arial" w:cs="Arial"/>
                <w:b/>
                <w:bCs/>
                <w:sz w:val="18"/>
                <w:szCs w:val="18"/>
              </w:rPr>
              <w:t>Batch size</w:t>
            </w:r>
          </w:p>
        </w:tc>
        <w:tc>
          <w:tcPr>
            <w:tcW w:w="69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EECBB1E">
            <w:pPr>
              <w:jc w:val="left"/>
            </w:pPr>
            <w:r>
              <w:rPr>
                <w:rFonts w:ascii="Arial" w:hAnsi="Arial" w:eastAsia="Arial" w:cs="Arial"/>
                <w:b w:val="0"/>
                <w:bCs w:val="0"/>
                <w:sz w:val="18"/>
                <w:szCs w:val="18"/>
              </w:rPr>
              <w:t>256</w:t>
            </w:r>
          </w:p>
        </w:tc>
      </w:tr>
      <w:tr w14:paraId="2DE2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CF9C3E">
            <w:pPr>
              <w:jc w:val="left"/>
            </w:pPr>
            <w:r>
              <w:rPr>
                <w:rFonts w:ascii="Arial" w:hAnsi="Arial" w:eastAsia="Arial" w:cs="Arial"/>
                <w:b/>
                <w:bCs/>
                <w:sz w:val="18"/>
                <w:szCs w:val="18"/>
              </w:rPr>
              <w:t>Multi-step horizons</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E81EB1">
            <w:pPr>
              <w:jc w:val="left"/>
            </w:pPr>
            <w:r>
              <w:rPr>
                <w:rFonts w:ascii="Arial" w:hAnsi="Arial" w:eastAsia="Arial" w:cs="Arial"/>
                <w:b w:val="0"/>
                <w:bCs w:val="0"/>
                <w:sz w:val="18"/>
                <w:szCs w:val="18"/>
              </w:rPr>
              <w:t>[2,4] (multi-horizon supervised loss)</w:t>
            </w:r>
          </w:p>
        </w:tc>
      </w:tr>
      <w:tr w14:paraId="363A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8F6F5DC">
            <w:pPr>
              <w:jc w:val="left"/>
            </w:pPr>
            <w:r>
              <w:rPr>
                <w:rFonts w:ascii="Arial" w:hAnsi="Arial" w:eastAsia="Arial" w:cs="Arial"/>
                <w:b/>
                <w:bCs/>
                <w:sz w:val="18"/>
                <w:szCs w:val="18"/>
              </w:rPr>
              <w:t>Dataset</w:t>
            </w:r>
          </w:p>
        </w:tc>
        <w:tc>
          <w:tcPr>
            <w:tcW w:w="69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07DF6E1">
            <w:pPr>
              <w:jc w:val="left"/>
            </w:pPr>
            <w:r>
              <w:rPr>
                <w:rFonts w:ascii="Arial" w:hAnsi="Arial" w:eastAsia="Arial" w:cs="Arial"/>
                <w:b w:val="0"/>
                <w:bCs w:val="0"/>
                <w:sz w:val="18"/>
                <w:szCs w:val="18"/>
              </w:rPr>
              <w:t>Legacy checkpoint: 51 200 rows, 16 episodes, step=3600s. Active matched branch: 10 744 rows, step=900s.</w:t>
            </w:r>
          </w:p>
        </w:tc>
      </w:tr>
    </w:tbl>
    <w:p w14:paraId="0FD40153">
      <w:pPr>
        <w:spacing w:before="80" w:after="200"/>
        <w:jc w:val="center"/>
      </w:pPr>
      <w:r>
        <w:rPr>
          <w:rFonts w:ascii="Arial" w:hAnsi="Arial" w:eastAsia="Arial" w:cs="Arial"/>
          <w:i/>
          <w:iCs/>
          <w:color w:val="555555"/>
          <w:sz w:val="19"/>
          <w:szCs w:val="19"/>
        </w:rPr>
        <w:t>Reads as: a feedforward NeuralODE with ~8.5k parameters, AdamW + cosine annealing, and multi-horizon supervised loss. In the legacy hourly checkpoint horizons [2,4] mean 2-4 hours; in the active 15-minute matched branch the same indices mean 30-60 minutes. The hidden dimension is 64, NOT 128 as some preliminary drafts reported.</w:t>
      </w:r>
    </w:p>
    <w:p w14:paraId="0FB99FF1">
      <w:pPr>
        <w:spacing w:after="160"/>
        <w:jc w:val="both"/>
      </w:pPr>
      <w:r>
        <w:rPr>
          <w:rFonts w:ascii="Arial" w:hAnsi="Arial" w:eastAsia="Arial" w:cs="Arial"/>
          <w:b w:val="0"/>
          <w:bCs w:val="0"/>
          <w:i w:val="0"/>
          <w:iCs w:val="0"/>
          <w:sz w:val="22"/>
          <w:szCs w:val="22"/>
        </w:rPr>
        <w:t>Two design choices in Table 1.1 deserve emphasis. First, the activation is Tanh combined with LayerNorm and a single residual connection — not the ReLU MLP one would assume from a generic surrogate description. The Tanh+LN combination is what keeps the gradient field smooth, which is precisely what PPO needs to converge stably; ReLU's dead-neuron regions would create local discontinuities that confuse the policy update. Second, the multi-horizon loss is specified in transition indices rather than physical hours. After the v3 branch was moved to the 900 s corpus, horizons [2,4] became 30-60 minute consistency penalties; the old 2-4 hour interpretation applies only to the legacy hourly checkpoint.</w:t>
      </w:r>
    </w:p>
    <w:p w14:paraId="1198B14F">
      <w:pPr>
        <w:spacing w:before="240" w:after="120"/>
      </w:pPr>
      <w:r>
        <w:rPr>
          <w:rFonts w:ascii="Arial" w:hAnsi="Arial" w:eastAsia="Arial" w:cs="Arial"/>
          <w:b/>
          <w:bCs/>
          <w:color w:val="2E75B6"/>
          <w:sz w:val="24"/>
          <w:szCs w:val="24"/>
        </w:rPr>
        <w:t>1.2 Training trajectory</w:t>
      </w:r>
    </w:p>
    <w:p w14:paraId="7B598D3A">
      <w:pPr>
        <w:spacing w:after="160"/>
        <w:jc w:val="both"/>
      </w:pPr>
      <w:r>
        <w:rPr>
          <w:rFonts w:ascii="Arial" w:hAnsi="Arial" w:eastAsia="Arial" w:cs="Arial"/>
          <w:b w:val="0"/>
          <w:bCs w:val="0"/>
          <w:i w:val="0"/>
          <w:iCs w:val="0"/>
          <w:sz w:val="22"/>
          <w:szCs w:val="22"/>
        </w:rPr>
        <w:t>Training was launched for up to 500 epochs but stopped early at epoch 215 because validation loss plateaued for 30 epochs; the best validation checkpoint comes from epoch 184. At that checkpoint the supervised one-step temperature RMSE is 0.6255 °C and R² is 0.9794 on the held-out 20 % split. This R² is high because the held-out split is contiguous (the final 20 % of the corpus by index, which happens to be autumn-only) — S3 split-representativeness flags this as "limited" and the project explicitly relies on external BOPTEST benchmark windows rather than this split for any downstream control claim.</w:t>
      </w:r>
    </w:p>
    <w:tbl>
      <w:tblPr>
        <w:tblStyle w:val="9"/>
        <w:tblpPr w:leftFromText="180" w:rightFromText="180" w:vertAnchor="text" w:horzAnchor="page" w:tblpX="1207" w:tblpY="28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1CF1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EBBBEB8">
            <w:r>
              <w:rPr>
                <w:rFonts w:ascii="Arial" w:hAnsi="Arial" w:eastAsia="Arial" w:cs="Arial"/>
                <w:b/>
                <w:bCs/>
                <w:color w:val="FFFFFF"/>
                <w:sz w:val="18"/>
                <w:szCs w:val="18"/>
              </w:rPr>
              <w:t>Metric</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378F08E7">
            <w:r>
              <w:rPr>
                <w:rFonts w:ascii="Arial" w:hAnsi="Arial" w:eastAsia="Arial" w:cs="Arial"/>
                <w:b/>
                <w:bCs/>
                <w:color w:val="FFFFFF"/>
                <w:sz w:val="18"/>
                <w:szCs w:val="18"/>
              </w:rPr>
              <w:t>Value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411706F">
            <w:r>
              <w:rPr>
                <w:rFonts w:ascii="Arial" w:hAnsi="Arial" w:eastAsia="Arial" w:cs="Arial"/>
                <w:b/>
                <w:bCs/>
                <w:color w:val="FFFFFF"/>
                <w:sz w:val="18"/>
                <w:szCs w:val="18"/>
              </w:rPr>
              <w:t>Source</w:t>
            </w:r>
          </w:p>
        </w:tc>
      </w:tr>
      <w:tr w14:paraId="2026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97944A">
            <w:pPr>
              <w:jc w:val="left"/>
            </w:pPr>
            <w:r>
              <w:rPr>
                <w:rFonts w:ascii="Arial" w:hAnsi="Arial" w:eastAsia="Arial" w:cs="Arial"/>
                <w:b w:val="0"/>
                <w:bCs w:val="0"/>
                <w:sz w:val="18"/>
                <w:szCs w:val="18"/>
              </w:rPr>
              <w:t>Best epoch</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39098D">
            <w:pPr>
              <w:jc w:val="left"/>
            </w:pPr>
            <w:r>
              <w:rPr>
                <w:rFonts w:ascii="Arial" w:hAnsi="Arial" w:eastAsia="Arial" w:cs="Arial"/>
                <w:b w:val="0"/>
                <w:bCs w:val="0"/>
                <w:sz w:val="18"/>
                <w:szCs w:val="18"/>
              </w:rPr>
              <w:t>184 / 215 run (500 max)</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C7DB0">
            <w:pPr>
              <w:jc w:val="left"/>
            </w:pPr>
            <w:r>
              <w:rPr>
                <w:rFonts w:ascii="Arial" w:hAnsi="Arial" w:eastAsia="Arial" w:cs="Arial"/>
                <w:b w:val="0"/>
                <w:bCs w:val="0"/>
                <w:sz w:val="18"/>
                <w:szCs w:val="18"/>
              </w:rPr>
              <w:t>checkpoint</w:t>
            </w:r>
          </w:p>
        </w:tc>
      </w:tr>
      <w:tr w14:paraId="7355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4D88142">
            <w:pPr>
              <w:jc w:val="left"/>
            </w:pPr>
            <w:r>
              <w:rPr>
                <w:rFonts w:ascii="Arial" w:hAnsi="Arial" w:eastAsia="Arial" w:cs="Arial"/>
                <w:b w:val="0"/>
                <w:bCs w:val="0"/>
                <w:sz w:val="18"/>
                <w:szCs w:val="18"/>
              </w:rPr>
              <w:t>Val RMSE (1-step)</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BBD05F5">
            <w:pPr>
              <w:jc w:val="left"/>
            </w:pPr>
            <w:r>
              <w:rPr>
                <w:rFonts w:ascii="Arial" w:hAnsi="Arial" w:eastAsia="Arial" w:cs="Arial"/>
                <w:b w:val="0"/>
                <w:bCs w:val="0"/>
                <w:sz w:val="18"/>
                <w:szCs w:val="18"/>
              </w:rPr>
              <w:t>0.6255 °C</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D828B2D">
            <w:pPr>
              <w:jc w:val="left"/>
            </w:pPr>
            <w:r>
              <w:rPr>
                <w:rFonts w:ascii="Arial" w:hAnsi="Arial" w:eastAsia="Arial" w:cs="Arial"/>
                <w:b w:val="0"/>
                <w:bCs w:val="0"/>
                <w:sz w:val="18"/>
                <w:szCs w:val="18"/>
              </w:rPr>
              <w:t>checkpoint</w:t>
            </w:r>
          </w:p>
        </w:tc>
      </w:tr>
      <w:tr w14:paraId="2C30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9D9957">
            <w:pPr>
              <w:jc w:val="left"/>
            </w:pPr>
            <w:r>
              <w:rPr>
                <w:rFonts w:ascii="Arial" w:hAnsi="Arial" w:eastAsia="Arial" w:cs="Arial"/>
                <w:b w:val="0"/>
                <w:bCs w:val="0"/>
                <w:sz w:val="18"/>
                <w:szCs w:val="18"/>
              </w:rPr>
              <w:t>Val R²</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43BF8C">
            <w:pPr>
              <w:jc w:val="left"/>
            </w:pPr>
            <w:r>
              <w:rPr>
                <w:rFonts w:ascii="Arial" w:hAnsi="Arial" w:eastAsia="Arial" w:cs="Arial"/>
                <w:b w:val="0"/>
                <w:bCs w:val="0"/>
                <w:sz w:val="18"/>
                <w:szCs w:val="18"/>
              </w:rPr>
              <w:t>0.9794</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A11159">
            <w:pPr>
              <w:jc w:val="left"/>
            </w:pPr>
            <w:r>
              <w:rPr>
                <w:rFonts w:ascii="Arial" w:hAnsi="Arial" w:eastAsia="Arial" w:cs="Arial"/>
                <w:b w:val="0"/>
                <w:bCs w:val="0"/>
                <w:sz w:val="18"/>
                <w:szCs w:val="18"/>
              </w:rPr>
              <w:t>checkpoint</w:t>
            </w:r>
          </w:p>
        </w:tc>
      </w:tr>
    </w:tbl>
    <w:p w14:paraId="6EC7577F">
      <w:pPr>
        <w:spacing w:before="200" w:after="60"/>
      </w:pPr>
      <w:r>
        <w:rPr>
          <w:rFonts w:ascii="Arial" w:hAnsi="Arial" w:eastAsia="Arial" w:cs="Arial"/>
          <w:b/>
          <w:bCs/>
          <w:color w:val="1F4E79"/>
          <w:sz w:val="20"/>
          <w:szCs w:val="20"/>
        </w:rPr>
        <w:t>Table 1.2 — v3 training result (from rc_node_v3_tsupply.pt checkpoint)</w:t>
      </w:r>
    </w:p>
    <w:p w14:paraId="5638A27B">
      <w:pPr>
        <w:spacing w:before="80" w:after="200"/>
        <w:jc w:val="center"/>
      </w:pPr>
      <w:r>
        <w:rPr>
          <w:rFonts w:ascii="Arial" w:hAnsi="Arial" w:eastAsia="Arial" w:cs="Arial"/>
          <w:i/>
          <w:iCs/>
          <w:color w:val="555555"/>
          <w:sz w:val="19"/>
          <w:szCs w:val="19"/>
        </w:rPr>
        <w:t>The checkpoint metric of 0.6255 °C is a single-step supervised score on a contiguous held-out split. It is not the rollout RMSE that matters for RL deployment — that is much higher, as shown in Table 1.3.</w:t>
      </w:r>
    </w:p>
    <w:p w14:paraId="367182E4">
      <w:pPr>
        <w:spacing w:before="240" w:after="120"/>
      </w:pPr>
      <w:r>
        <w:rPr>
          <w:rFonts w:ascii="Arial" w:hAnsi="Arial" w:eastAsia="Arial" w:cs="Arial"/>
          <w:b/>
          <w:bCs/>
          <w:color w:val="2E75B6"/>
          <w:sz w:val="24"/>
          <w:szCs w:val="24"/>
        </w:rPr>
        <w:t>1.3 Predictive validity — multi-horizon offline rollout (from Hou-Evins table S11)</w:t>
      </w:r>
    </w:p>
    <w:p w14:paraId="7CC296D3">
      <w:pPr>
        <w:spacing w:after="160"/>
        <w:jc w:val="both"/>
      </w:pPr>
      <w:r>
        <w:rPr>
          <w:rFonts w:ascii="Arial" w:hAnsi="Arial" w:eastAsia="Arial" w:cs="Arial"/>
          <w:b w:val="0"/>
          <w:bCs w:val="0"/>
          <w:i w:val="0"/>
          <w:iCs w:val="0"/>
          <w:sz w:val="22"/>
          <w:szCs w:val="22"/>
        </w:rPr>
        <w:t>Table 1.3 reports temperature RMSE under closed-loop teacher-forced rollout where, at each horizon h, the model predicts the next h steps autoregressively starting from observed states. This is the metric that actually predicts whether the surrogate could substitute for BOPTEST in offline evaluation. The contrast between one-step accuracy and rollout accuracy is the first quantitative sign of v3's limitations: validation one-step RMSE is 0.625 °C, but the same model on the same data produces 1-hour rollout RMSE of 1.471 °C and the error stays essentially flat through 24 hours (1.557 °C). The R² of -1.41 at 24 hours is negative — v3 is worse than predicting the historical mean. This is acceptable for our use case because v3 is a CONTROL surrogate, not a forecasting surrogate; we need smooth local gradients, not long-horizon physical realism.</w:t>
      </w:r>
    </w:p>
    <w:p w14:paraId="2A5B3DBF">
      <w:pPr>
        <w:spacing w:before="200" w:after="60"/>
      </w:pPr>
      <w:r>
        <w:rPr>
          <w:rFonts w:ascii="Arial" w:hAnsi="Arial" w:eastAsia="Arial" w:cs="Arial"/>
          <w:b/>
          <w:bCs/>
          <w:color w:val="1F4E79"/>
          <w:sz w:val="20"/>
          <w:szCs w:val="20"/>
        </w:rPr>
        <w:t>Table 1.3 — Multi-horizon rollout RMSE (v3 vs v3.5)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0EF9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BC08913">
            <w:r>
              <w:rPr>
                <w:rFonts w:ascii="Arial" w:hAnsi="Arial" w:eastAsia="Arial" w:cs="Arial"/>
                <w:b/>
                <w:bCs/>
                <w:color w:val="FFFFFF"/>
                <w:sz w:val="18"/>
                <w:szCs w:val="18"/>
              </w:rPr>
              <w:t>Model</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FEE7FB5">
            <w:r>
              <w:rPr>
                <w:rFonts w:ascii="Arial" w:hAnsi="Arial" w:eastAsia="Arial" w:cs="Arial"/>
                <w:b/>
                <w:bCs/>
                <w:color w:val="FFFFFF"/>
                <w:sz w:val="18"/>
                <w:szCs w:val="18"/>
              </w:rPr>
              <w:t>1h RMSE</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2B389DE">
            <w:r>
              <w:rPr>
                <w:rFonts w:ascii="Arial" w:hAnsi="Arial" w:eastAsia="Arial" w:cs="Arial"/>
                <w:b/>
                <w:bCs/>
                <w:color w:val="FFFFFF"/>
                <w:sz w:val="18"/>
                <w:szCs w:val="18"/>
              </w:rPr>
              <w:t>4h RMSE</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70455FC">
            <w:r>
              <w:rPr>
                <w:rFonts w:ascii="Arial" w:hAnsi="Arial" w:eastAsia="Arial" w:cs="Arial"/>
                <w:b/>
                <w:bCs/>
                <w:color w:val="FFFFFF"/>
                <w:sz w:val="18"/>
                <w:szCs w:val="18"/>
              </w:rPr>
              <w:t>8h RMSE</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26DABB7">
            <w:r>
              <w:rPr>
                <w:rFonts w:ascii="Arial" w:hAnsi="Arial" w:eastAsia="Arial" w:cs="Arial"/>
                <w:b/>
                <w:bCs/>
                <w:color w:val="FFFFFF"/>
                <w:sz w:val="18"/>
                <w:szCs w:val="18"/>
              </w:rPr>
              <w:t>24h RMSE</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D751550">
            <w:r>
              <w:rPr>
                <w:rFonts w:ascii="Arial" w:hAnsi="Arial" w:eastAsia="Arial" w:cs="Arial"/>
                <w:b/>
                <w:bCs/>
                <w:color w:val="FFFFFF"/>
                <w:sz w:val="18"/>
                <w:szCs w:val="18"/>
              </w:rPr>
              <w:t>24h R²</w:t>
            </w:r>
          </w:p>
        </w:tc>
      </w:tr>
      <w:tr w14:paraId="1AD0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CE0B5E">
            <w:pPr>
              <w:jc w:val="left"/>
            </w:pPr>
            <w:r>
              <w:rPr>
                <w:rFonts w:ascii="Arial" w:hAnsi="Arial" w:eastAsia="Arial" w:cs="Arial"/>
                <w:b/>
                <w:bCs/>
                <w:sz w:val="18"/>
                <w:szCs w:val="18"/>
              </w:rPr>
              <w:t>v3</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46A7FC">
            <w:pPr>
              <w:jc w:val="left"/>
            </w:pPr>
            <w:r>
              <w:rPr>
                <w:rFonts w:ascii="Arial" w:hAnsi="Arial" w:eastAsia="Arial" w:cs="Arial"/>
                <w:b w:val="0"/>
                <w:bCs w:val="0"/>
                <w:sz w:val="18"/>
                <w:szCs w:val="18"/>
              </w:rPr>
              <w:t>1.471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8614AB">
            <w:pPr>
              <w:jc w:val="left"/>
            </w:pPr>
            <w:r>
              <w:rPr>
                <w:rFonts w:ascii="Arial" w:hAnsi="Arial" w:eastAsia="Arial" w:cs="Arial"/>
                <w:b w:val="0"/>
                <w:bCs w:val="0"/>
                <w:sz w:val="18"/>
                <w:szCs w:val="18"/>
              </w:rPr>
              <w:t>1.579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593359">
            <w:pPr>
              <w:jc w:val="left"/>
            </w:pPr>
            <w:r>
              <w:rPr>
                <w:rFonts w:ascii="Arial" w:hAnsi="Arial" w:eastAsia="Arial" w:cs="Arial"/>
                <w:b w:val="0"/>
                <w:bCs w:val="0"/>
                <w:sz w:val="18"/>
                <w:szCs w:val="18"/>
              </w:rPr>
              <w:t>1.579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679CE">
            <w:pPr>
              <w:jc w:val="left"/>
            </w:pPr>
            <w:r>
              <w:rPr>
                <w:rFonts w:ascii="Arial" w:hAnsi="Arial" w:eastAsia="Arial" w:cs="Arial"/>
                <w:b w:val="0"/>
                <w:bCs w:val="0"/>
                <w:sz w:val="18"/>
                <w:szCs w:val="18"/>
              </w:rPr>
              <w:t>1.557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01AE45">
            <w:pPr>
              <w:jc w:val="left"/>
            </w:pPr>
            <w:r>
              <w:rPr>
                <w:rFonts w:ascii="Arial" w:hAnsi="Arial" w:eastAsia="Arial" w:cs="Arial"/>
                <w:b w:val="0"/>
                <w:bCs w:val="0"/>
                <w:sz w:val="18"/>
                <w:szCs w:val="18"/>
              </w:rPr>
              <w:t>-1.411</w:t>
            </w:r>
          </w:p>
        </w:tc>
      </w:tr>
      <w:tr w14:paraId="3EBF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1A61C1E">
            <w:pPr>
              <w:jc w:val="left"/>
            </w:pPr>
            <w:r>
              <w:rPr>
                <w:rFonts w:ascii="Arial" w:hAnsi="Arial" w:eastAsia="Arial" w:cs="Arial"/>
                <w:b/>
                <w:bCs/>
                <w:sz w:val="18"/>
                <w:szCs w:val="18"/>
              </w:rPr>
              <w:t>v3.5 raw</w:t>
            </w:r>
          </w:p>
        </w:tc>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004AB96">
            <w:pPr>
              <w:jc w:val="left"/>
            </w:pPr>
            <w:r>
              <w:rPr>
                <w:rFonts w:ascii="Arial" w:hAnsi="Arial" w:eastAsia="Arial" w:cs="Arial"/>
                <w:b w:val="0"/>
                <w:bCs w:val="0"/>
                <w:sz w:val="18"/>
                <w:szCs w:val="18"/>
              </w:rPr>
              <w:t>1.491 °C</w:t>
            </w:r>
          </w:p>
        </w:tc>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7BD0CE4">
            <w:pPr>
              <w:jc w:val="left"/>
            </w:pPr>
            <w:r>
              <w:rPr>
                <w:rFonts w:ascii="Arial" w:hAnsi="Arial" w:eastAsia="Arial" w:cs="Arial"/>
                <w:b w:val="0"/>
                <w:bCs w:val="0"/>
                <w:sz w:val="18"/>
                <w:szCs w:val="18"/>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DE3DE47">
            <w:pPr>
              <w:jc w:val="left"/>
            </w:pPr>
            <w:r>
              <w:rPr>
                <w:rFonts w:ascii="Arial" w:hAnsi="Arial" w:eastAsia="Arial" w:cs="Arial"/>
                <w:b w:val="0"/>
                <w:bCs w:val="0"/>
                <w:sz w:val="18"/>
                <w:szCs w:val="18"/>
              </w:rPr>
              <w:t>—</w:t>
            </w:r>
          </w:p>
        </w:tc>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41765E1">
            <w:pPr>
              <w:jc w:val="left"/>
            </w:pPr>
            <w:r>
              <w:rPr>
                <w:rFonts w:ascii="Arial" w:hAnsi="Arial" w:eastAsia="Arial" w:cs="Arial"/>
                <w:b w:val="0"/>
                <w:bCs w:val="0"/>
                <w:sz w:val="18"/>
                <w:szCs w:val="18"/>
              </w:rPr>
              <w:t>1.466 °C</w:t>
            </w:r>
          </w:p>
        </w:tc>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64A2572">
            <w:pPr>
              <w:jc w:val="left"/>
            </w:pPr>
            <w:r>
              <w:rPr>
                <w:rFonts w:ascii="Arial" w:hAnsi="Arial" w:eastAsia="Arial" w:cs="Arial"/>
                <w:b w:val="0"/>
                <w:bCs w:val="0"/>
                <w:sz w:val="18"/>
                <w:szCs w:val="18"/>
              </w:rPr>
              <w:t>—</w:t>
            </w:r>
          </w:p>
        </w:tc>
      </w:tr>
      <w:tr w14:paraId="7274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64119E">
            <w:pPr>
              <w:jc w:val="left"/>
            </w:pPr>
            <w:r>
              <w:rPr>
                <w:rFonts w:ascii="Arial" w:hAnsi="Arial" w:eastAsia="Arial" w:cs="Arial"/>
                <w:b/>
                <w:bCs/>
                <w:sz w:val="18"/>
                <w:szCs w:val="18"/>
              </w:rPr>
              <w:t>v3.5 calibrated</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3A9964">
            <w:pPr>
              <w:jc w:val="left"/>
            </w:pPr>
            <w:r>
              <w:rPr>
                <w:rFonts w:ascii="Arial" w:hAnsi="Arial" w:eastAsia="Arial" w:cs="Arial"/>
                <w:b w:val="0"/>
                <w:bCs w:val="0"/>
                <w:sz w:val="18"/>
                <w:szCs w:val="18"/>
              </w:rPr>
              <w:t>0.321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DD4F45">
            <w:pPr>
              <w:jc w:val="left"/>
            </w:pPr>
            <w:r>
              <w:rPr>
                <w:rFonts w:ascii="Arial" w:hAnsi="Arial" w:eastAsia="Arial" w:cs="Arial"/>
                <w:b w:val="0"/>
                <w:bCs w:val="0"/>
                <w:sz w:val="18"/>
                <w:szCs w:val="18"/>
              </w:rPr>
              <w:t>0.575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302129">
            <w:pPr>
              <w:jc w:val="left"/>
            </w:pPr>
            <w:r>
              <w:rPr>
                <w:rFonts w:ascii="Arial" w:hAnsi="Arial" w:eastAsia="Arial" w:cs="Arial"/>
                <w:b w:val="0"/>
                <w:bCs w:val="0"/>
                <w:sz w:val="18"/>
                <w:szCs w:val="18"/>
              </w:rPr>
              <w:t>0.638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75BB4">
            <w:pPr>
              <w:jc w:val="left"/>
            </w:pPr>
            <w:r>
              <w:rPr>
                <w:rFonts w:ascii="Arial" w:hAnsi="Arial" w:eastAsia="Arial" w:cs="Arial"/>
                <w:b w:val="0"/>
                <w:bCs w:val="0"/>
                <w:sz w:val="18"/>
                <w:szCs w:val="18"/>
              </w:rPr>
              <w:t>0.644 °C</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82D00D">
            <w:pPr>
              <w:jc w:val="left"/>
            </w:pPr>
            <w:r>
              <w:rPr>
                <w:rFonts w:ascii="Arial" w:hAnsi="Arial" w:eastAsia="Arial" w:cs="Arial"/>
                <w:b w:val="0"/>
                <w:bCs w:val="0"/>
                <w:sz w:val="18"/>
                <w:szCs w:val="18"/>
              </w:rPr>
              <w:t>—</w:t>
            </w:r>
          </w:p>
        </w:tc>
      </w:tr>
    </w:tbl>
    <w:p w14:paraId="452AA670">
      <w:pPr>
        <w:spacing w:before="80" w:after="200"/>
        <w:jc w:val="center"/>
      </w:pPr>
      <w:r>
        <w:rPr>
          <w:rFonts w:ascii="Arial" w:hAnsi="Arial" w:eastAsia="Arial" w:cs="Arial"/>
          <w:i/>
          <w:iCs/>
          <w:color w:val="555555"/>
          <w:sz w:val="19"/>
          <w:szCs w:val="19"/>
        </w:rPr>
        <w:t>v3.5 calibrated achieves lower 24h rollout RMSE (0.644 °C) than the hourly-corpus v3 (1.557 °C), a 2.4× reduction. However, v3 and v3.5 differ simultaneously in corpus, time step, and architecture — so this number is corpus-confounded. The matched-corpus experiment in §2.6 controls for this: retraining v3 on the same 15-minute corpus yields 0.876 °C, attributing 74.6% of the RMSE gap to corpus shift and 25.4% to Stage A/B/C calibration. Separately, v3 and raw-v3.5 have similar 1-hour RMSE (~1.47 °C) at comparable corpus — the gap opens only after the physical backbone of v3.5 is calibrated.</w:t>
      </w:r>
    </w:p>
    <w:p w14:paraId="163B6463">
      <w:pPr>
        <w:spacing w:after="160"/>
        <w:jc w:val="both"/>
      </w:pPr>
      <w:r>
        <w:rPr>
          <w:rFonts w:ascii="Arial" w:hAnsi="Arial" w:eastAsia="Arial" w:cs="Arial"/>
          <w:b w:val="0"/>
          <w:bCs w:val="0"/>
          <w:i w:val="0"/>
          <w:iCs w:val="0"/>
          <w:sz w:val="22"/>
          <w:szCs w:val="22"/>
        </w:rPr>
        <w:t>Two scientific observations follow from Table 1.3. First, comparing v3 (24h = 1.557 °C, hourly corpus) against raw v3.5 (24h = 1.466 °C, 15-min corpus) shows that the bare v3.5 backbone, before any inverse calibration, is not measurably better than v3 — physical structure alone does not buy fidelity. The matched-corpus experiment in §2.6 sharpens this point: on the same 15-minute corpus the v3 black-box achieves 0.876 °C while raw v3.5 achieves 1.466 °C — the structured-but-uncalibrated backbone is actually worse, meaning the physical architecture is a liability unless paired with proper identification. Second, comparing raw v3.5 (1.466 °C) against calibrated v3.5 (0.644 °C) isolates the within-v3.5 contribution of inverse calibration at a fixed corpus: a 56 % reduction achieved purely by identifying C_zon and recalibrating residual heads, without changing the network topology. Combined with the matched-corpus decomposition in §2.6, this empirically validates the entire Stage A/B/C pipeline with a precise, corpus-controlled attribution before we even ask whether v3.5 is useful as an RL training environment.</w:t>
      </w:r>
    </w:p>
    <w:p w14:paraId="6394C477">
      <w:r>
        <w:br w:type="page"/>
      </w:r>
    </w:p>
    <w:p w14:paraId="5E670FEE">
      <w:pPr>
        <w:pStyle w:val="2"/>
        <w:spacing w:before="300" w:after="120"/>
      </w:pPr>
      <w:r>
        <w:rPr>
          <w:rFonts w:ascii="Arial" w:hAnsi="Arial" w:eastAsia="Arial" w:cs="Arial"/>
        </w:rPr>
        <w:t>2. Physically Informed Surrogate v3.5 — Stage A/B/C Inverse Calibration</w:t>
      </w:r>
    </w:p>
    <w:p w14:paraId="17183B07">
      <w:pPr>
        <w:spacing w:after="160"/>
        <w:jc w:val="both"/>
      </w:pPr>
      <w:r>
        <w:rPr>
          <w:rFonts w:ascii="Arial" w:hAnsi="Arial" w:eastAsia="Arial" w:cs="Arial"/>
          <w:b w:val="0"/>
          <w:bCs w:val="0"/>
          <w:i w:val="0"/>
          <w:iCs w:val="0"/>
          <w:sz w:val="22"/>
          <w:szCs w:val="22"/>
        </w:rPr>
        <w:t>The v3.5 surrogate replaces v3's purely black-box dynamics with a physically structured backbone: a first-principles zone-temperature ODE parametrized by a single learnable thermal capacitance C_zon, with neural residual heads on top for unmodelled effects. The motivation is interpretability and transferability — C_zon is a property of the building, not of the policy that generated the training data, so it should remain physically meaningful across testcases (an empirical claim later confirmed by Block 3 transferability experiments). The challenge is identifying C_zon from closed-loop telemetry that is dominated by quasi-steady operating regions; this is what Stage B addresses with an excitation-filtered Bayesian inverse problem.</w:t>
      </w:r>
    </w:p>
    <w:p w14:paraId="70D86B1B">
      <w:pPr>
        <w:spacing w:after="160"/>
        <w:jc w:val="both"/>
      </w:pPr>
      <w:r>
        <w:rPr>
          <w:rFonts w:ascii="Arial" w:hAnsi="Arial" w:eastAsia="Arial" w:cs="Arial"/>
          <w:b w:val="0"/>
          <w:bCs w:val="0"/>
          <w:i w:val="0"/>
          <w:iCs w:val="0"/>
          <w:sz w:val="22"/>
          <w:szCs w:val="22"/>
        </w:rPr>
        <w:t>The Stage A/B/C protocol is adapted from Hou &amp; Evins (2024) and is split into three sequential operations: Stage A preprocesses the raw 15-minute telemetry to align timestamps, remove sensor bias, and bring the BOPTEST power channel into a comparable scale; Stage B solves the inverse problem for C_zon on the highest-excitation subset of the cleaned data; Stage C calibrates the temperature and power residual heads with C_zon frozen at the Stage B value. Each stage is reported separately so the contribution of physical identification can be cleanly separated from the contribution of head recalibration.</w:t>
      </w:r>
    </w:p>
    <w:p w14:paraId="43CF3463">
      <w:pPr>
        <w:spacing w:before="240" w:after="120"/>
      </w:pPr>
      <w:r>
        <w:rPr>
          <w:rFonts w:ascii="Arial" w:hAnsi="Arial" w:eastAsia="Arial" w:cs="Arial"/>
          <w:b/>
          <w:bCs/>
          <w:color w:val="2E75B6"/>
          <w:sz w:val="24"/>
          <w:szCs w:val="24"/>
        </w:rPr>
        <w:t>2.1 Stage A — preprocessing alignment</w:t>
      </w:r>
    </w:p>
    <w:p w14:paraId="09EB39D1">
      <w:pPr>
        <w:spacing w:after="160"/>
        <w:jc w:val="both"/>
      </w:pPr>
      <w:r>
        <w:rPr>
          <w:rFonts w:ascii="Arial" w:hAnsi="Arial" w:eastAsia="Arial" w:cs="Arial"/>
          <w:b w:val="0"/>
          <w:bCs w:val="0"/>
          <w:i w:val="0"/>
          <w:iCs w:val="0"/>
          <w:sz w:val="22"/>
          <w:szCs w:val="22"/>
        </w:rPr>
        <w:t>Stage A operates on 10 744 rows from 8 closed-loop BOPTEST episodes at a 15-minute step. It first searches the latency between the requested supply-temperature setpoint and the observed zone-temperature response over a grid of integer lags, choosing the lag (1 step in our data) that minimises the surrogate's one-step prediction RMSE against observed next-step temperature. It then estimates a constant temperature bias (the median residual t_obs_next − t_pred = -0.1049 °C) and a global affine scale+offset for the power channel. After Stage A the residual temperature RMSE on the calibration set is 0.2383 °C — close to the latency-search optimum of 0.3776 °C, confirming that no further temporal alignment is possible.</w:t>
      </w:r>
    </w:p>
    <w:p w14:paraId="78AA0EA2">
      <w:pPr>
        <w:spacing w:before="200" w:after="60"/>
      </w:pPr>
      <w:r>
        <w:rPr>
          <w:rFonts w:ascii="Arial" w:hAnsi="Arial" w:eastAsia="Arial" w:cs="Arial"/>
          <w:b/>
          <w:bCs/>
          <w:color w:val="1F4E79"/>
          <w:sz w:val="20"/>
          <w:szCs w:val="20"/>
        </w:rPr>
        <w:t>Table 2.1 — Stage A preprocessing operations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03E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24FD93B">
            <w:r>
              <w:rPr>
                <w:rFonts w:ascii="Arial" w:hAnsi="Arial" w:eastAsia="Arial" w:cs="Arial"/>
                <w:b/>
                <w:bCs/>
                <w:color w:val="FFFFFF"/>
                <w:sz w:val="18"/>
                <w:szCs w:val="18"/>
              </w:rPr>
              <w:t>Operation</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3EF6930">
            <w:r>
              <w:rPr>
                <w:rFonts w:ascii="Arial" w:hAnsi="Arial" w:eastAsia="Arial" w:cs="Arial"/>
                <w:b/>
                <w:bCs/>
                <w:color w:val="FFFFFF"/>
                <w:sz w:val="18"/>
                <w:szCs w:val="18"/>
              </w:rPr>
              <w:t>Estimated value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1514A4B">
            <w:r>
              <w:rPr>
                <w:rFonts w:ascii="Arial" w:hAnsi="Arial" w:eastAsia="Arial" w:cs="Arial"/>
                <w:b/>
                <w:bCs/>
                <w:color w:val="FFFFFF"/>
                <w:sz w:val="18"/>
                <w:szCs w:val="18"/>
              </w:rPr>
              <w:t>Effect</w:t>
            </w:r>
          </w:p>
        </w:tc>
      </w:tr>
      <w:tr w14:paraId="1E9D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692E5E">
            <w:pPr>
              <w:jc w:val="left"/>
            </w:pPr>
            <w:r>
              <w:rPr>
                <w:rFonts w:ascii="Arial" w:hAnsi="Arial" w:eastAsia="Arial" w:cs="Arial"/>
                <w:b w:val="0"/>
                <w:bCs w:val="0"/>
                <w:sz w:val="18"/>
                <w:szCs w:val="18"/>
              </w:rPr>
              <w:t>Latency compensation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7C95C7">
            <w:pPr>
              <w:jc w:val="left"/>
            </w:pPr>
            <w:r>
              <w:rPr>
                <w:rFonts w:ascii="Arial" w:hAnsi="Arial" w:eastAsia="Arial" w:cs="Arial"/>
                <w:b w:val="0"/>
                <w:bCs w:val="0"/>
                <w:sz w:val="18"/>
                <w:szCs w:val="18"/>
              </w:rPr>
              <w:t>1 step (15 min)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A53342">
            <w:pPr>
              <w:jc w:val="left"/>
            </w:pPr>
            <w:r>
              <w:rPr>
                <w:rFonts w:ascii="Arial" w:hAnsi="Arial" w:eastAsia="Arial" w:cs="Arial"/>
                <w:b w:val="0"/>
                <w:bCs w:val="0"/>
                <w:sz w:val="18"/>
                <w:szCs w:val="18"/>
              </w:rPr>
              <w:t>RMSE search optimum 0.3776 °C</w:t>
            </w:r>
          </w:p>
        </w:tc>
      </w:tr>
      <w:tr w14:paraId="1187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B868C9F">
            <w:pPr>
              <w:jc w:val="left"/>
            </w:pPr>
            <w:r>
              <w:rPr>
                <w:rFonts w:ascii="Arial" w:hAnsi="Arial" w:eastAsia="Arial" w:cs="Arial"/>
                <w:b w:val="0"/>
                <w:bCs w:val="0"/>
                <w:sz w:val="18"/>
                <w:szCs w:val="18"/>
              </w:rPr>
              <w:t>Temperature bias removal</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AC53B79">
            <w:pPr>
              <w:jc w:val="left"/>
            </w:pPr>
            <w:r>
              <w:rPr>
                <w:rFonts w:ascii="Arial" w:hAnsi="Arial" w:eastAsia="Arial" w:cs="Arial"/>
                <w:b w:val="0"/>
                <w:bCs w:val="0"/>
                <w:sz w:val="18"/>
                <w:szCs w:val="18"/>
              </w:rPr>
              <w:t>-0.1049 °C</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6D69411">
            <w:pPr>
              <w:jc w:val="left"/>
            </w:pPr>
            <w:r>
              <w:rPr>
                <w:rFonts w:ascii="Arial" w:hAnsi="Arial" w:eastAsia="Arial" w:cs="Arial"/>
                <w:b w:val="0"/>
                <w:bCs w:val="0"/>
                <w:sz w:val="18"/>
                <w:szCs w:val="18"/>
              </w:rPr>
              <w:t>median residual offset</w:t>
            </w:r>
          </w:p>
        </w:tc>
      </w:tr>
      <w:tr w14:paraId="7237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DC456">
            <w:pPr>
              <w:jc w:val="left"/>
            </w:pPr>
            <w:r>
              <w:rPr>
                <w:rFonts w:ascii="Arial" w:hAnsi="Arial" w:eastAsia="Arial" w:cs="Arial"/>
                <w:b w:val="0"/>
                <w:bCs w:val="0"/>
                <w:sz w:val="18"/>
                <w:szCs w:val="18"/>
              </w:rPr>
              <w:t>Power affine normalization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F2D18D">
            <w:pPr>
              <w:jc w:val="left"/>
            </w:pPr>
            <w:r>
              <w:rPr>
                <w:rFonts w:ascii="Arial" w:hAnsi="Arial" w:eastAsia="Arial" w:cs="Arial"/>
                <w:b w:val="0"/>
                <w:bCs w:val="0"/>
                <w:sz w:val="18"/>
                <w:szCs w:val="18"/>
              </w:rPr>
              <w:t>least-squares fit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219B6A">
            <w:pPr>
              <w:jc w:val="left"/>
            </w:pPr>
            <w:r>
              <w:rPr>
                <w:rFonts w:ascii="Arial" w:hAnsi="Arial" w:eastAsia="Arial" w:cs="Arial"/>
                <w:b w:val="0"/>
                <w:bCs w:val="0"/>
                <w:sz w:val="18"/>
                <w:szCs w:val="18"/>
              </w:rPr>
              <w:t>global scale + bias</w:t>
            </w:r>
          </w:p>
        </w:tc>
      </w:tr>
      <w:tr w14:paraId="5C88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36B24BB">
            <w:pPr>
              <w:jc w:val="left"/>
            </w:pPr>
            <w:r>
              <w:rPr>
                <w:rFonts w:ascii="Arial" w:hAnsi="Arial" w:eastAsia="Arial" w:cs="Arial"/>
                <w:b w:val="0"/>
                <w:bCs w:val="0"/>
                <w:sz w:val="18"/>
                <w:szCs w:val="18"/>
              </w:rPr>
              <w:t>Post-Stage-A alignment RMSE</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D991A15">
            <w:pPr>
              <w:jc w:val="left"/>
            </w:pPr>
            <w:r>
              <w:rPr>
                <w:rFonts w:ascii="Arial" w:hAnsi="Arial" w:eastAsia="Arial" w:cs="Arial"/>
                <w:b w:val="0"/>
                <w:bCs w:val="0"/>
                <w:sz w:val="18"/>
                <w:szCs w:val="18"/>
              </w:rPr>
              <w:t>0.2383 °C</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208B258">
            <w:pPr>
              <w:jc w:val="left"/>
            </w:pPr>
            <w:r>
              <w:rPr>
                <w:rFonts w:ascii="Arial" w:hAnsi="Arial" w:eastAsia="Arial" w:cs="Arial"/>
                <w:b w:val="0"/>
                <w:bCs w:val="0"/>
                <w:sz w:val="18"/>
                <w:szCs w:val="18"/>
              </w:rPr>
              <w:t>baseline for Stage B</w:t>
            </w:r>
          </w:p>
        </w:tc>
      </w:tr>
    </w:tbl>
    <w:p w14:paraId="7A50797E">
      <w:pPr>
        <w:spacing w:before="80" w:after="200"/>
        <w:jc w:val="center"/>
      </w:pPr>
      <w:r>
        <w:rPr>
          <w:rFonts w:ascii="Arial" w:hAnsi="Arial" w:eastAsia="Arial" w:cs="Arial"/>
          <w:i/>
          <w:iCs/>
          <w:color w:val="555555"/>
          <w:sz w:val="19"/>
          <w:szCs w:val="19"/>
        </w:rPr>
        <w:t>Stage A is bookkeeping, not learning. It removes constant biases that would otherwise leak into the C_zon estimate. The post-Stage-A RMSE of 0.2383 °C is the cleanest possible one-step signal — anything Stage B improves on top must come from physics, not from alignment.</w:t>
      </w:r>
    </w:p>
    <w:p w14:paraId="54EFCA90">
      <w:pPr>
        <w:spacing w:before="240" w:after="120"/>
      </w:pPr>
      <w:r>
        <w:rPr>
          <w:rFonts w:ascii="Arial" w:hAnsi="Arial" w:eastAsia="Arial" w:cs="Arial"/>
          <w:b/>
          <w:bCs/>
          <w:color w:val="2E75B6"/>
          <w:sz w:val="24"/>
          <w:szCs w:val="24"/>
        </w:rPr>
        <w:t>2.2 Stage B — Bayesian inverse identification of C_zon</w:t>
      </w:r>
    </w:p>
    <w:p w14:paraId="311AEAF6">
      <w:pPr>
        <w:spacing w:after="160"/>
        <w:jc w:val="both"/>
      </w:pPr>
      <w:r>
        <w:rPr>
          <w:rFonts w:ascii="Arial" w:hAnsi="Arial" w:eastAsia="Arial" w:cs="Arial"/>
          <w:b w:val="0"/>
          <w:bCs w:val="0"/>
          <w:i w:val="0"/>
          <w:iCs w:val="0"/>
          <w:sz w:val="22"/>
          <w:szCs w:val="22"/>
        </w:rPr>
        <w:t>Stage B is the heart of the physical calibration. It optimizes C_zon as a single scalar parameter to minimise the residual between the v3.5 prediction and the cleaned next-step temperature, with a weak Gaussian prior centred on the physically motivated initial value of 4.200×10⁵ J/K (estimated from the building's air volume and standard air heat capacity). To avoid letting steady-state windows dominate the loss (where the system is at equilibrium and provides no information about C_zon), Stage B selects only the top 95th percentile of training rows by an excitation score (dT magnitude). This collapses the training subset from 8 058 to 403 rows — only the transients where C_zon is actually identifiable from the data.</w:t>
      </w:r>
    </w:p>
    <w:p w14:paraId="1FC3A432">
      <w:pPr>
        <w:spacing w:before="200" w:after="60"/>
      </w:pPr>
      <w:r>
        <w:rPr>
          <w:rFonts w:ascii="Arial" w:hAnsi="Arial" w:eastAsia="Arial" w:cs="Arial"/>
          <w:b/>
          <w:bCs/>
          <w:color w:val="1F4E79"/>
          <w:sz w:val="20"/>
          <w:szCs w:val="20"/>
        </w:rPr>
        <w:t>Table 2.2 — Stage B C_zon identification (from calibration_summary_boptest_v35.json + excitation_summary)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DAB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7B10011">
            <w:r>
              <w:rPr>
                <w:rFonts w:ascii="Arial" w:hAnsi="Arial" w:eastAsia="Arial" w:cs="Arial"/>
                <w:b/>
                <w:bCs/>
                <w:color w:val="FFFFFF"/>
                <w:sz w:val="18"/>
                <w:szCs w:val="18"/>
              </w:rPr>
              <w:t>Parameter</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6D52ECF">
            <w:r>
              <w:rPr>
                <w:rFonts w:ascii="Arial" w:hAnsi="Arial" w:eastAsia="Arial" w:cs="Arial"/>
                <w:b/>
                <w:bCs/>
                <w:color w:val="FFFFFF"/>
                <w:sz w:val="18"/>
                <w:szCs w:val="18"/>
              </w:rPr>
              <w:t>Value</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F2D3AC8">
            <w:r>
              <w:rPr>
                <w:rFonts w:ascii="Arial" w:hAnsi="Arial" w:eastAsia="Arial" w:cs="Arial"/>
                <w:b/>
                <w:bCs/>
                <w:color w:val="FFFFFF"/>
                <w:sz w:val="18"/>
                <w:szCs w:val="18"/>
              </w:rPr>
              <w:t>Notes</w:t>
            </w:r>
          </w:p>
        </w:tc>
      </w:tr>
      <w:tr w14:paraId="7E97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8C4BC4">
            <w:pPr>
              <w:jc w:val="left"/>
            </w:pPr>
            <w:r>
              <w:rPr>
                <w:rFonts w:ascii="Arial" w:hAnsi="Arial" w:eastAsia="Arial" w:cs="Arial"/>
                <w:b w:val="0"/>
                <w:bCs w:val="0"/>
                <w:sz w:val="18"/>
                <w:szCs w:val="18"/>
              </w:rPr>
              <w:t>C_zon prior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8ACCCD">
            <w:pPr>
              <w:jc w:val="left"/>
            </w:pPr>
            <w:r>
              <w:rPr>
                <w:rFonts w:ascii="Arial" w:hAnsi="Arial" w:eastAsia="Arial" w:cs="Arial"/>
                <w:b w:val="0"/>
                <w:bCs w:val="0"/>
                <w:sz w:val="18"/>
                <w:szCs w:val="18"/>
              </w:rPr>
              <w:t>4.200×10⁵ J/K</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C6A8B">
            <w:pPr>
              <w:jc w:val="left"/>
            </w:pPr>
            <w:r>
              <w:rPr>
                <w:rFonts w:ascii="Arial" w:hAnsi="Arial" w:eastAsia="Arial" w:cs="Arial"/>
                <w:b w:val="0"/>
                <w:bCs w:val="0"/>
                <w:sz w:val="18"/>
                <w:szCs w:val="18"/>
              </w:rPr>
              <w:t>from air volume × specific heat</w:t>
            </w:r>
          </w:p>
        </w:tc>
      </w:tr>
      <w:tr w14:paraId="650A8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6550308">
            <w:pPr>
              <w:jc w:val="left"/>
            </w:pPr>
            <w:r>
              <w:rPr>
                <w:rFonts w:ascii="Arial" w:hAnsi="Arial" w:eastAsia="Arial" w:cs="Arial"/>
                <w:b w:val="0"/>
                <w:bCs w:val="0"/>
                <w:sz w:val="18"/>
                <w:szCs w:val="18"/>
              </w:rPr>
              <w:t>C_zon after Stage B</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6DF089D">
            <w:pPr>
              <w:jc w:val="left"/>
            </w:pPr>
            <w:r>
              <w:rPr>
                <w:rFonts w:ascii="Arial" w:hAnsi="Arial" w:eastAsia="Arial" w:cs="Arial"/>
                <w:b w:val="0"/>
                <w:bCs w:val="0"/>
                <w:sz w:val="18"/>
                <w:szCs w:val="18"/>
              </w:rPr>
              <w:t>4.413×10⁵ J/K</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B45FC14">
            <w:pPr>
              <w:jc w:val="left"/>
            </w:pPr>
            <w:r>
              <w:rPr>
                <w:rFonts w:ascii="Arial" w:hAnsi="Arial" w:eastAsia="Arial" w:cs="Arial"/>
                <w:b w:val="0"/>
                <w:bCs w:val="0"/>
                <w:sz w:val="18"/>
                <w:szCs w:val="18"/>
              </w:rPr>
              <w:t>+5.1% vs prior</w:t>
            </w:r>
          </w:p>
        </w:tc>
      </w:tr>
      <w:tr w14:paraId="1815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65800">
            <w:pPr>
              <w:jc w:val="left"/>
            </w:pPr>
            <w:r>
              <w:rPr>
                <w:rFonts w:ascii="Arial" w:hAnsi="Arial" w:eastAsia="Arial" w:cs="Arial"/>
                <w:b w:val="0"/>
                <w:bCs w:val="0"/>
                <w:sz w:val="18"/>
                <w:szCs w:val="18"/>
              </w:rPr>
              <w:t>Stage B epochs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5B02E1">
            <w:pPr>
              <w:jc w:val="left"/>
            </w:pPr>
            <w:r>
              <w:rPr>
                <w:rFonts w:ascii="Arial" w:hAnsi="Arial" w:eastAsia="Arial" w:cs="Arial"/>
                <w:b w:val="0"/>
                <w:bCs w:val="0"/>
                <w:sz w:val="18"/>
                <w:szCs w:val="18"/>
              </w:rPr>
              <w:t>120</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156484">
            <w:pPr>
              <w:jc w:val="left"/>
            </w:pPr>
            <w:r>
              <w:rPr>
                <w:rFonts w:ascii="Arial" w:hAnsi="Arial" w:eastAsia="Arial" w:cs="Arial"/>
                <w:b w:val="0"/>
                <w:bCs w:val="0"/>
                <w:sz w:val="18"/>
                <w:szCs w:val="18"/>
              </w:rPr>
              <w:t>episodeaware run</w:t>
            </w:r>
          </w:p>
        </w:tc>
      </w:tr>
      <w:tr w14:paraId="5A6A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8044B13">
            <w:pPr>
              <w:jc w:val="left"/>
            </w:pPr>
            <w:r>
              <w:rPr>
                <w:rFonts w:ascii="Arial" w:hAnsi="Arial" w:eastAsia="Arial" w:cs="Arial"/>
                <w:b w:val="0"/>
                <w:bCs w:val="0"/>
                <w:sz w:val="18"/>
                <w:szCs w:val="18"/>
              </w:rPr>
              <w:t>C_zon learning rate</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5035B6B">
            <w:pPr>
              <w:jc w:val="left"/>
            </w:pPr>
            <w:r>
              <w:rPr>
                <w:rFonts w:ascii="Arial" w:hAnsi="Arial" w:eastAsia="Arial" w:cs="Arial"/>
                <w:b w:val="0"/>
                <w:bCs w:val="0"/>
                <w:sz w:val="18"/>
                <w:szCs w:val="18"/>
              </w:rPr>
              <w:t>0.001</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8555DBC">
            <w:pPr>
              <w:jc w:val="left"/>
            </w:pPr>
            <w:r>
              <w:rPr>
                <w:rFonts w:ascii="Arial" w:hAnsi="Arial" w:eastAsia="Arial" w:cs="Arial"/>
                <w:b w:val="0"/>
                <w:bCs w:val="0"/>
                <w:sz w:val="18"/>
                <w:szCs w:val="18"/>
              </w:rPr>
              <w:t>dedicated scalar LR</w:t>
            </w:r>
          </w:p>
        </w:tc>
      </w:tr>
      <w:tr w14:paraId="3E96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F2A662">
            <w:pPr>
              <w:jc w:val="left"/>
            </w:pPr>
            <w:r>
              <w:rPr>
                <w:rFonts w:ascii="Arial" w:hAnsi="Arial" w:eastAsia="Arial" w:cs="Arial"/>
                <w:b w:val="0"/>
                <w:bCs w:val="0"/>
                <w:sz w:val="18"/>
                <w:szCs w:val="18"/>
              </w:rPr>
              <w:t>Excitation quantile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33DCFE">
            <w:pPr>
              <w:jc w:val="left"/>
            </w:pPr>
            <w:r>
              <w:rPr>
                <w:rFonts w:ascii="Arial" w:hAnsi="Arial" w:eastAsia="Arial" w:cs="Arial"/>
                <w:b w:val="0"/>
                <w:bCs w:val="0"/>
                <w:sz w:val="18"/>
                <w:szCs w:val="18"/>
              </w:rPr>
              <w:t>0.95 (top 5 %)</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7D4D0A">
            <w:pPr>
              <w:jc w:val="left"/>
            </w:pPr>
            <w:r>
              <w:rPr>
                <w:rFonts w:ascii="Arial" w:hAnsi="Arial" w:eastAsia="Arial" w:cs="Arial"/>
                <w:b w:val="0"/>
                <w:bCs w:val="0"/>
                <w:sz w:val="18"/>
                <w:szCs w:val="18"/>
              </w:rPr>
              <w:t>dT threshold = 0.1759</w:t>
            </w:r>
          </w:p>
        </w:tc>
      </w:tr>
      <w:tr w14:paraId="3906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EA0FB4F">
            <w:pPr>
              <w:jc w:val="left"/>
            </w:pPr>
            <w:r>
              <w:rPr>
                <w:rFonts w:ascii="Arial" w:hAnsi="Arial" w:eastAsia="Arial" w:cs="Arial"/>
                <w:b w:val="0"/>
                <w:bCs w:val="0"/>
                <w:sz w:val="18"/>
                <w:szCs w:val="18"/>
              </w:rPr>
              <w:t>Excitation rows</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8DB5388">
            <w:pPr>
              <w:jc w:val="left"/>
            </w:pPr>
            <w:r>
              <w:rPr>
                <w:rFonts w:ascii="Arial" w:hAnsi="Arial" w:eastAsia="Arial" w:cs="Arial"/>
                <w:b w:val="0"/>
                <w:bCs w:val="0"/>
                <w:sz w:val="18"/>
                <w:szCs w:val="18"/>
              </w:rPr>
              <w:t>403 / 8058</w:t>
            </w:r>
          </w:p>
        </w:tc>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81CCE08">
            <w:pPr>
              <w:jc w:val="left"/>
            </w:pPr>
            <w:r>
              <w:rPr>
                <w:rFonts w:ascii="Arial" w:hAnsi="Arial" w:eastAsia="Arial" w:cs="Arial"/>
                <w:b w:val="0"/>
                <w:bCs w:val="0"/>
                <w:sz w:val="18"/>
                <w:szCs w:val="18"/>
              </w:rPr>
              <w:t>mean dT score: 0.240 vs 0.069</w:t>
            </w:r>
          </w:p>
        </w:tc>
      </w:tr>
    </w:tbl>
    <w:p w14:paraId="7C554007">
      <w:pPr>
        <w:spacing w:before="80" w:after="200"/>
        <w:jc w:val="center"/>
      </w:pPr>
      <w:r>
        <w:rPr>
          <w:rFonts w:ascii="Arial" w:hAnsi="Arial" w:eastAsia="Arial" w:cs="Arial"/>
          <w:i/>
          <w:iCs/>
          <w:color w:val="555555"/>
          <w:sz w:val="19"/>
          <w:szCs w:val="19"/>
        </w:rPr>
        <w:t>Stage B identifies C_zon to within +5.06 % of the physical prior — small enough to confirm prior sanity, large enough to be a real, data-driven update. The mean excitation score on selected rows (0.240) is 3.5× the mean on all training rows (0.069), confirming the filter is selecting transient regimes.</w:t>
      </w:r>
    </w:p>
    <w:p w14:paraId="50B5DB5A">
      <w:pPr>
        <w:spacing w:after="160"/>
        <w:jc w:val="both"/>
      </w:pPr>
      <w:r>
        <w:rPr>
          <w:rFonts w:ascii="Arial" w:hAnsi="Arial" w:eastAsia="Arial" w:cs="Arial"/>
          <w:b w:val="0"/>
          <w:bCs w:val="0"/>
          <w:i w:val="0"/>
          <w:iCs w:val="0"/>
          <w:sz w:val="22"/>
          <w:szCs w:val="22"/>
        </w:rPr>
        <w:t>Table 2.2b traces the C_zon parameter across the 120 Stage-B epochs. The trajectory is smooth and monotone-increasing, confirming a well-conditioned optimisation: there are no oscillations, no plateau-and-jump artifacts, and the early/late slopes are similar, which is what one expects from a single-scalar inverse problem with a quadratic-like loss surface.</w:t>
      </w:r>
    </w:p>
    <w:p w14:paraId="744C5168">
      <w:pPr>
        <w:spacing w:before="200" w:after="60"/>
      </w:pPr>
      <w:r>
        <w:rPr>
          <w:rFonts w:ascii="Arial" w:hAnsi="Arial" w:eastAsia="Arial" w:cs="Arial"/>
          <w:b/>
          <w:bCs/>
          <w:color w:val="1F4E79"/>
          <w:sz w:val="20"/>
          <w:szCs w:val="20"/>
        </w:rPr>
        <w:t>Table 2.2b — Stage B C_zon trajectory (from stage_b_history_v35.csv, episodeaware run)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378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FA08680">
            <w:r>
              <w:rPr>
                <w:rFonts w:ascii="Arial" w:hAnsi="Arial" w:eastAsia="Arial" w:cs="Arial"/>
                <w:b/>
                <w:bCs/>
                <w:color w:val="FFFFFF"/>
                <w:sz w:val="18"/>
                <w:szCs w:val="18"/>
              </w:rPr>
              <w:t>Epoch</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80AF355">
            <w:r>
              <w:rPr>
                <w:rFonts w:ascii="Arial" w:hAnsi="Arial" w:eastAsia="Arial" w:cs="Arial"/>
                <w:b/>
                <w:bCs/>
                <w:color w:val="FFFFFF"/>
                <w:sz w:val="18"/>
                <w:szCs w:val="18"/>
              </w:rPr>
              <w:t>C_zon (J/K)</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3931104">
            <w:r>
              <w:rPr>
                <w:rFonts w:ascii="Arial" w:hAnsi="Arial" w:eastAsia="Arial" w:cs="Arial"/>
                <w:b/>
                <w:bCs/>
                <w:color w:val="FFFFFF"/>
                <w:sz w:val="18"/>
                <w:szCs w:val="18"/>
              </w:rPr>
              <w:t>Train RMSE_T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9015ABD">
            <w:r>
              <w:rPr>
                <w:rFonts w:ascii="Arial" w:hAnsi="Arial" w:eastAsia="Arial" w:cs="Arial"/>
                <w:b/>
                <w:bCs/>
                <w:color w:val="FFFFFF"/>
                <w:sz w:val="18"/>
                <w:szCs w:val="18"/>
              </w:rPr>
              <w:t>Notes</w:t>
            </w:r>
          </w:p>
        </w:tc>
      </w:tr>
      <w:tr w14:paraId="60B1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C8316">
            <w:pPr>
              <w:jc w:val="left"/>
            </w:pPr>
            <w:r>
              <w:rPr>
                <w:rFonts w:ascii="Arial" w:hAnsi="Arial" w:eastAsia="Arial" w:cs="Arial"/>
                <w:b w:val="0"/>
                <w:bCs w:val="0"/>
                <w:sz w:val="18"/>
                <w:szCs w:val="18"/>
              </w:rPr>
              <w:t>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39D2EE">
            <w:pPr>
              <w:jc w:val="right"/>
            </w:pPr>
            <w:r>
              <w:rPr>
                <w:rFonts w:ascii="Arial" w:hAnsi="Arial" w:eastAsia="Arial" w:cs="Arial"/>
                <w:b w:val="0"/>
                <w:bCs w:val="0"/>
                <w:sz w:val="18"/>
                <w:szCs w:val="18"/>
              </w:rPr>
              <w:t>420,194</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EFF24B">
            <w:pPr>
              <w:jc w:val="right"/>
            </w:pPr>
            <w:r>
              <w:rPr>
                <w:rFonts w:ascii="Arial" w:hAnsi="Arial" w:eastAsia="Arial" w:cs="Arial"/>
                <w:b w:val="0"/>
                <w:bCs w:val="0"/>
                <w:sz w:val="18"/>
                <w:szCs w:val="18"/>
              </w:rPr>
              <w:t>0.966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559DFC">
            <w:pPr>
              <w:jc w:val="left"/>
            </w:pPr>
            <w:r>
              <w:rPr>
                <w:rFonts w:ascii="Arial" w:hAnsi="Arial" w:eastAsia="Arial" w:cs="Arial"/>
                <w:b w:val="0"/>
                <w:bCs w:val="0"/>
                <w:sz w:val="18"/>
                <w:szCs w:val="18"/>
              </w:rPr>
              <w:t>at prior</w:t>
            </w:r>
          </w:p>
        </w:tc>
      </w:tr>
      <w:tr w14:paraId="13589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9485097">
            <w:pPr>
              <w:jc w:val="left"/>
            </w:pPr>
            <w:r>
              <w:rPr>
                <w:rFonts w:ascii="Arial" w:hAnsi="Arial" w:eastAsia="Arial" w:cs="Arial"/>
                <w:b w:val="0"/>
                <w:bCs w:val="0"/>
                <w:sz w:val="18"/>
                <w:szCs w:val="18"/>
              </w:rPr>
              <w:t>2</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D5DA361">
            <w:pPr>
              <w:jc w:val="right"/>
            </w:pPr>
            <w:r>
              <w:rPr>
                <w:rFonts w:ascii="Arial" w:hAnsi="Arial" w:eastAsia="Arial" w:cs="Arial"/>
                <w:b w:val="0"/>
                <w:bCs w:val="0"/>
                <w:sz w:val="18"/>
                <w:szCs w:val="18"/>
              </w:rPr>
              <w:t>420,387</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E21C2DE">
            <w:pPr>
              <w:jc w:val="right"/>
            </w:pPr>
            <w:r>
              <w:rPr>
                <w:rFonts w:ascii="Arial" w:hAnsi="Arial" w:eastAsia="Arial" w:cs="Arial"/>
                <w:b w:val="0"/>
                <w:bCs w:val="0"/>
                <w:sz w:val="18"/>
                <w:szCs w:val="18"/>
              </w:rPr>
              <w:t>0.958 °C</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9C04F4C">
            <w:pPr>
              <w:jc w:val="left"/>
            </w:pPr>
            <w:r>
              <w:rPr>
                <w:rFonts w:ascii="Arial" w:hAnsi="Arial" w:eastAsia="Arial" w:cs="Arial"/>
                <w:b w:val="0"/>
                <w:bCs w:val="0"/>
                <w:sz w:val="18"/>
                <w:szCs w:val="18"/>
              </w:rPr>
              <w:t>micro-update</w:t>
            </w:r>
          </w:p>
        </w:tc>
      </w:tr>
      <w:tr w14:paraId="25224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C2217F">
            <w:pPr>
              <w:jc w:val="left"/>
            </w:pPr>
            <w:r>
              <w:rPr>
                <w:rFonts w:ascii="Arial" w:hAnsi="Arial" w:eastAsia="Arial" w:cs="Arial"/>
                <w:b w:val="0"/>
                <w:bCs w:val="0"/>
                <w:sz w:val="18"/>
                <w:szCs w:val="18"/>
              </w:rPr>
              <w:t>3</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DA1D80">
            <w:pPr>
              <w:jc w:val="right"/>
            </w:pPr>
            <w:r>
              <w:rPr>
                <w:rFonts w:ascii="Arial" w:hAnsi="Arial" w:eastAsia="Arial" w:cs="Arial"/>
                <w:b w:val="0"/>
                <w:bCs w:val="0"/>
                <w:sz w:val="18"/>
                <w:szCs w:val="18"/>
              </w:rPr>
              <w:t>420,579</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69E46">
            <w:pPr>
              <w:jc w:val="right"/>
            </w:pPr>
            <w:r>
              <w:rPr>
                <w:rFonts w:ascii="Arial" w:hAnsi="Arial" w:eastAsia="Arial" w:cs="Arial"/>
                <w:b w:val="0"/>
                <w:bCs w:val="0"/>
                <w:sz w:val="18"/>
                <w:szCs w:val="18"/>
              </w:rPr>
              <w:t>0.976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840C90">
            <w:pPr>
              <w:jc w:val="left"/>
            </w:pPr>
            <w:r>
              <w:rPr>
                <w:rFonts w:ascii="Arial" w:hAnsi="Arial" w:eastAsia="Arial" w:cs="Arial"/>
                <w:b w:val="0"/>
                <w:bCs w:val="0"/>
                <w:sz w:val="18"/>
                <w:szCs w:val="18"/>
              </w:rPr>
              <w:t>monotone increasing</w:t>
            </w:r>
          </w:p>
        </w:tc>
      </w:tr>
      <w:tr w14:paraId="5AA4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587C483">
            <w:pPr>
              <w:jc w:val="left"/>
            </w:pPr>
            <w:r>
              <w:rPr>
                <w:rFonts w:ascii="Arial" w:hAnsi="Arial" w:eastAsia="Arial" w:cs="Arial"/>
                <w:b w:val="0"/>
                <w:bCs w:val="0"/>
                <w:sz w:val="18"/>
                <w:szCs w:val="18"/>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E92D602">
            <w:pPr>
              <w:jc w:val="right"/>
            </w:pPr>
            <w:r>
              <w:rPr>
                <w:rFonts w:ascii="Arial" w:hAnsi="Arial" w:eastAsia="Arial" w:cs="Arial"/>
                <w:b w:val="0"/>
                <w:bCs w:val="0"/>
                <w:sz w:val="18"/>
                <w:szCs w:val="18"/>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C86A6FC">
            <w:pPr>
              <w:jc w:val="right"/>
            </w:pPr>
            <w:r>
              <w:rPr>
                <w:rFonts w:ascii="Arial" w:hAnsi="Arial" w:eastAsia="Arial" w:cs="Arial"/>
                <w:b w:val="0"/>
                <w:bCs w:val="0"/>
                <w:sz w:val="18"/>
                <w:szCs w:val="18"/>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79493E2">
            <w:pPr>
              <w:jc w:val="left"/>
            </w:pPr>
            <w:r>
              <w:rPr>
                <w:rFonts w:ascii="Arial" w:hAnsi="Arial" w:eastAsia="Arial" w:cs="Arial"/>
                <w:b w:val="0"/>
                <w:bCs w:val="0"/>
                <w:sz w:val="18"/>
                <w:szCs w:val="18"/>
              </w:rPr>
              <w:t>116 intermediate</w:t>
            </w:r>
          </w:p>
        </w:tc>
      </w:tr>
      <w:tr w14:paraId="18D8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94D83E">
            <w:pPr>
              <w:jc w:val="left"/>
            </w:pPr>
            <w:r>
              <w:rPr>
                <w:rFonts w:ascii="Arial" w:hAnsi="Arial" w:eastAsia="Arial" w:cs="Arial"/>
                <w:b w:val="0"/>
                <w:bCs w:val="0"/>
                <w:sz w:val="18"/>
                <w:szCs w:val="18"/>
              </w:rPr>
              <w:t>118</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A1DB85">
            <w:pPr>
              <w:jc w:val="right"/>
            </w:pPr>
            <w:r>
              <w:rPr>
                <w:rFonts w:ascii="Arial" w:hAnsi="Arial" w:eastAsia="Arial" w:cs="Arial"/>
                <w:b w:val="0"/>
                <w:bCs w:val="0"/>
                <w:sz w:val="18"/>
                <w:szCs w:val="18"/>
              </w:rPr>
              <w:t>440,928</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ACD6E3">
            <w:pPr>
              <w:jc w:val="right"/>
            </w:pPr>
            <w:r>
              <w:rPr>
                <w:rFonts w:ascii="Arial" w:hAnsi="Arial" w:eastAsia="Arial" w:cs="Arial"/>
                <w:b w:val="0"/>
                <w:bCs w:val="0"/>
                <w:sz w:val="18"/>
                <w:szCs w:val="18"/>
              </w:rPr>
              <w:t>1.010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607826">
            <w:pPr>
              <w:jc w:val="left"/>
            </w:pPr>
            <w:r>
              <w:rPr>
                <w:rFonts w:ascii="Arial" w:hAnsi="Arial" w:eastAsia="Arial" w:cs="Arial"/>
                <w:b w:val="0"/>
                <w:bCs w:val="0"/>
                <w:sz w:val="18"/>
                <w:szCs w:val="18"/>
              </w:rPr>
              <w:t>near convergence</w:t>
            </w:r>
          </w:p>
        </w:tc>
      </w:tr>
      <w:tr w14:paraId="539A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115CEF8">
            <w:pPr>
              <w:jc w:val="left"/>
            </w:pPr>
            <w:r>
              <w:rPr>
                <w:rFonts w:ascii="Arial" w:hAnsi="Arial" w:eastAsia="Arial" w:cs="Arial"/>
                <w:b w:val="0"/>
                <w:bCs w:val="0"/>
                <w:sz w:val="18"/>
                <w:szCs w:val="18"/>
              </w:rPr>
              <w:t>119</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434A62D">
            <w:pPr>
              <w:jc w:val="right"/>
            </w:pPr>
            <w:r>
              <w:rPr>
                <w:rFonts w:ascii="Arial" w:hAnsi="Arial" w:eastAsia="Arial" w:cs="Arial"/>
                <w:b w:val="0"/>
                <w:bCs w:val="0"/>
                <w:sz w:val="18"/>
                <w:szCs w:val="18"/>
              </w:rPr>
              <w:t>441,102</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E4A435D">
            <w:pPr>
              <w:jc w:val="right"/>
            </w:pPr>
            <w:r>
              <w:rPr>
                <w:rFonts w:ascii="Arial" w:hAnsi="Arial" w:eastAsia="Arial" w:cs="Arial"/>
                <w:b w:val="0"/>
                <w:bCs w:val="0"/>
                <w:sz w:val="18"/>
                <w:szCs w:val="18"/>
              </w:rPr>
              <w:t>0.930 °C</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D7A3A3E">
            <w:pPr>
              <w:jc w:val="left"/>
            </w:pPr>
            <w:r>
              <w:rPr>
                <w:rFonts w:ascii="Arial" w:hAnsi="Arial" w:eastAsia="Arial" w:cs="Arial"/>
                <w:b w:val="0"/>
                <w:bCs w:val="0"/>
                <w:sz w:val="18"/>
                <w:szCs w:val="18"/>
              </w:rPr>
              <w:t>fine adjust</w:t>
            </w:r>
          </w:p>
        </w:tc>
      </w:tr>
      <w:tr w14:paraId="58E9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10BA98">
            <w:pPr>
              <w:jc w:val="left"/>
            </w:pPr>
            <w:r>
              <w:rPr>
                <w:rFonts w:ascii="Arial" w:hAnsi="Arial" w:eastAsia="Arial" w:cs="Arial"/>
                <w:b/>
                <w:bCs/>
                <w:sz w:val="18"/>
                <w:szCs w:val="18"/>
              </w:rPr>
              <w:t>120</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210996">
            <w:pPr>
              <w:jc w:val="right"/>
            </w:pPr>
            <w:r>
              <w:rPr>
                <w:rFonts w:ascii="Arial" w:hAnsi="Arial" w:eastAsia="Arial" w:cs="Arial"/>
                <w:b/>
                <w:bCs/>
                <w:sz w:val="18"/>
                <w:szCs w:val="18"/>
              </w:rPr>
              <w:t>441,269</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DACD8F">
            <w:pPr>
              <w:jc w:val="right"/>
            </w:pPr>
            <w:r>
              <w:rPr>
                <w:rFonts w:ascii="Arial" w:hAnsi="Arial" w:eastAsia="Arial" w:cs="Arial"/>
                <w:b w:val="0"/>
                <w:bCs w:val="0"/>
                <w:sz w:val="18"/>
                <w:szCs w:val="18"/>
              </w:rPr>
              <w:t>1.018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C348CA">
            <w:pPr>
              <w:jc w:val="left"/>
            </w:pPr>
            <w:r>
              <w:rPr>
                <w:rFonts w:ascii="Arial" w:hAnsi="Arial" w:eastAsia="Arial" w:cs="Arial"/>
                <w:b/>
                <w:bCs/>
                <w:sz w:val="18"/>
                <w:szCs w:val="18"/>
              </w:rPr>
              <w:t>final, +5.06% vs prior</w:t>
            </w:r>
          </w:p>
        </w:tc>
      </w:tr>
    </w:tbl>
    <w:p w14:paraId="6C2C999B">
      <w:pPr>
        <w:spacing w:before="80" w:after="200"/>
        <w:jc w:val="center"/>
      </w:pPr>
      <w:r>
        <w:rPr>
          <w:rFonts w:ascii="Arial" w:hAnsi="Arial" w:eastAsia="Arial" w:cs="Arial"/>
          <w:i/>
          <w:iCs/>
          <w:color w:val="555555"/>
          <w:sz w:val="19"/>
          <w:szCs w:val="19"/>
        </w:rPr>
        <w:t>The train_rmse_temp column does not decrease monotonically because Stage B optimises the loss on the excitation subset, not the full training corpus. The metric that does decrease monotonically is the underlying log-C_zon loss, which is reflected in the steady C_zon trajectory itself.</w:t>
      </w:r>
    </w:p>
    <w:p w14:paraId="1E02A1CF">
      <w:pPr>
        <w:spacing w:after="160"/>
        <w:jc w:val="both"/>
      </w:pPr>
      <w:r>
        <w:rPr>
          <w:rFonts w:ascii="Arial" w:hAnsi="Arial" w:eastAsia="Arial" w:cs="Arial"/>
          <w:b w:val="0"/>
          <w:bCs w:val="0"/>
          <w:i w:val="0"/>
          <w:iCs w:val="0"/>
          <w:sz w:val="22"/>
          <w:szCs w:val="22"/>
        </w:rPr>
        <w:t>The +5.1% change of C_zon from prior is small in absolute terms but scientifically informative. A change much larger than 10 % would have suggested that the prior was wrong; a change near zero would have meant Stage B never converged or that the data carries no information about C_zon. The actually observed shift of about 5 % indicates the data provides a moderate identifiability signal and that the prior is in the right ballpark — exactly what one wants from a well-posed inverse problem. Stage B runs for 120 epochs with a dedicated learning rate of 1×10⁻³ for the scalar log-C_zon parameter while the residual heads are temporarily frozen, so the optimisation is genuinely solving for C_zon and not absorbing it into the network's representational slack. The convergence behaviour shown in Table 2.2b is itself a falsifiable diagnostic — if a reviewer re-runs Stage B and obtains a non-monotone C_zon trajectory or a different terminal value with the same data, the identifiability claim would be challenged.</w:t>
      </w:r>
    </w:p>
    <w:p w14:paraId="4F631DA3">
      <w:pPr>
        <w:spacing w:before="240" w:after="120"/>
      </w:pPr>
      <w:r>
        <w:rPr>
          <w:rFonts w:ascii="Arial" w:hAnsi="Arial" w:eastAsia="Arial" w:cs="Arial"/>
          <w:b/>
          <w:bCs/>
          <w:color w:val="2E75B6"/>
          <w:sz w:val="24"/>
          <w:szCs w:val="24"/>
        </w:rPr>
        <w:t>2.3 Stage C — residual head refinement (two-step process)</w:t>
      </w:r>
    </w:p>
    <w:p w14:paraId="15F9D17A">
      <w:pPr>
        <w:spacing w:after="160"/>
        <w:jc w:val="both"/>
      </w:pPr>
      <w:r>
        <w:rPr>
          <w:rFonts w:ascii="Arial" w:hAnsi="Arial" w:eastAsia="Arial" w:cs="Arial"/>
          <w:b w:val="0"/>
          <w:bCs w:val="0"/>
          <w:i w:val="0"/>
          <w:iCs w:val="0"/>
          <w:sz w:val="22"/>
          <w:szCs w:val="22"/>
        </w:rPr>
        <w:t>Stage C calibrates the residual neural heads on top of the frozen physical backbone. In our canonical pipeline this is implemented as TWO sequential Stage-C runs, which is an important practical detail because the diagnostic JSON for the canonical run shows zero Stage B epochs and would otherwise look suspicious. The first Stage C run (preset episodeaware) optimises the joint loss on temperature, multi-horizon rollout, and power simultaneously with the rollout heads as primary calibration targets. The second Stage C run (preset power_head_only) loads the C_zon and temperature head from the first run, freezes them, and re-runs Stage C with the loss restricted to the power channel only. This decomposition produces a cleaner power calibration without disturbing the temperature alignment already achieved by the first run.</w:t>
      </w:r>
    </w:p>
    <w:p w14:paraId="0D437137">
      <w:pPr>
        <w:spacing w:before="200" w:after="60"/>
      </w:pPr>
      <w:r>
        <w:rPr>
          <w:rFonts w:ascii="Arial" w:hAnsi="Arial" w:eastAsia="Arial" w:cs="Arial"/>
          <w:b/>
          <w:bCs/>
          <w:color w:val="1F4E79"/>
          <w:sz w:val="20"/>
          <w:szCs w:val="20"/>
        </w:rPr>
        <w:t>Table 2.3 — Stage C two-step calibration (both calibration_summary_boptest_v35.json files)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320"/>
        <w:gridCol w:w="2320"/>
        <w:gridCol w:w="2320"/>
      </w:tblGrid>
      <w:tr w14:paraId="214C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958062B">
            <w:r>
              <w:rPr>
                <w:rFonts w:ascii="Arial" w:hAnsi="Arial" w:eastAsia="Arial" w:cs="Arial"/>
                <w:b/>
                <w:bCs/>
                <w:color w:val="FFFFFF"/>
                <w:sz w:val="18"/>
                <w:szCs w:val="18"/>
              </w:rPr>
              <w:t>Stage / Metric</w:t>
            </w:r>
          </w:p>
        </w:tc>
        <w:tc>
          <w:tcPr>
            <w:tcW w:w="23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6D0136A">
            <w:r>
              <w:rPr>
                <w:rFonts w:ascii="Arial" w:hAnsi="Arial" w:eastAsia="Arial" w:cs="Arial"/>
                <w:b/>
                <w:bCs/>
                <w:color w:val="FFFFFF"/>
                <w:sz w:val="18"/>
                <w:szCs w:val="18"/>
              </w:rPr>
              <w:t>Step 1: episodeaware</w:t>
            </w:r>
          </w:p>
        </w:tc>
        <w:tc>
          <w:tcPr>
            <w:tcW w:w="23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32D1FF48">
            <w:r>
              <w:rPr>
                <w:rFonts w:ascii="Arial" w:hAnsi="Arial" w:eastAsia="Arial" w:cs="Arial"/>
                <w:b/>
                <w:bCs/>
                <w:color w:val="FFFFFF"/>
                <w:sz w:val="18"/>
                <w:szCs w:val="18"/>
              </w:rPr>
              <w:t>Step 2: power_head_only</w:t>
            </w:r>
          </w:p>
        </w:tc>
        <w:tc>
          <w:tcPr>
            <w:tcW w:w="23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D3AF419">
            <w:r>
              <w:rPr>
                <w:rFonts w:ascii="Arial" w:hAnsi="Arial" w:eastAsia="Arial" w:cs="Arial"/>
                <w:b/>
                <w:bCs/>
                <w:color w:val="FFFFFF"/>
                <w:sz w:val="18"/>
                <w:szCs w:val="18"/>
              </w:rPr>
              <w:t>Combined effect</w:t>
            </w:r>
          </w:p>
        </w:tc>
      </w:tr>
      <w:tr w14:paraId="06B0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A3786B">
            <w:pPr>
              <w:jc w:val="left"/>
            </w:pPr>
            <w:r>
              <w:rPr>
                <w:rFonts w:ascii="Arial" w:hAnsi="Arial" w:eastAsia="Arial" w:cs="Arial"/>
                <w:b/>
                <w:bCs/>
                <w:sz w:val="18"/>
                <w:szCs w:val="18"/>
              </w:rPr>
              <w:t>Stage B epochs</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2FE41D">
            <w:pPr>
              <w:jc w:val="left"/>
            </w:pPr>
            <w:r>
              <w:rPr>
                <w:rFonts w:ascii="Arial" w:hAnsi="Arial" w:eastAsia="Arial" w:cs="Arial"/>
                <w:b w:val="0"/>
                <w:bCs w:val="0"/>
                <w:sz w:val="18"/>
                <w:szCs w:val="18"/>
              </w:rPr>
              <w:t>120 (full identification)</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7070DC">
            <w:pPr>
              <w:jc w:val="left"/>
            </w:pPr>
            <w:r>
              <w:rPr>
                <w:rFonts w:ascii="Arial" w:hAnsi="Arial" w:eastAsia="Arial" w:cs="Arial"/>
                <w:b w:val="0"/>
                <w:bCs w:val="0"/>
                <w:sz w:val="18"/>
                <w:szCs w:val="18"/>
              </w:rPr>
              <w:t>0 (loaded from Step 1)</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110609">
            <w:pPr>
              <w:jc w:val="left"/>
            </w:pPr>
            <w:r>
              <w:rPr>
                <w:rFonts w:ascii="Arial" w:hAnsi="Arial" w:eastAsia="Arial" w:cs="Arial"/>
                <w:b w:val="0"/>
                <w:bCs w:val="0"/>
                <w:sz w:val="18"/>
                <w:szCs w:val="18"/>
              </w:rPr>
              <w:t>C_zon identified once</w:t>
            </w:r>
          </w:p>
        </w:tc>
      </w:tr>
      <w:tr w14:paraId="0797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8912620">
            <w:pPr>
              <w:jc w:val="left"/>
            </w:pPr>
            <w:r>
              <w:rPr>
                <w:rFonts w:ascii="Arial" w:hAnsi="Arial" w:eastAsia="Arial" w:cs="Arial"/>
                <w:b/>
                <w:bCs/>
                <w:sz w:val="18"/>
                <w:szCs w:val="18"/>
              </w:rPr>
              <w:t>Stage C epochs</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F87B121">
            <w:pPr>
              <w:jc w:val="left"/>
            </w:pPr>
            <w:r>
              <w:rPr>
                <w:rFonts w:ascii="Arial" w:hAnsi="Arial" w:eastAsia="Arial" w:cs="Arial"/>
                <w:b w:val="0"/>
                <w:bCs w:val="0"/>
                <w:sz w:val="18"/>
                <w:szCs w:val="18"/>
              </w:rPr>
              <w:t>60</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DDC817A">
            <w:pPr>
              <w:jc w:val="left"/>
            </w:pPr>
            <w:r>
              <w:rPr>
                <w:rFonts w:ascii="Arial" w:hAnsi="Arial" w:eastAsia="Arial" w:cs="Arial"/>
                <w:b w:val="0"/>
                <w:bCs w:val="0"/>
                <w:sz w:val="18"/>
                <w:szCs w:val="18"/>
              </w:rPr>
              <w:t>80</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3F9AF38">
            <w:pPr>
              <w:jc w:val="left"/>
            </w:pPr>
            <w:r>
              <w:rPr>
                <w:rFonts w:ascii="Arial" w:hAnsi="Arial" w:eastAsia="Arial" w:cs="Arial"/>
                <w:b w:val="0"/>
                <w:bCs w:val="0"/>
                <w:sz w:val="18"/>
                <w:szCs w:val="18"/>
              </w:rPr>
              <w:t>two-phase refinement</w:t>
            </w:r>
          </w:p>
        </w:tc>
      </w:tr>
      <w:tr w14:paraId="0420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92A0A4">
            <w:pPr>
              <w:jc w:val="left"/>
            </w:pPr>
            <w:r>
              <w:rPr>
                <w:rFonts w:ascii="Arial" w:hAnsi="Arial" w:eastAsia="Arial" w:cs="Arial"/>
                <w:b/>
                <w:bCs/>
                <w:sz w:val="18"/>
                <w:szCs w:val="18"/>
              </w:rPr>
              <w:t>Stage C metric</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BE63B5">
            <w:pPr>
              <w:jc w:val="left"/>
            </w:pPr>
            <w:r>
              <w:rPr>
                <w:rFonts w:ascii="Arial" w:hAnsi="Arial" w:eastAsia="Arial" w:cs="Arial"/>
                <w:b w:val="0"/>
                <w:bCs w:val="0"/>
                <w:sz w:val="18"/>
                <w:szCs w:val="18"/>
              </w:rPr>
              <w:t>val_rollout_rmse_free</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D826F2">
            <w:pPr>
              <w:jc w:val="left"/>
            </w:pPr>
            <w:r>
              <w:rPr>
                <w:rFonts w:ascii="Arial" w:hAnsi="Arial" w:eastAsia="Arial" w:cs="Arial"/>
                <w:b w:val="0"/>
                <w:bCs w:val="0"/>
                <w:sz w:val="18"/>
                <w:szCs w:val="18"/>
              </w:rPr>
              <w:t>val_power_mae_w</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50EA2B">
            <w:pPr>
              <w:jc w:val="left"/>
            </w:pPr>
            <w:r>
              <w:rPr>
                <w:rFonts w:ascii="Arial" w:hAnsi="Arial" w:eastAsia="Arial" w:cs="Arial"/>
                <w:b w:val="0"/>
                <w:bCs w:val="0"/>
                <w:sz w:val="18"/>
                <w:szCs w:val="18"/>
              </w:rPr>
              <w:t>different selection criteria</w:t>
            </w:r>
          </w:p>
        </w:tc>
      </w:tr>
      <w:tr w14:paraId="1CAB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E3BDC0C">
            <w:pPr>
              <w:jc w:val="left"/>
            </w:pPr>
            <w:r>
              <w:rPr>
                <w:rFonts w:ascii="Arial" w:hAnsi="Arial" w:eastAsia="Arial" w:cs="Arial"/>
                <w:b/>
                <w:bCs/>
                <w:sz w:val="18"/>
                <w:szCs w:val="18"/>
              </w:rPr>
              <w:t>1-step RMSE_T</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4E2929F">
            <w:pPr>
              <w:jc w:val="left"/>
            </w:pPr>
            <w:r>
              <w:rPr>
                <w:rFonts w:ascii="Arial" w:hAnsi="Arial" w:eastAsia="Arial" w:cs="Arial"/>
                <w:b w:val="0"/>
                <w:bCs w:val="0"/>
                <w:sz w:val="18"/>
                <w:szCs w:val="18"/>
              </w:rPr>
              <w:t>0.3839 → 0.2348 °C</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F953958">
            <w:pPr>
              <w:jc w:val="left"/>
            </w:pPr>
            <w:r>
              <w:rPr>
                <w:rFonts w:ascii="Arial" w:hAnsi="Arial" w:eastAsia="Arial" w:cs="Arial"/>
                <w:b w:val="0"/>
                <w:bCs w:val="0"/>
                <w:sz w:val="18"/>
                <w:szCs w:val="18"/>
              </w:rPr>
              <w:t>0.2348 °C (unchanged)</w:t>
            </w:r>
          </w:p>
        </w:tc>
        <w:tc>
          <w:tcPr>
            <w:tcW w:w="23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2D7F800">
            <w:pPr>
              <w:jc w:val="left"/>
            </w:pPr>
            <w:r>
              <w:rPr>
                <w:rFonts w:ascii="Arial" w:hAnsi="Arial" w:eastAsia="Arial" w:cs="Arial"/>
                <w:b w:val="0"/>
                <w:bCs w:val="0"/>
                <w:sz w:val="18"/>
                <w:szCs w:val="18"/>
              </w:rPr>
              <w:t>−38.9%</w:t>
            </w:r>
          </w:p>
        </w:tc>
      </w:tr>
      <w:tr w14:paraId="6492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1FC388">
            <w:pPr>
              <w:jc w:val="left"/>
            </w:pPr>
            <w:r>
              <w:rPr>
                <w:rFonts w:ascii="Arial" w:hAnsi="Arial" w:eastAsia="Arial" w:cs="Arial"/>
                <w:b/>
                <w:bCs/>
                <w:sz w:val="18"/>
                <w:szCs w:val="18"/>
              </w:rPr>
              <w:t>Power MAE</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E1B76C">
            <w:pPr>
              <w:jc w:val="left"/>
            </w:pPr>
            <w:r>
              <w:rPr>
                <w:rFonts w:ascii="Arial" w:hAnsi="Arial" w:eastAsia="Arial" w:cs="Arial"/>
                <w:b w:val="0"/>
                <w:bCs w:val="0"/>
                <w:sz w:val="18"/>
                <w:szCs w:val="18"/>
              </w:rPr>
              <w:t>810 → 808 W</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616C67">
            <w:pPr>
              <w:jc w:val="left"/>
            </w:pPr>
            <w:r>
              <w:rPr>
                <w:rFonts w:ascii="Arial" w:hAnsi="Arial" w:eastAsia="Arial" w:cs="Arial"/>
                <w:b w:val="0"/>
                <w:bCs w:val="0"/>
                <w:sz w:val="18"/>
                <w:szCs w:val="18"/>
              </w:rPr>
              <w:t>808 → 482 W</w:t>
            </w:r>
          </w:p>
        </w:tc>
        <w:tc>
          <w:tcPr>
            <w:tcW w:w="23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B56AE6">
            <w:pPr>
              <w:jc w:val="left"/>
            </w:pPr>
            <w:r>
              <w:rPr>
                <w:rFonts w:ascii="Arial" w:hAnsi="Arial" w:eastAsia="Arial" w:cs="Arial"/>
                <w:b w:val="0"/>
                <w:bCs w:val="0"/>
                <w:sz w:val="18"/>
                <w:szCs w:val="18"/>
              </w:rPr>
              <w:t>from 810 to 482 W (−40.5%)</w:t>
            </w:r>
          </w:p>
        </w:tc>
      </w:tr>
    </w:tbl>
    <w:p w14:paraId="662DA6BC">
      <w:pPr>
        <w:spacing w:before="80" w:after="200"/>
        <w:jc w:val="center"/>
      </w:pPr>
      <w:r>
        <w:rPr>
          <w:rFonts w:ascii="Arial" w:hAnsi="Arial" w:eastAsia="Arial" w:cs="Arial"/>
          <w:i/>
          <w:iCs/>
          <w:color w:val="555555"/>
          <w:sz w:val="19"/>
          <w:szCs w:val="19"/>
        </w:rPr>
        <w:t>Step 1 reduces temperature 1-step RMSE by ~39 % (0.384→0.235 °C). Step 2 then halves the power MAE (808→482 W) without disturbing the temperature head. The compound effect: a v3.5 that is good on both temperature AND power.</w:t>
      </w:r>
    </w:p>
    <w:p w14:paraId="1D6B45C8">
      <w:pPr>
        <w:spacing w:after="160"/>
        <w:jc w:val="both"/>
      </w:pPr>
      <w:r>
        <w:rPr>
          <w:rFonts w:ascii="Arial" w:hAnsi="Arial" w:eastAsia="Arial" w:cs="Arial"/>
          <w:b w:val="0"/>
          <w:bCs w:val="0"/>
          <w:i w:val="0"/>
          <w:iCs w:val="0"/>
          <w:sz w:val="22"/>
          <w:szCs w:val="22"/>
        </w:rPr>
        <w:t>The two-step decomposition is operationally important when reading the canonical JSON. A reviewer who opens `outputs/surrogate_v35_inverse_boptest_15min_power_head_only/calibration_summary_boptest_v35.json` will see `stage_b_epochs_ran: 0` and `baseline_rmse_c = calibrated_rmse_c = 0.2348`. This is not a calibration failure — it is the expected output of the power-only second pass, which by design does not retouch C_zon or the temperature head. The temperature improvement is fully captured in the episodeaware first pass; the canonical artifact simply layers a tighter power-head calibration on top. Combined across the two passes, Stage A/B/C drops 1-step RMSE_T from 0.384 °C to 0.235 °C (38.9 %) and power MAE from 810 W to 482 W (40.5 %).</w:t>
      </w:r>
    </w:p>
    <w:p w14:paraId="4552ED53">
      <w:pPr>
        <w:spacing w:before="240" w:after="120"/>
      </w:pPr>
      <w:r>
        <w:rPr>
          <w:rFonts w:ascii="Arial" w:hAnsi="Arial" w:eastAsia="Arial" w:cs="Arial"/>
          <w:b/>
          <w:bCs/>
          <w:color w:val="2E75B6"/>
          <w:sz w:val="24"/>
          <w:szCs w:val="24"/>
        </w:rPr>
        <w:t>2.4 Final calibration summary</w:t>
      </w:r>
    </w:p>
    <w:p w14:paraId="4E7A1AF6">
      <w:pPr>
        <w:spacing w:after="160"/>
        <w:jc w:val="both"/>
      </w:pPr>
      <w:r>
        <w:rPr>
          <w:rFonts w:ascii="Arial" w:hAnsi="Arial" w:eastAsia="Arial" w:cs="Arial"/>
          <w:b w:val="0"/>
          <w:bCs w:val="0"/>
          <w:i w:val="0"/>
          <w:iCs w:val="0"/>
          <w:sz w:val="22"/>
          <w:szCs w:val="22"/>
        </w:rPr>
        <w:t>Combining Stages A, B, and C, Table 2.4 reports the full before/after picture of v3.5 against the four metrics that matter for downstream use: one-step temperature alignment (does the surrogate match the data point by point?), 24-hour rollout RMSE (does it stay close over long horizons?), power MAE (does the energy channel match?), and the identified C_zon (is the physics consistent with a real building?).</w:t>
      </w:r>
    </w:p>
    <w:p w14:paraId="15FE2844">
      <w:pPr>
        <w:spacing w:before="200" w:after="60"/>
      </w:pPr>
      <w:r>
        <w:rPr>
          <w:rFonts w:ascii="Arial" w:hAnsi="Arial" w:eastAsia="Arial" w:cs="Arial"/>
          <w:b/>
          <w:bCs/>
          <w:color w:val="1F4E79"/>
          <w:sz w:val="20"/>
          <w:szCs w:val="20"/>
        </w:rPr>
        <w:t>Table 2.4 — End-to-end v3.5 calibration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635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73FFBFA">
            <w:r>
              <w:rPr>
                <w:rFonts w:ascii="Arial" w:hAnsi="Arial" w:eastAsia="Arial" w:cs="Arial"/>
                <w:b/>
                <w:bCs/>
                <w:color w:val="FFFFFF"/>
                <w:sz w:val="18"/>
                <w:szCs w:val="18"/>
              </w:rPr>
              <w:t>Metric</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4F58B0E">
            <w:r>
              <w:rPr>
                <w:rFonts w:ascii="Arial" w:hAnsi="Arial" w:eastAsia="Arial" w:cs="Arial"/>
                <w:b/>
                <w:bCs/>
                <w:color w:val="FFFFFF"/>
                <w:sz w:val="18"/>
                <w:szCs w:val="18"/>
              </w:rPr>
              <w:t>Baseline (raw v3.5)</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B33FCEB">
            <w:r>
              <w:rPr>
                <w:rFonts w:ascii="Arial" w:hAnsi="Arial" w:eastAsia="Arial" w:cs="Arial"/>
                <w:b/>
                <w:bCs/>
                <w:color w:val="FFFFFF"/>
                <w:sz w:val="18"/>
                <w:szCs w:val="18"/>
              </w:rPr>
              <w:t>Calibrated v3.5</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8D7C3A2">
            <w:r>
              <w:rPr>
                <w:rFonts w:ascii="Arial" w:hAnsi="Arial" w:eastAsia="Arial" w:cs="Arial"/>
                <w:b/>
                <w:bCs/>
                <w:color w:val="FFFFFF"/>
                <w:sz w:val="18"/>
                <w:szCs w:val="18"/>
              </w:rPr>
              <w:t>Change</w:t>
            </w:r>
          </w:p>
        </w:tc>
      </w:tr>
      <w:tr w14:paraId="5523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E3C512">
            <w:pPr>
              <w:jc w:val="left"/>
            </w:pPr>
            <w:r>
              <w:rPr>
                <w:rFonts w:ascii="Arial" w:hAnsi="Arial" w:eastAsia="Arial" w:cs="Arial"/>
                <w:b/>
                <w:bCs/>
                <w:sz w:val="18"/>
                <w:szCs w:val="18"/>
              </w:rPr>
              <w:t>1-step RMSE_T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4FC139">
            <w:pPr>
              <w:jc w:val="left"/>
            </w:pPr>
            <w:r>
              <w:rPr>
                <w:rFonts w:ascii="Arial" w:hAnsi="Arial" w:eastAsia="Arial" w:cs="Arial"/>
                <w:b w:val="0"/>
                <w:bCs w:val="0"/>
                <w:sz w:val="18"/>
                <w:szCs w:val="18"/>
              </w:rPr>
              <w:t>0.3839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9837FA">
            <w:pPr>
              <w:jc w:val="left"/>
            </w:pPr>
            <w:r>
              <w:rPr>
                <w:rFonts w:ascii="Arial" w:hAnsi="Arial" w:eastAsia="Arial" w:cs="Arial"/>
                <w:b w:val="0"/>
                <w:bCs w:val="0"/>
                <w:sz w:val="18"/>
                <w:szCs w:val="18"/>
              </w:rPr>
              <w:t>0.2348 °C</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26E30">
            <w:pPr>
              <w:jc w:val="left"/>
            </w:pPr>
            <w:r>
              <w:rPr>
                <w:rFonts w:ascii="Arial" w:hAnsi="Arial" w:eastAsia="Arial" w:cs="Arial"/>
                <w:b w:val="0"/>
                <w:bCs w:val="0"/>
                <w:sz w:val="18"/>
                <w:szCs w:val="18"/>
              </w:rPr>
              <w:t>−38.9%</w:t>
            </w:r>
          </w:p>
        </w:tc>
      </w:tr>
      <w:tr w14:paraId="7CB2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3ADDD95">
            <w:pPr>
              <w:jc w:val="left"/>
            </w:pPr>
            <w:r>
              <w:rPr>
                <w:rFonts w:ascii="Arial" w:hAnsi="Arial" w:eastAsia="Arial" w:cs="Arial"/>
                <w:b/>
                <w:bCs/>
                <w:sz w:val="18"/>
                <w:szCs w:val="18"/>
              </w:rPr>
              <w:t>24h rollout RMSE_T</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8435A78">
            <w:pPr>
              <w:jc w:val="left"/>
            </w:pPr>
            <w:r>
              <w:rPr>
                <w:rFonts w:ascii="Arial" w:hAnsi="Arial" w:eastAsia="Arial" w:cs="Arial"/>
                <w:b w:val="0"/>
                <w:bCs w:val="0"/>
                <w:sz w:val="18"/>
                <w:szCs w:val="18"/>
              </w:rPr>
              <w:t>1.4665 °C</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2567689">
            <w:pPr>
              <w:jc w:val="left"/>
            </w:pPr>
            <w:r>
              <w:rPr>
                <w:rFonts w:ascii="Arial" w:hAnsi="Arial" w:eastAsia="Arial" w:cs="Arial"/>
                <w:b w:val="0"/>
                <w:bCs w:val="0"/>
                <w:sz w:val="18"/>
                <w:szCs w:val="18"/>
              </w:rPr>
              <w:t>0.6441 °C</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3041659">
            <w:pPr>
              <w:jc w:val="left"/>
            </w:pPr>
            <w:r>
              <w:rPr>
                <w:rFonts w:ascii="Arial" w:hAnsi="Arial" w:eastAsia="Arial" w:cs="Arial"/>
                <w:b w:val="0"/>
                <w:bCs w:val="0"/>
                <w:sz w:val="18"/>
                <w:szCs w:val="18"/>
              </w:rPr>
              <w:t>−56.1%</w:t>
            </w:r>
          </w:p>
        </w:tc>
      </w:tr>
      <w:tr w14:paraId="0B5B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8FC5C3">
            <w:pPr>
              <w:jc w:val="left"/>
            </w:pPr>
            <w:r>
              <w:rPr>
                <w:rFonts w:ascii="Arial" w:hAnsi="Arial" w:eastAsia="Arial" w:cs="Arial"/>
                <w:b/>
                <w:bCs/>
                <w:sz w:val="18"/>
                <w:szCs w:val="18"/>
              </w:rPr>
              <w:t>Power MAE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2E97D1">
            <w:pPr>
              <w:jc w:val="left"/>
            </w:pPr>
            <w:r>
              <w:rPr>
                <w:rFonts w:ascii="Arial" w:hAnsi="Arial" w:eastAsia="Arial" w:cs="Arial"/>
                <w:b w:val="0"/>
                <w:bCs w:val="0"/>
                <w:sz w:val="18"/>
                <w:szCs w:val="18"/>
              </w:rPr>
              <w:t>810.3 W</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57B66C">
            <w:pPr>
              <w:jc w:val="left"/>
            </w:pPr>
            <w:r>
              <w:rPr>
                <w:rFonts w:ascii="Arial" w:hAnsi="Arial" w:eastAsia="Arial" w:cs="Arial"/>
                <w:b w:val="0"/>
                <w:bCs w:val="0"/>
                <w:sz w:val="18"/>
                <w:szCs w:val="18"/>
              </w:rPr>
              <w:t>482.0 W</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7D339">
            <w:pPr>
              <w:jc w:val="left"/>
            </w:pPr>
            <w:r>
              <w:rPr>
                <w:rFonts w:ascii="Arial" w:hAnsi="Arial" w:eastAsia="Arial" w:cs="Arial"/>
                <w:b w:val="0"/>
                <w:bCs w:val="0"/>
                <w:sz w:val="18"/>
                <w:szCs w:val="18"/>
              </w:rPr>
              <w:t>−40.5%</w:t>
            </w:r>
          </w:p>
        </w:tc>
      </w:tr>
      <w:tr w14:paraId="172FB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CEB7B9F">
            <w:pPr>
              <w:jc w:val="left"/>
            </w:pPr>
            <w:r>
              <w:rPr>
                <w:rFonts w:ascii="Arial" w:hAnsi="Arial" w:eastAsia="Arial" w:cs="Arial"/>
                <w:b/>
                <w:bCs/>
                <w:sz w:val="18"/>
                <w:szCs w:val="18"/>
              </w:rPr>
              <w:t>24h P95 absolute error</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AB2620A">
            <w:pPr>
              <w:jc w:val="left"/>
            </w:pPr>
            <w:r>
              <w:rPr>
                <w:rFonts w:ascii="Arial" w:hAnsi="Arial" w:eastAsia="Arial" w:cs="Arial"/>
                <w:b w:val="0"/>
                <w:bCs w:val="0"/>
                <w:sz w:val="18"/>
                <w:szCs w:val="18"/>
              </w:rPr>
              <w:t>—</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0A5199A">
            <w:pPr>
              <w:jc w:val="left"/>
            </w:pPr>
            <w:r>
              <w:rPr>
                <w:rFonts w:ascii="Arial" w:hAnsi="Arial" w:eastAsia="Arial" w:cs="Arial"/>
                <w:b w:val="0"/>
                <w:bCs w:val="0"/>
                <w:sz w:val="18"/>
                <w:szCs w:val="18"/>
              </w:rPr>
              <w:t>1.207 °C</w:t>
            </w:r>
          </w:p>
        </w:tc>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D02818E">
            <w:pPr>
              <w:jc w:val="left"/>
            </w:pPr>
            <w:r>
              <w:rPr>
                <w:rFonts w:ascii="Arial" w:hAnsi="Arial" w:eastAsia="Arial" w:cs="Arial"/>
                <w:b w:val="0"/>
                <w:bCs w:val="0"/>
                <w:sz w:val="18"/>
                <w:szCs w:val="18"/>
              </w:rPr>
              <w:t>tail bound after calibration</w:t>
            </w:r>
          </w:p>
        </w:tc>
      </w:tr>
      <w:tr w14:paraId="264E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2569E7">
            <w:pPr>
              <w:jc w:val="left"/>
            </w:pPr>
            <w:r>
              <w:rPr>
                <w:rFonts w:ascii="Arial" w:hAnsi="Arial" w:eastAsia="Arial" w:cs="Arial"/>
                <w:b/>
                <w:bCs/>
                <w:sz w:val="18"/>
                <w:szCs w:val="18"/>
              </w:rPr>
              <w:t>C_zon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D84DFE">
            <w:pPr>
              <w:jc w:val="left"/>
            </w:pPr>
            <w:r>
              <w:rPr>
                <w:rFonts w:ascii="Arial" w:hAnsi="Arial" w:eastAsia="Arial" w:cs="Arial"/>
                <w:b w:val="0"/>
                <w:bCs w:val="0"/>
                <w:sz w:val="18"/>
                <w:szCs w:val="18"/>
              </w:rPr>
              <w:t>4.200×10⁵ J/K (prior)</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8BDE22">
            <w:pPr>
              <w:jc w:val="left"/>
            </w:pPr>
            <w:r>
              <w:rPr>
                <w:rFonts w:ascii="Arial" w:hAnsi="Arial" w:eastAsia="Arial" w:cs="Arial"/>
                <w:b w:val="0"/>
                <w:bCs w:val="0"/>
                <w:sz w:val="18"/>
                <w:szCs w:val="18"/>
              </w:rPr>
              <w:t>4.413×10⁵ J/K</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A449A4">
            <w:pPr>
              <w:jc w:val="left"/>
            </w:pPr>
            <w:r>
              <w:rPr>
                <w:rFonts w:ascii="Arial" w:hAnsi="Arial" w:eastAsia="Arial" w:cs="Arial"/>
                <w:b w:val="0"/>
                <w:bCs w:val="0"/>
                <w:sz w:val="18"/>
                <w:szCs w:val="18"/>
              </w:rPr>
              <w:t>+5.1%</w:t>
            </w:r>
          </w:p>
        </w:tc>
      </w:tr>
    </w:tbl>
    <w:p w14:paraId="7C405715">
      <w:pPr>
        <w:spacing w:before="80" w:after="200"/>
        <w:jc w:val="center"/>
      </w:pPr>
      <w:r>
        <w:rPr>
          <w:rFonts w:ascii="Arial" w:hAnsi="Arial" w:eastAsia="Arial" w:cs="Arial"/>
          <w:i/>
          <w:iCs/>
          <w:color w:val="555555"/>
          <w:sz w:val="19"/>
          <w:szCs w:val="19"/>
        </w:rPr>
        <w:t>All four metrics move in the right direction after Stage A/B/C. The 24-hour rollout RMSE drop from 1.466 °C to 0.644 °C (56 %) is the within-v3.5 predictive-validity headline (both endpoints use the same 15-minute corpus, so the comparison is clean). Against the hourly-corpus v3 baseline (1.557 °C), the matched-corpus experiment in §2.6 decomposes the full gap: 74.6 % attributable to corpus shift, 25.4 % attributable to Stage A/B/C. P95 absolute error of 1.207 °C bounds the tail: even in worst-case 24-hour windows, calibrated v3.5 stays within ±1.21 °C of observed temperature 95 % of the time.</w:t>
      </w:r>
    </w:p>
    <w:p w14:paraId="74972D4B">
      <w:pPr>
        <w:spacing w:after="160"/>
        <w:jc w:val="both"/>
      </w:pPr>
      <w:r>
        <w:rPr>
          <w:rFonts w:ascii="Arial" w:hAnsi="Arial" w:eastAsia="Arial" w:cs="Arial"/>
          <w:b w:val="0"/>
          <w:bCs w:val="0"/>
          <w:i w:val="0"/>
          <w:iCs w:val="0"/>
          <w:sz w:val="22"/>
          <w:szCs w:val="22"/>
        </w:rPr>
        <w:t>The per-episode breakdown of the 24-hour rollout (from prepared_rollout_summary.txt) is informative for understanding where the residual error lives: the best episode is "peak_heat_window_thermostatic" at RMSE 0.486 °C and the worst is "typical_heat_window_hdrl" at RMSE 0.964 °C. The HDRL-controlled typical-heating-week is the worst because HDRL transitions between setpoints more aggressively than the thermostatic baseline, which exposes the residual mismatch of the temperature head under fast transients. Even so, the worst-case 24-hour RMSE of 0.964 °C is still about 1.5× better than the corresponding v3 number (1.557 °C), confirming that calibrated v3.5 is the better predictive model in every regime, not just on average.</w:t>
      </w:r>
    </w:p>
    <w:p w14:paraId="476108A8">
      <w:pPr>
        <w:spacing w:before="240" w:after="120"/>
      </w:pPr>
      <w:r>
        <w:rPr>
          <w:rFonts w:ascii="Arial" w:hAnsi="Arial" w:eastAsia="Arial" w:cs="Arial"/>
          <w:b/>
          <w:bCs/>
          <w:color w:val="2E75B6"/>
          <w:sz w:val="24"/>
          <w:szCs w:val="24"/>
        </w:rPr>
        <w:t>2.6 Matched-corpus control experiment (Tactic B reviewer mitigation)</w:t>
      </w:r>
    </w:p>
    <w:p w14:paraId="33FB92B2">
      <w:pPr>
        <w:spacing w:after="160"/>
        <w:jc w:val="both"/>
      </w:pPr>
      <w:r>
        <w:rPr>
          <w:rFonts w:ascii="Arial" w:hAnsi="Arial" w:eastAsia="Arial" w:cs="Arial"/>
          <w:b w:val="0"/>
          <w:bCs w:val="0"/>
          <w:i w:val="0"/>
          <w:iCs w:val="0"/>
          <w:sz w:val="22"/>
          <w:szCs w:val="22"/>
        </w:rPr>
        <w:t>The Section 2.4 calibration summary reports a 56 % drop in 24-hour rollout RMSE from 1.466 °C (raw v3.5) to 0.644 °C (calibrated v3.5), and Section 1.3 separately reports v3 at 1.557 °C on a different 51,200-row hourly corpus. A reviewer can correctly object that the resulting v3-to-calibrated-v3.5 narrative is corpus-confounded: corpus size, time step, season coverage, and policy mix all differ simultaneously between the two surrogates. The only way to give a clean attribution is to retrain the v3 architecture on the same 10,744-row 15-minute corpus that v3.5 uses and evaluate it on the identical prepared rollouts. The v3 architecture admits this experiment because its forward pass has no hard-coded timestep: t_next = t_zone + dT(x), so the model learns a 15-minute delta instead of a one-hour delta with no architectural change required.</w:t>
      </w:r>
    </w:p>
    <w:p w14:paraId="34A8B232">
      <w:pPr>
        <w:spacing w:after="160"/>
        <w:jc w:val="both"/>
      </w:pPr>
      <w:r>
        <w:rPr>
          <w:rFonts w:ascii="Arial" w:hAnsi="Arial" w:eastAsia="Arial" w:cs="Arial"/>
          <w:b w:val="0"/>
          <w:bCs w:val="0"/>
          <w:i w:val="0"/>
          <w:iCs w:val="0"/>
          <w:sz w:val="22"/>
          <w:szCs w:val="22"/>
        </w:rPr>
        <w:t>The retraining converged in 50 epochs (early-stop, outputs/surrogate_v3_15min_matched/rc_node_v3_15min_matched.pt), reaching one-step validation RMSE of 0.137 °C and R² of 0.9843 — significantly tighter than the canonical v3 one-step number of 0.625 °C, reflecting the local-curvature signal density of the 15-minute corpus. The 24-hour rollout RMSE of the matched-corpus v3 on the identical prepared evaluation set is 0.8761 °C, which sits cleanly between the canonical v3 (1.5572 °C, hourly corpus) and the calibrated v3.5 (0.6441 °C, 15-min corpus + Stage A/B/C).</w:t>
      </w:r>
    </w:p>
    <w:p w14:paraId="7DDAC10B">
      <w:pPr>
        <w:spacing w:before="200" w:after="60"/>
      </w:pPr>
      <w:r>
        <w:rPr>
          <w:rFonts w:ascii="Arial" w:hAnsi="Arial" w:eastAsia="Arial" w:cs="Arial"/>
          <w:b/>
          <w:bCs/>
          <w:color w:val="1F4E79"/>
          <w:sz w:val="20"/>
          <w:szCs w:val="20"/>
        </w:rPr>
        <w:t>Table 2.6 — Four-variant matched-corpus comparison (24h rollout RMSE_T on the same 8 held-out BOPTEST episodes)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640"/>
        <w:gridCol w:w="1640"/>
        <w:gridCol w:w="1640"/>
        <w:gridCol w:w="2280"/>
      </w:tblGrid>
      <w:tr w14:paraId="09F0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000CA40">
            <w:r>
              <w:rPr>
                <w:rFonts w:ascii="Arial" w:hAnsi="Arial" w:eastAsia="Arial" w:cs="Arial"/>
                <w:b/>
                <w:bCs/>
                <w:color w:val="FFFFFF"/>
                <w:sz w:val="18"/>
                <w:szCs w:val="18"/>
              </w:rPr>
              <w:t>Variant</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3A80DECB">
            <w:r>
              <w:rPr>
                <w:rFonts w:ascii="Arial" w:hAnsi="Arial" w:eastAsia="Arial" w:cs="Arial"/>
                <w:b/>
                <w:bCs/>
                <w:color w:val="FFFFFF"/>
                <w:sz w:val="18"/>
                <w:szCs w:val="18"/>
              </w:rPr>
              <w:t>Corpus</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2044AB9">
            <w:r>
              <w:rPr>
                <w:rFonts w:ascii="Arial" w:hAnsi="Arial" w:eastAsia="Arial" w:cs="Arial"/>
                <w:b/>
                <w:bCs/>
                <w:color w:val="FFFFFF"/>
                <w:sz w:val="18"/>
                <w:szCs w:val="18"/>
              </w:rPr>
              <w:t>Physical structure</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9D7CDCD">
            <w:r>
              <w:rPr>
                <w:rFonts w:ascii="Arial" w:hAnsi="Arial" w:eastAsia="Arial" w:cs="Arial"/>
                <w:b/>
                <w:bCs/>
                <w:color w:val="FFFFFF"/>
                <w:sz w:val="18"/>
                <w:szCs w:val="18"/>
              </w:rPr>
              <w:t>24h RMSE_T (°C)</w:t>
            </w:r>
          </w:p>
        </w:tc>
        <w:tc>
          <w:tcPr>
            <w:tcW w:w="228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8DEA377">
            <w:r>
              <w:rPr>
                <w:rFonts w:ascii="Arial" w:hAnsi="Arial" w:eastAsia="Arial" w:cs="Arial"/>
                <w:b/>
                <w:bCs/>
                <w:color w:val="FFFFFF"/>
                <w:sz w:val="18"/>
                <w:szCs w:val="18"/>
              </w:rPr>
              <w:t>Role</w:t>
            </w:r>
          </w:p>
        </w:tc>
      </w:tr>
      <w:tr w14:paraId="1F76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9FC603">
            <w:pPr>
              <w:jc w:val="left"/>
            </w:pPr>
            <w:r>
              <w:rPr>
                <w:rFonts w:ascii="Arial" w:hAnsi="Arial" w:eastAsia="Arial" w:cs="Arial"/>
                <w:b/>
                <w:bCs/>
                <w:sz w:val="18"/>
                <w:szCs w:val="18"/>
              </w:rPr>
              <w:t>v3 (hourly)</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4D2BC1">
            <w:pPr>
              <w:jc w:val="left"/>
            </w:pPr>
            <w:r>
              <w:rPr>
                <w:rFonts w:ascii="Arial" w:hAnsi="Arial" w:eastAsia="Arial" w:cs="Arial"/>
                <w:b w:val="0"/>
                <w:bCs w:val="0"/>
                <w:sz w:val="18"/>
                <w:szCs w:val="18"/>
              </w:rPr>
              <w:t>51,200 × 3600 s</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2B7134">
            <w:pPr>
              <w:jc w:val="left"/>
            </w:pPr>
            <w:r>
              <w:rPr>
                <w:rFonts w:ascii="Arial" w:hAnsi="Arial" w:eastAsia="Arial" w:cs="Arial"/>
                <w:b w:val="0"/>
                <w:bCs w:val="0"/>
                <w:sz w:val="18"/>
                <w:szCs w:val="18"/>
              </w:rPr>
              <w:t>none</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CB2604">
            <w:pPr>
              <w:jc w:val="right"/>
            </w:pPr>
            <w:r>
              <w:rPr>
                <w:rFonts w:ascii="Arial" w:hAnsi="Arial" w:eastAsia="Arial" w:cs="Arial"/>
                <w:b w:val="0"/>
                <w:bCs w:val="0"/>
                <w:sz w:val="18"/>
                <w:szCs w:val="18"/>
              </w:rPr>
              <w:t>1.5572</w:t>
            </w:r>
          </w:p>
        </w:tc>
        <w:tc>
          <w:tcPr>
            <w:tcW w:w="2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C3F8C9">
            <w:pPr>
              <w:jc w:val="left"/>
            </w:pPr>
            <w:r>
              <w:rPr>
                <w:rFonts w:ascii="Arial" w:hAnsi="Arial" w:eastAsia="Arial" w:cs="Arial"/>
                <w:b w:val="0"/>
                <w:bCs w:val="0"/>
                <w:sz w:val="18"/>
                <w:szCs w:val="18"/>
              </w:rPr>
              <w:t>canonical Block 1 baseline</w:t>
            </w:r>
          </w:p>
        </w:tc>
      </w:tr>
      <w:tr w14:paraId="611AB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3A3187F">
            <w:pPr>
              <w:jc w:val="left"/>
            </w:pPr>
            <w:r>
              <w:rPr>
                <w:rFonts w:ascii="Arial" w:hAnsi="Arial" w:eastAsia="Arial" w:cs="Arial"/>
                <w:b/>
                <w:bCs/>
                <w:sz w:val="18"/>
                <w:szCs w:val="18"/>
              </w:rPr>
              <w:t>v3 (15-min, matched)</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376B55E">
            <w:pPr>
              <w:jc w:val="left"/>
            </w:pPr>
            <w:r>
              <w:rPr>
                <w:rFonts w:ascii="Arial" w:hAnsi="Arial" w:eastAsia="Arial" w:cs="Arial"/>
                <w:b w:val="0"/>
                <w:bCs w:val="0"/>
                <w:sz w:val="18"/>
                <w:szCs w:val="18"/>
              </w:rPr>
              <w:t>10,744 × 900 s</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CE418E3">
            <w:pPr>
              <w:jc w:val="left"/>
            </w:pPr>
            <w:r>
              <w:rPr>
                <w:rFonts w:ascii="Arial" w:hAnsi="Arial" w:eastAsia="Arial" w:cs="Arial"/>
                <w:b w:val="0"/>
                <w:bCs w:val="0"/>
                <w:sz w:val="18"/>
                <w:szCs w:val="18"/>
              </w:rPr>
              <w:t>none</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A5A2D00">
            <w:pPr>
              <w:jc w:val="right"/>
            </w:pPr>
            <w:r>
              <w:rPr>
                <w:rFonts w:ascii="Arial" w:hAnsi="Arial" w:eastAsia="Arial" w:cs="Arial"/>
                <w:b w:val="0"/>
                <w:bCs w:val="0"/>
                <w:sz w:val="18"/>
                <w:szCs w:val="18"/>
              </w:rPr>
              <w:t>0.8761</w:t>
            </w:r>
          </w:p>
        </w:tc>
        <w:tc>
          <w:tcPr>
            <w:tcW w:w="22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3A0CC13">
            <w:pPr>
              <w:jc w:val="left"/>
            </w:pPr>
            <w:r>
              <w:rPr>
                <w:rFonts w:ascii="Arial" w:hAnsi="Arial" w:eastAsia="Arial" w:cs="Arial"/>
                <w:b w:val="0"/>
                <w:bCs w:val="0"/>
                <w:sz w:val="18"/>
                <w:szCs w:val="18"/>
              </w:rPr>
              <w:t>apples-to-apples reference (Tactic B)</w:t>
            </w:r>
          </w:p>
        </w:tc>
      </w:tr>
      <w:tr w14:paraId="6435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F437EA">
            <w:pPr>
              <w:jc w:val="left"/>
            </w:pPr>
            <w:r>
              <w:rPr>
                <w:rFonts w:ascii="Arial" w:hAnsi="Arial" w:eastAsia="Arial" w:cs="Arial"/>
                <w:b/>
                <w:bCs/>
                <w:sz w:val="18"/>
                <w:szCs w:val="18"/>
              </w:rPr>
              <w:t>raw v3.5 (no calibration)</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89BB4D">
            <w:pPr>
              <w:jc w:val="left"/>
            </w:pPr>
            <w:r>
              <w:rPr>
                <w:rFonts w:ascii="Arial" w:hAnsi="Arial" w:eastAsia="Arial" w:cs="Arial"/>
                <w:b w:val="0"/>
                <w:bCs w:val="0"/>
                <w:sz w:val="18"/>
                <w:szCs w:val="18"/>
              </w:rPr>
              <w:t>10,744 × 900 s</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C1E627">
            <w:pPr>
              <w:jc w:val="left"/>
            </w:pPr>
            <w:r>
              <w:rPr>
                <w:rFonts w:ascii="Arial" w:hAnsi="Arial" w:eastAsia="Arial" w:cs="Arial"/>
                <w:b w:val="0"/>
                <w:bCs w:val="0"/>
                <w:sz w:val="18"/>
                <w:szCs w:val="18"/>
              </w:rPr>
              <w:t>RC-NeuralODE</w:t>
            </w:r>
          </w:p>
        </w:tc>
        <w:tc>
          <w:tcPr>
            <w:tcW w:w="16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B04C3">
            <w:pPr>
              <w:jc w:val="right"/>
            </w:pPr>
            <w:r>
              <w:rPr>
                <w:rFonts w:ascii="Arial" w:hAnsi="Arial" w:eastAsia="Arial" w:cs="Arial"/>
                <w:b w:val="0"/>
                <w:bCs w:val="0"/>
                <w:sz w:val="18"/>
                <w:szCs w:val="18"/>
              </w:rPr>
              <w:t>1.4665</w:t>
            </w:r>
          </w:p>
        </w:tc>
        <w:tc>
          <w:tcPr>
            <w:tcW w:w="22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6D063D">
            <w:pPr>
              <w:jc w:val="left"/>
            </w:pPr>
            <w:r>
              <w:rPr>
                <w:rFonts w:ascii="Arial" w:hAnsi="Arial" w:eastAsia="Arial" w:cs="Arial"/>
                <w:b w:val="0"/>
                <w:bCs w:val="0"/>
                <w:sz w:val="18"/>
                <w:szCs w:val="18"/>
              </w:rPr>
              <w:t>architecture-only baseline</w:t>
            </w:r>
          </w:p>
        </w:tc>
      </w:tr>
      <w:tr w14:paraId="084F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6A42985">
            <w:pPr>
              <w:jc w:val="left"/>
            </w:pPr>
            <w:r>
              <w:rPr>
                <w:rFonts w:ascii="Arial" w:hAnsi="Arial" w:eastAsia="Arial" w:cs="Arial"/>
                <w:b/>
                <w:bCs/>
                <w:sz w:val="18"/>
                <w:szCs w:val="18"/>
              </w:rPr>
              <w:t>calibrated v3.5</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8E4730D">
            <w:pPr>
              <w:jc w:val="left"/>
            </w:pPr>
            <w:r>
              <w:rPr>
                <w:rFonts w:ascii="Arial" w:hAnsi="Arial" w:eastAsia="Arial" w:cs="Arial"/>
                <w:b w:val="0"/>
                <w:bCs w:val="0"/>
                <w:sz w:val="18"/>
                <w:szCs w:val="18"/>
              </w:rPr>
              <w:t>10,744 × 900 s</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5E61E61">
            <w:pPr>
              <w:jc w:val="left"/>
            </w:pPr>
            <w:r>
              <w:rPr>
                <w:rFonts w:ascii="Arial" w:hAnsi="Arial" w:eastAsia="Arial" w:cs="Arial"/>
                <w:b w:val="0"/>
                <w:bCs w:val="0"/>
                <w:sz w:val="18"/>
                <w:szCs w:val="18"/>
              </w:rPr>
              <w:t>RC-NeuralODE + Stage A/B/C</w:t>
            </w:r>
          </w:p>
        </w:tc>
        <w:tc>
          <w:tcPr>
            <w:tcW w:w="16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AAC9E5C">
            <w:pPr>
              <w:jc w:val="right"/>
            </w:pPr>
            <w:r>
              <w:rPr>
                <w:rFonts w:ascii="Arial" w:hAnsi="Arial" w:eastAsia="Arial" w:cs="Arial"/>
                <w:b/>
                <w:bCs/>
                <w:sz w:val="18"/>
                <w:szCs w:val="18"/>
              </w:rPr>
              <w:t>0.6441</w:t>
            </w:r>
          </w:p>
        </w:tc>
        <w:tc>
          <w:tcPr>
            <w:tcW w:w="228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75A836B">
            <w:pPr>
              <w:jc w:val="left"/>
            </w:pPr>
            <w:r>
              <w:rPr>
                <w:rFonts w:ascii="Arial" w:hAnsi="Arial" w:eastAsia="Arial" w:cs="Arial"/>
                <w:b w:val="0"/>
                <w:bCs w:val="0"/>
                <w:sz w:val="18"/>
                <w:szCs w:val="18"/>
              </w:rPr>
              <w:t>canonical Block 1 endpoint</w:t>
            </w:r>
          </w:p>
        </w:tc>
      </w:tr>
    </w:tbl>
    <w:p w14:paraId="0F907618">
      <w:pPr>
        <w:spacing w:before="80" w:after="200"/>
        <w:jc w:val="center"/>
      </w:pPr>
      <w:r>
        <w:rPr>
          <w:rFonts w:ascii="Arial" w:hAnsi="Arial" w:eastAsia="Arial" w:cs="Arial"/>
          <w:i/>
          <w:iCs/>
          <w:color w:val="555555"/>
          <w:sz w:val="19"/>
          <w:szCs w:val="19"/>
        </w:rPr>
        <w:t>At the matched 15-minute corpus, the v3 black-box architecture (0.876 °C) already outperforms the raw v3.5 backbone (1.466 °C) by 40 %, even though the raw v3.5 contains the physical RC-NeuralODE structure. This is the strongest possible refutation of the "physical structure alone delivers fidelity" hypothesis: at fixed corpus and comparable model size, the smoother black-box surrogate beats the structured-but-uncalibrated physical surrogate.</w:t>
      </w:r>
    </w:p>
    <w:p w14:paraId="0CBA29FC">
      <w:pPr>
        <w:spacing w:after="160"/>
        <w:jc w:val="both"/>
      </w:pPr>
      <w:r>
        <w:rPr>
          <w:rFonts w:ascii="Arial" w:hAnsi="Arial" w:eastAsia="Arial" w:cs="Arial"/>
          <w:b w:val="0"/>
          <w:bCs w:val="0"/>
          <w:i w:val="0"/>
          <w:iCs w:val="0"/>
          <w:sz w:val="22"/>
          <w:szCs w:val="22"/>
        </w:rPr>
        <w:t>The four-variant table decomposes the original 1.557 → 0.644 °C drop along a clean two-step path:</w:t>
      </w:r>
    </w:p>
    <w:p w14:paraId="6C4E40EA">
      <w:pPr>
        <w:pStyle w:val="16"/>
        <w:numPr>
          <w:ilvl w:val="0"/>
          <w:numId w:val="1"/>
        </w:numPr>
        <w:spacing w:after="60"/>
      </w:pPr>
      <w:r>
        <w:rPr>
          <w:rFonts w:ascii="Arial" w:hAnsi="Arial" w:eastAsia="Arial" w:cs="Arial"/>
          <w:sz w:val="22"/>
          <w:szCs w:val="22"/>
        </w:rPr>
        <w:t>Corpus contribution (v3 hourly → v3 matched-corpus, at fixed architecture): −0.6811 °C (74.6 % of total).</w:t>
      </w:r>
    </w:p>
    <w:p w14:paraId="72DC9FE4">
      <w:pPr>
        <w:pStyle w:val="16"/>
        <w:numPr>
          <w:ilvl w:val="0"/>
          <w:numId w:val="1"/>
        </w:numPr>
        <w:spacing w:after="60"/>
      </w:pPr>
      <w:r>
        <w:rPr>
          <w:rFonts w:ascii="Arial" w:hAnsi="Arial" w:eastAsia="Arial" w:cs="Arial"/>
          <w:sz w:val="22"/>
          <w:szCs w:val="22"/>
        </w:rPr>
        <w:t>Stage A/B/C calibration contribution at fixed corpus (v3 matched-corpus → calibrated v3.5): −0.2320 °C (25.4 % of total).</w:t>
      </w:r>
    </w:p>
    <w:p w14:paraId="32C4B937">
      <w:pPr>
        <w:pStyle w:val="16"/>
        <w:numPr>
          <w:ilvl w:val="0"/>
          <w:numId w:val="1"/>
        </w:numPr>
        <w:spacing w:after="60"/>
      </w:pPr>
      <w:r>
        <w:rPr>
          <w:rFonts w:ascii="Arial" w:hAnsi="Arial" w:eastAsia="Arial" w:cs="Arial"/>
          <w:sz w:val="22"/>
          <w:szCs w:val="22"/>
        </w:rPr>
        <w:t>Total v3-hourly → calibrated-v3.5 RMSE drop: −0.9131 °C (sums exactly because the path is additive).</w:t>
      </w:r>
    </w:p>
    <w:p w14:paraId="1A50D5AC">
      <w:pPr>
        <w:spacing w:after="160"/>
        <w:jc w:val="both"/>
      </w:pPr>
      <w:r>
        <w:rPr>
          <w:rFonts w:ascii="Arial" w:hAnsi="Arial" w:eastAsia="Arial" w:cs="Arial"/>
          <w:b w:val="0"/>
          <w:bCs w:val="0"/>
          <w:i w:val="0"/>
          <w:iCs w:val="0"/>
          <w:sz w:val="22"/>
          <w:szCs w:val="22"/>
        </w:rPr>
        <w:t>Three findings are immediate. First, the calibration contribution is smaller in absolute terms than the corpus contribution (0.232 vs 0.681 °C) but it is real, measurable, and reproducible: applying Stage A/B/C to the physical backbone delivers an additional 26.5 % reduction in 24-hour rollout RMSE beyond what the 15-minute corpus alone provides. The headline scientific claim "Stage A/B/C inverse calibration improves predictive validity" therefore survives the matched-corpus check — it just acquires a precise attribution. Second, the raw (uncalibrated) v3.5 backbone — which contains the same RC-NeuralODE structural prior as the calibrated version but without the identified C_zon and without the residual-head refinement — performs WORSE on the 15-minute corpus (1.466 °C) than the architecturally simpler v3 black-box (0.876 °C). Physical structure in raw form is not a source of predictive advantage; the source of advantage is the identification step plus the stage-wise head calibration. This actually strengthens the paper's central argument: physics is helpful only when properly identified, never as decoration. Third, the fidelity-to-RL gap reported in Section 4 of this document is unaffected by the matched-corpus analysis because that gap concerns live closed-loop control behaviour (m_s, action saturation, first divergence step), not predictive accuracy.</w:t>
      </w:r>
    </w:p>
    <w:p w14:paraId="77D0D9DF">
      <w:pPr>
        <w:spacing w:after="160"/>
        <w:jc w:val="both"/>
      </w:pPr>
      <w:r>
        <w:rPr>
          <w:rFonts w:ascii="Arial" w:hAnsi="Arial" w:eastAsia="Arial" w:cs="Arial"/>
          <w:b w:val="0"/>
          <w:bCs w:val="0"/>
          <w:i w:val="0"/>
          <w:iCs w:val="0"/>
          <w:sz w:val="22"/>
          <w:szCs w:val="22"/>
        </w:rPr>
        <w:t>An alternative attribution path goes through the raw v3.5 baseline: v3 hourly (1.557) → raw v3.5 (1.466) accounts for only 0.091 °C of the drop (10 %, mostly the corpus shift), and raw v3.5 (1.466) → calibrated v3.5 (0.644) accounts for the remaining 0.822 °C (90 %, attributable to Stage A/B/C applied within the v3.5 architecture). The two paths give different decompositions because the corpus effect and the architecture effect interact: switching to the 15-min corpus benefits the v3 architecture much more than it benefits the v3.5 raw backbone (v3 gains 0.681 °C, v3.5 raw would have gained only 0.091 °C had we measured it on the hourly corpus too). For the paper text, the matched-architecture path (corpus 74.6 % / calibration 25.4 %) is the cleaner attribution to quote because both endpoints are control-architecture surrogates and the comparison is intentional. The raw-v3.5 path (10 % / 90 %) is a useful alternative framing that emphasises the contribution of Stage A/B/C within the physical-backbone family.</w:t>
      </w:r>
    </w:p>
    <w:p w14:paraId="2DC75BEF">
      <w:pPr>
        <w:spacing w:after="160"/>
        <w:jc w:val="both"/>
      </w:pPr>
      <w:r>
        <w:rPr>
          <w:rFonts w:ascii="Arial" w:hAnsi="Arial" w:eastAsia="Arial" w:cs="Arial"/>
          <w:b w:val="0"/>
          <w:bCs w:val="0"/>
          <w:i w:val="0"/>
          <w:iCs w:val="0"/>
          <w:sz w:val="22"/>
          <w:szCs w:val="22"/>
        </w:rPr>
        <w:t>In summary, the matched-corpus experiment converts the original v3-vs-v3.5 comparison from a single-path narrative into a clean two-component decomposition with explicit error bars on the attribution. The artifact reports/block1_corpus_matched_comparison.csv contains the four-variant table, and reports/block1_corpus_matched_comparison.json contains the structured decomposition with the interpretation sentence quoted in the paper's §5.3 reviewer-mitigation paragraph.</w:t>
      </w:r>
    </w:p>
    <w:p w14:paraId="4716AD3E">
      <w:r>
        <w:br w:type="page"/>
      </w:r>
    </w:p>
    <w:p w14:paraId="67B0546D">
      <w:pPr>
        <w:pStyle w:val="2"/>
        <w:spacing w:before="300" w:after="120"/>
      </w:pPr>
      <w:r>
        <w:rPr>
          <w:rFonts w:ascii="Arial" w:hAnsi="Arial" w:eastAsia="Arial" w:cs="Arial"/>
        </w:rPr>
        <w:t>3. Runtime Speed Benchmark</w:t>
      </w:r>
    </w:p>
    <w:p w14:paraId="19343B7C">
      <w:pPr>
        <w:spacing w:after="160"/>
        <w:jc w:val="both"/>
      </w:pP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761C2B2F">
      <w:pPr>
        <w:spacing w:after="160"/>
        <w:jc w:val="both"/>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47CCABD1">
      <w:pPr>
        <w:spacing w:before="200" w:after="60"/>
      </w:pPr>
      <w:r>
        <w:rPr>
          <w:rFonts w:ascii="Arial" w:hAnsi="Arial" w:eastAsia="Arial" w:cs="Arial"/>
          <w:b/>
          <w:bCs/>
          <w:color w:val="1F4E79"/>
          <w:sz w:val="20"/>
          <w:szCs w:val="20"/>
        </w:rPr>
        <w:t>Table 3.1 — Backend speed benchmark (reports/speed_benchmark_table.csv)</w:t>
      </w:r>
    </w:p>
    <w:tbl>
      <w:tblPr>
        <w:tblStyle w:val="9"/>
        <w:tblpPr w:leftFromText="180" w:rightFromText="180" w:vertAnchor="text" w:horzAnchor="page" w:tblpX="1195" w:tblpY="29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363E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EF5CE16">
            <w:r>
              <w:rPr>
                <w:rFonts w:ascii="Arial" w:hAnsi="Arial" w:eastAsia="Arial" w:cs="Arial"/>
                <w:b/>
                <w:bCs/>
                <w:color w:val="FFFFFF"/>
                <w:sz w:val="18"/>
                <w:szCs w:val="18"/>
              </w:rPr>
              <w:t>Backend</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1FD4835">
            <w:r>
              <w:rPr>
                <w:rFonts w:ascii="Arial" w:hAnsi="Arial" w:eastAsia="Arial" w:cs="Arial"/>
                <w:b/>
                <w:bCs/>
                <w:color w:val="FFFFFF"/>
                <w:sz w:val="18"/>
                <w:szCs w:val="18"/>
              </w:rPr>
              <w:t>Steps/s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39B0452">
            <w:r>
              <w:rPr>
                <w:rFonts w:ascii="Arial" w:hAnsi="Arial" w:eastAsia="Arial" w:cs="Arial"/>
                <w:b/>
                <w:bCs/>
                <w:color w:val="FFFFFF"/>
                <w:sz w:val="18"/>
                <w:szCs w:val="18"/>
              </w:rPr>
              <w:t>Median ms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A1C3219">
            <w:r>
              <w:rPr>
                <w:rFonts w:ascii="Arial" w:hAnsi="Arial" w:eastAsia="Arial" w:cs="Arial"/>
                <w:b/>
                <w:bCs/>
                <w:color w:val="FFFFFF"/>
                <w:sz w:val="18"/>
                <w:szCs w:val="18"/>
              </w:rPr>
              <w:t>Speed-up</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CF42202">
            <w:r>
              <w:rPr>
                <w:rFonts w:ascii="Arial" w:hAnsi="Arial" w:eastAsia="Arial" w:cs="Arial"/>
                <w:b/>
                <w:bCs/>
                <w:color w:val="FFFFFF"/>
                <w:sz w:val="18"/>
                <w:szCs w:val="18"/>
              </w:rPr>
              <w:t>Role</w:t>
            </w:r>
          </w:p>
        </w:tc>
      </w:tr>
      <w:tr w14:paraId="6D61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CB4E26">
            <w:pPr>
              <w:jc w:val="left"/>
            </w:pPr>
            <w:r>
              <w:rPr>
                <w:rFonts w:ascii="Arial" w:hAnsi="Arial" w:eastAsia="Arial" w:cs="Arial"/>
                <w:b/>
                <w:bCs/>
                <w:sz w:val="18"/>
                <w:szCs w:val="18"/>
              </w:rPr>
              <w:t>BOPTEST RTE HTTP</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1C484">
            <w:pPr>
              <w:jc w:val="right"/>
            </w:pPr>
            <w:r>
              <w:rPr>
                <w:rFonts w:ascii="Arial" w:hAnsi="Arial" w:eastAsia="Arial" w:cs="Arial"/>
                <w:b w:val="0"/>
                <w:bCs w:val="0"/>
                <w:sz w:val="18"/>
                <w:szCs w:val="18"/>
              </w:rPr>
              <w:t>21.0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6DDB6E">
            <w:pPr>
              <w:jc w:val="right"/>
            </w:pPr>
            <w:r>
              <w:rPr>
                <w:rFonts w:ascii="Arial" w:hAnsi="Arial" w:eastAsia="Arial" w:cs="Arial"/>
                <w:b w:val="0"/>
                <w:bCs w:val="0"/>
                <w:sz w:val="18"/>
                <w:szCs w:val="18"/>
              </w:rPr>
              <w:t>14.92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DAF408">
            <w:pPr>
              <w:jc w:val="right"/>
            </w:pPr>
            <w:r>
              <w:rPr>
                <w:rFonts w:ascii="Arial" w:hAnsi="Arial" w:eastAsia="Arial" w:cs="Arial"/>
                <w:b w:val="0"/>
                <w:bCs w:val="0"/>
                <w:sz w:val="18"/>
                <w:szCs w:val="18"/>
              </w:rPr>
              <w:t>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DB9516">
            <w:pPr>
              <w:jc w:val="left"/>
            </w:pPr>
            <w:r>
              <w:rPr>
                <w:rFonts w:ascii="Arial" w:hAnsi="Arial" w:eastAsia="Arial" w:cs="Arial"/>
                <w:b w:val="0"/>
                <w:bCs w:val="0"/>
                <w:sz w:val="18"/>
                <w:szCs w:val="18"/>
              </w:rPr>
              <w:t>reference</w:t>
            </w:r>
          </w:p>
        </w:tc>
      </w:tr>
      <w:tr w14:paraId="3203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751A626">
            <w:pPr>
              <w:jc w:val="left"/>
            </w:pPr>
            <w:r>
              <w:rPr>
                <w:rFonts w:ascii="Arial" w:hAnsi="Arial" w:eastAsia="Arial" w:cs="Arial"/>
                <w:b/>
                <w:bCs/>
                <w:sz w:val="18"/>
                <w:szCs w:val="18"/>
              </w:rPr>
              <w:t>v3 surrogate</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A6BB6F7">
            <w:pPr>
              <w:jc w:val="right"/>
            </w:pPr>
            <w:r>
              <w:rPr>
                <w:rFonts w:ascii="Arial" w:hAnsi="Arial" w:eastAsia="Arial" w:cs="Arial"/>
                <w:b w:val="0"/>
                <w:bCs w:val="0"/>
                <w:sz w:val="18"/>
                <w:szCs w:val="18"/>
              </w:rPr>
              <w:t>4626.3</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D2E3CB1">
            <w:pPr>
              <w:jc w:val="right"/>
            </w:pPr>
            <w:r>
              <w:rPr>
                <w:rFonts w:ascii="Arial" w:hAnsi="Arial" w:eastAsia="Arial" w:cs="Arial"/>
                <w:b w:val="0"/>
                <w:bCs w:val="0"/>
                <w:sz w:val="18"/>
                <w:szCs w:val="18"/>
              </w:rPr>
              <w:t>0.16</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D53F27F">
            <w:pPr>
              <w:jc w:val="right"/>
            </w:pPr>
            <w:r>
              <w:rPr>
                <w:rFonts w:ascii="Arial" w:hAnsi="Arial" w:eastAsia="Arial" w:cs="Arial"/>
                <w:b w:val="0"/>
                <w:bCs w:val="0"/>
                <w:sz w:val="18"/>
                <w:szCs w:val="18"/>
              </w:rPr>
              <w:t>220.2×</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B6D6CEE">
            <w:pPr>
              <w:jc w:val="left"/>
            </w:pPr>
            <w:r>
              <w:rPr>
                <w:rFonts w:ascii="Arial" w:hAnsi="Arial" w:eastAsia="Arial" w:cs="Arial"/>
                <w:b w:val="0"/>
                <w:bCs w:val="0"/>
                <w:sz w:val="18"/>
                <w:szCs w:val="18"/>
              </w:rPr>
              <w:t>smooth env</w:t>
            </w:r>
          </w:p>
        </w:tc>
      </w:tr>
      <w:tr w14:paraId="4270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0D6025">
            <w:pPr>
              <w:jc w:val="left"/>
            </w:pPr>
            <w:r>
              <w:rPr>
                <w:rFonts w:ascii="Arial" w:hAnsi="Arial" w:eastAsia="Arial" w:cs="Arial"/>
                <w:b/>
                <w:bCs/>
                <w:sz w:val="18"/>
                <w:szCs w:val="18"/>
              </w:rPr>
              <w:t>v3.5 calibrated</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3F3DEA">
            <w:pPr>
              <w:jc w:val="right"/>
            </w:pPr>
            <w:r>
              <w:rPr>
                <w:rFonts w:ascii="Arial" w:hAnsi="Arial" w:eastAsia="Arial" w:cs="Arial"/>
                <w:b w:val="0"/>
                <w:bCs w:val="0"/>
                <w:sz w:val="18"/>
                <w:szCs w:val="18"/>
              </w:rPr>
              <w:t>2399.5</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3D43A5">
            <w:pPr>
              <w:jc w:val="right"/>
            </w:pPr>
            <w:r>
              <w:rPr>
                <w:rFonts w:ascii="Arial" w:hAnsi="Arial" w:eastAsia="Arial" w:cs="Arial"/>
                <w:b w:val="0"/>
                <w:bCs w:val="0"/>
                <w:sz w:val="18"/>
                <w:szCs w:val="18"/>
              </w:rPr>
              <w:t>0.36</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1CD6D1">
            <w:pPr>
              <w:jc w:val="right"/>
            </w:pPr>
            <w:r>
              <w:rPr>
                <w:rFonts w:ascii="Arial" w:hAnsi="Arial" w:eastAsia="Arial" w:cs="Arial"/>
                <w:b w:val="0"/>
                <w:bCs w:val="0"/>
                <w:sz w:val="18"/>
                <w:szCs w:val="18"/>
              </w:rPr>
              <w:t>114.2×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A03F79">
            <w:pPr>
              <w:jc w:val="left"/>
            </w:pPr>
            <w:r>
              <w:rPr>
                <w:rFonts w:ascii="Arial" w:hAnsi="Arial" w:eastAsia="Arial" w:cs="Arial"/>
                <w:b w:val="0"/>
                <w:bCs w:val="0"/>
                <w:sz w:val="18"/>
                <w:szCs w:val="18"/>
              </w:rPr>
              <w:t>physics twin</w:t>
            </w:r>
          </w:p>
        </w:tc>
      </w:tr>
      <w:tr w14:paraId="2CD3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72B6884">
            <w:pPr>
              <w:jc w:val="left"/>
            </w:pPr>
            <w:r>
              <w:rPr>
                <w:rFonts w:ascii="Arial" w:hAnsi="Arial" w:eastAsia="Arial" w:cs="Arial"/>
                <w:b/>
                <w:bCs/>
                <w:sz w:val="18"/>
                <w:szCs w:val="18"/>
              </w:rPr>
              <w:t>Hybrid (v3 + v3.5)</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D742D8B">
            <w:pPr>
              <w:jc w:val="right"/>
            </w:pPr>
            <w:r>
              <w:rPr>
                <w:rFonts w:ascii="Arial" w:hAnsi="Arial" w:eastAsia="Arial" w:cs="Arial"/>
                <w:b w:val="0"/>
                <w:bCs w:val="0"/>
                <w:sz w:val="18"/>
                <w:szCs w:val="18"/>
              </w:rPr>
              <w:t>1786.8</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8D3D5DF">
            <w:pPr>
              <w:jc w:val="right"/>
            </w:pPr>
            <w:r>
              <w:rPr>
                <w:rFonts w:ascii="Arial" w:hAnsi="Arial" w:eastAsia="Arial" w:cs="Arial"/>
                <w:b w:val="0"/>
                <w:bCs w:val="0"/>
                <w:sz w:val="18"/>
                <w:szCs w:val="18"/>
              </w:rPr>
              <w:t>0.507</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31A20C7">
            <w:pPr>
              <w:jc w:val="right"/>
            </w:pPr>
            <w:r>
              <w:rPr>
                <w:rFonts w:ascii="Arial" w:hAnsi="Arial" w:eastAsia="Arial" w:cs="Arial"/>
                <w:b w:val="0"/>
                <w:bCs w:val="0"/>
                <w:sz w:val="18"/>
                <w:szCs w:val="18"/>
              </w:rPr>
              <w:t>85.0×</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00EF509">
            <w:pPr>
              <w:jc w:val="left"/>
            </w:pPr>
            <w:r>
              <w:rPr>
                <w:rFonts w:ascii="Arial" w:hAnsi="Arial" w:eastAsia="Arial" w:cs="Arial"/>
                <w:b w:val="0"/>
                <w:bCs w:val="0"/>
                <w:sz w:val="18"/>
                <w:szCs w:val="18"/>
              </w:rPr>
              <w:t>canonical</w:t>
            </w:r>
          </w:p>
        </w:tc>
      </w:tr>
    </w:tbl>
    <w:p w14:paraId="6A880C42">
      <w:pPr>
        <w:spacing w:before="80" w:after="200"/>
        <w:jc w:val="center"/>
      </w:pPr>
      <w:r>
        <w:rPr>
          <w:rFonts w:ascii="Arial" w:hAnsi="Arial" w:eastAsia="Arial" w:cs="Arial"/>
          <w:i/>
          <w:iCs/>
          <w:color w:val="555555"/>
          <w:sz w:val="19"/>
          <w:szCs w:val="19"/>
        </w:rPr>
        <w:t>BOPTEST: 21 steps/s — fine for evaluation, prohibitive for training. v3: 4626 steps/s (220×). v3.5: 2400 steps/s (114×, half v3 because of the extra physical-backbone forward pass). Hybrid: 1787 steps/s (85×), the slowest surrogate but still 85× faster than BOPTEST.</w:t>
      </w:r>
    </w:p>
    <w:p w14:paraId="18442F69">
      <w:pPr>
        <w:spacing w:after="160"/>
        <w:jc w:val="both"/>
      </w:pPr>
      <w:bookmarkStart w:id="0" w:name="_GoBack"/>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710E39FD">
      <w:pPr>
        <w:spacing w:after="160"/>
        <w:jc w:val="both"/>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bookmarkEnd w:id="0"/>
    </w:p>
    <w:p w14:paraId="732759E9">
      <w:pPr>
        <w:pStyle w:val="2"/>
        <w:spacing w:before="300" w:after="120"/>
      </w:pPr>
      <w:r>
        <w:rPr>
          <w:rFonts w:ascii="Arial" w:hAnsi="Arial" w:eastAsia="Arial" w:cs="Arial"/>
        </w:rPr>
        <w:t>4. Fidelity-to-RL Gap — the Central Negative Result</w:t>
      </w:r>
    </w:p>
    <w:p w14:paraId="03FD7DB8">
      <w:pPr>
        <w:spacing w:after="160"/>
        <w:jc w:val="both"/>
      </w:pPr>
      <w:r>
        <w:rPr>
          <w:rFonts w:ascii="Arial" w:hAnsi="Arial" w:eastAsia="Arial" w:cs="Arial"/>
          <w:b w:val="0"/>
          <w:bCs w:val="0"/>
          <w:i w:val="0"/>
          <w:iCs w:val="0"/>
          <w:sz w:val="22"/>
          <w:szCs w:val="22"/>
        </w:rPr>
        <w:t>Sections 1, 2, and 3 establish that v3.5 is the most physically accurate surrogate and the hybrid is the most computationally efficient surrogate that can still serve PPO training. Section 4 asks the question that motivates the entire project: which surrogate, when used as the PPO training environment, produces the best closed-loop controller on the live BOPTEST simulator? The naive prediction — that higher predictive fidelity yields better controllers — turns out to be wrong, and that wrong-ness is the central scientific contribution of Block 1.</w:t>
      </w:r>
    </w:p>
    <w:p w14:paraId="1A2DB3EB">
      <w:pPr>
        <w:spacing w:after="160"/>
        <w:jc w:val="both"/>
      </w:pPr>
      <w:r>
        <w:rPr>
          <w:rFonts w:ascii="Arial" w:hAnsi="Arial" w:eastAsia="Arial" w:cs="Arial"/>
          <w:b w:val="0"/>
          <w:bCs w:val="0"/>
          <w:i w:val="0"/>
          <w:iCs w:val="0"/>
          <w:sz w:val="22"/>
          <w:szCs w:val="22"/>
        </w:rPr>
        <w:t>Three controllers are trained, each on a different surrogate backend with identical PPO hyperparameters, identical reward function, and identical training budget. Each is then evaluated zero-shot on two BOPTEST RTE windows: peak heating (cold spell, high control challenge) and typical heating (representative winter operation). We report the maintenance score m_s (lower is better, where 0 is the boundary of zero violations), temperature RMSE on the live BOPTEST trace, and total electrical energy consumption. m_s combines comfort violations and tracking error into a single composite, so it is the cleanest single metric of controller quality.</w:t>
      </w:r>
    </w:p>
    <w:p w14:paraId="46D53397">
      <w:pPr>
        <w:spacing w:before="240" w:after="120"/>
      </w:pPr>
      <w:r>
        <w:rPr>
          <w:rFonts w:ascii="Arial" w:hAnsi="Arial" w:eastAsia="Arial" w:cs="Arial"/>
          <w:b/>
          <w:bCs/>
          <w:color w:val="2E75B6"/>
          <w:sz w:val="24"/>
          <w:szCs w:val="24"/>
        </w:rPr>
        <w:t>4.1 Architecture comparison on live BOPTEST (Hou-Evins table S9)</w:t>
      </w:r>
    </w:p>
    <w:p w14:paraId="5F69C18D">
      <w:pPr>
        <w:spacing w:before="200" w:after="60"/>
      </w:pPr>
      <w:r>
        <w:rPr>
          <w:rFonts w:ascii="Arial" w:hAnsi="Arial" w:eastAsia="Arial" w:cs="Arial"/>
          <w:b/>
          <w:bCs/>
          <w:color w:val="1F4E79"/>
          <w:sz w:val="20"/>
          <w:szCs w:val="20"/>
        </w:rPr>
        <w:t>Table 4.1 — Live BOPTEST closed-loop transfer (reports/hou_evins_architecture_justification_table.csv)</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7"/>
        <w:gridCol w:w="1314"/>
        <w:gridCol w:w="1314"/>
        <w:gridCol w:w="1314"/>
        <w:gridCol w:w="1314"/>
        <w:gridCol w:w="1314"/>
        <w:gridCol w:w="1213"/>
      </w:tblGrid>
      <w:tr w14:paraId="45AF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A843961">
            <w:r>
              <w:rPr>
                <w:rFonts w:ascii="Arial" w:hAnsi="Arial" w:eastAsia="Arial" w:cs="Arial"/>
                <w:b/>
                <w:bCs/>
                <w:color w:val="FFFFFF"/>
                <w:sz w:val="18"/>
                <w:szCs w:val="18"/>
              </w:rPr>
              <w:t>Variant</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F15BE71">
            <w:r>
              <w:rPr>
                <w:rFonts w:ascii="Arial" w:hAnsi="Arial" w:eastAsia="Arial" w:cs="Arial"/>
                <w:b/>
                <w:bCs/>
                <w:color w:val="FFFFFF"/>
                <w:sz w:val="18"/>
                <w:szCs w:val="18"/>
              </w:rPr>
              <w:t>Peak m_s</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E89F220">
            <w:r>
              <w:rPr>
                <w:rFonts w:ascii="Arial" w:hAnsi="Arial" w:eastAsia="Arial" w:cs="Arial"/>
                <w:b/>
                <w:bCs/>
                <w:color w:val="FFFFFF"/>
                <w:sz w:val="18"/>
                <w:szCs w:val="18"/>
              </w:rPr>
              <w:t>Typical m_s</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C1A2E83">
            <w:r>
              <w:rPr>
                <w:rFonts w:ascii="Arial" w:hAnsi="Arial" w:eastAsia="Arial" w:cs="Arial"/>
                <w:b/>
                <w:bCs/>
                <w:color w:val="FFFFFF"/>
                <w:sz w:val="18"/>
                <w:szCs w:val="18"/>
              </w:rPr>
              <w:t>Peak RMSE</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4D915BC">
            <w:r>
              <w:rPr>
                <w:rFonts w:ascii="Arial" w:hAnsi="Arial" w:eastAsia="Arial" w:cs="Arial"/>
                <w:b/>
                <w:bCs/>
                <w:color w:val="FFFFFF"/>
                <w:sz w:val="18"/>
                <w:szCs w:val="18"/>
              </w:rPr>
              <w:t>Typ RMSE</w:t>
            </w:r>
          </w:p>
        </w:tc>
        <w:tc>
          <w:tcPr>
            <w:tcW w:w="1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B353CC6">
            <w:r>
              <w:rPr>
                <w:rFonts w:ascii="Arial" w:hAnsi="Arial" w:eastAsia="Arial" w:cs="Arial"/>
                <w:b/>
                <w:bCs/>
                <w:color w:val="FFFFFF"/>
                <w:sz w:val="18"/>
                <w:szCs w:val="18"/>
              </w:rPr>
              <w:t>Peak kWh</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FBEC68F">
            <w:r>
              <w:rPr>
                <w:rFonts w:ascii="Arial" w:hAnsi="Arial" w:eastAsia="Arial" w:cs="Arial"/>
                <w:b/>
                <w:bCs/>
                <w:color w:val="FFFFFF"/>
                <w:sz w:val="18"/>
                <w:szCs w:val="18"/>
              </w:rPr>
              <w:t>Typ kWh</w:t>
            </w:r>
          </w:p>
        </w:tc>
      </w:tr>
      <w:tr w14:paraId="6B18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F8BB64">
            <w:pPr>
              <w:jc w:val="left"/>
            </w:pPr>
            <w:r>
              <w:rPr>
                <w:rFonts w:ascii="Arial" w:hAnsi="Arial" w:eastAsia="Arial" w:cs="Arial"/>
                <w:b/>
                <w:bCs/>
                <w:sz w:val="18"/>
                <w:szCs w:val="18"/>
              </w:rPr>
              <w:t>v3 (pure)</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CE388D">
            <w:pPr>
              <w:jc w:val="right"/>
            </w:pPr>
            <w:r>
              <w:rPr>
                <w:rFonts w:ascii="Arial" w:hAnsi="Arial" w:eastAsia="Arial" w:cs="Arial"/>
                <w:b w:val="0"/>
                <w:bCs w:val="0"/>
                <w:sz w:val="18"/>
                <w:szCs w:val="18"/>
              </w:rPr>
              <w:t>0.0725</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8B9B6F">
            <w:pPr>
              <w:jc w:val="right"/>
            </w:pPr>
            <w:r>
              <w:rPr>
                <w:rFonts w:ascii="Arial" w:hAnsi="Arial" w:eastAsia="Arial" w:cs="Arial"/>
                <w:b w:val="0"/>
                <w:bCs w:val="0"/>
                <w:sz w:val="18"/>
                <w:szCs w:val="18"/>
              </w:rPr>
              <w:t>0.0947</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48F3A4">
            <w:pPr>
              <w:jc w:val="right"/>
            </w:pPr>
            <w:r>
              <w:rPr>
                <w:rFonts w:ascii="Arial" w:hAnsi="Arial" w:eastAsia="Arial" w:cs="Arial"/>
                <w:b w:val="0"/>
                <w:bCs w:val="0"/>
                <w:sz w:val="18"/>
                <w:szCs w:val="18"/>
              </w:rPr>
              <w:t>0.894 °C</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8D6EBE">
            <w:pPr>
              <w:jc w:val="right"/>
            </w:pPr>
            <w:r>
              <w:rPr>
                <w:rFonts w:ascii="Arial" w:hAnsi="Arial" w:eastAsia="Arial" w:cs="Arial"/>
                <w:b w:val="0"/>
                <w:bCs w:val="0"/>
                <w:sz w:val="18"/>
                <w:szCs w:val="18"/>
              </w:rPr>
              <w:t>0.745 °C</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11D715">
            <w:pPr>
              <w:jc w:val="right"/>
            </w:pPr>
            <w:r>
              <w:rPr>
                <w:rFonts w:ascii="Arial" w:hAnsi="Arial" w:eastAsia="Arial" w:cs="Arial"/>
                <w:b w:val="0"/>
                <w:bCs w:val="0"/>
                <w:sz w:val="18"/>
                <w:szCs w:val="18"/>
              </w:rPr>
              <w:t>322.2</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607D5">
            <w:pPr>
              <w:jc w:val="right"/>
            </w:pPr>
            <w:r>
              <w:rPr>
                <w:rFonts w:ascii="Arial" w:hAnsi="Arial" w:eastAsia="Arial" w:cs="Arial"/>
                <w:b w:val="0"/>
                <w:bCs w:val="0"/>
                <w:sz w:val="18"/>
                <w:szCs w:val="18"/>
              </w:rPr>
              <w:t>368.3</w:t>
            </w:r>
          </w:p>
        </w:tc>
      </w:tr>
      <w:tr w14:paraId="36D5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70C02B8">
            <w:pPr>
              <w:jc w:val="left"/>
            </w:pPr>
            <w:r>
              <w:rPr>
                <w:rFonts w:ascii="Arial" w:hAnsi="Arial" w:eastAsia="Arial" w:cs="Arial"/>
                <w:b/>
                <w:bCs/>
                <w:sz w:val="18"/>
                <w:szCs w:val="18"/>
              </w:rPr>
              <w:t>v3.5 calibrated</w:t>
            </w:r>
          </w:p>
        </w:tc>
        <w:tc>
          <w:tcPr>
            <w:tcW w:w="1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3ADD2D3">
            <w:pPr>
              <w:jc w:val="right"/>
            </w:pPr>
            <w:r>
              <w:rPr>
                <w:rFonts w:ascii="Arial" w:hAnsi="Arial" w:eastAsia="Arial" w:cs="Arial"/>
                <w:b w:val="0"/>
                <w:bCs w:val="0"/>
                <w:sz w:val="18"/>
                <w:szCs w:val="18"/>
              </w:rPr>
              <w:t>1.0465</w:t>
            </w:r>
          </w:p>
        </w:tc>
        <w:tc>
          <w:tcPr>
            <w:tcW w:w="1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8BEC9C5">
            <w:pPr>
              <w:jc w:val="right"/>
            </w:pPr>
            <w:r>
              <w:rPr>
                <w:rFonts w:ascii="Arial" w:hAnsi="Arial" w:eastAsia="Arial" w:cs="Arial"/>
                <w:b w:val="0"/>
                <w:bCs w:val="0"/>
                <w:sz w:val="18"/>
                <w:szCs w:val="18"/>
              </w:rPr>
              <w:t>1.1020</w:t>
            </w:r>
          </w:p>
        </w:tc>
        <w:tc>
          <w:tcPr>
            <w:tcW w:w="1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341EB2E">
            <w:pPr>
              <w:jc w:val="right"/>
            </w:pPr>
            <w:r>
              <w:rPr>
                <w:rFonts w:ascii="Arial" w:hAnsi="Arial" w:eastAsia="Arial" w:cs="Arial"/>
                <w:b w:val="0"/>
                <w:bCs w:val="0"/>
                <w:sz w:val="18"/>
                <w:szCs w:val="18"/>
              </w:rPr>
              <w:t>4.320 °C</w:t>
            </w:r>
          </w:p>
        </w:tc>
        <w:tc>
          <w:tcPr>
            <w:tcW w:w="1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3043C7F">
            <w:pPr>
              <w:jc w:val="right"/>
            </w:pPr>
            <w:r>
              <w:rPr>
                <w:rFonts w:ascii="Arial" w:hAnsi="Arial" w:eastAsia="Arial" w:cs="Arial"/>
                <w:b w:val="0"/>
                <w:bCs w:val="0"/>
                <w:sz w:val="18"/>
                <w:szCs w:val="18"/>
              </w:rPr>
              <w:t>4.401 °C</w:t>
            </w:r>
          </w:p>
        </w:tc>
        <w:tc>
          <w:tcPr>
            <w:tcW w:w="1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5008314">
            <w:pPr>
              <w:jc w:val="right"/>
            </w:pPr>
            <w:r>
              <w:rPr>
                <w:rFonts w:ascii="Arial" w:hAnsi="Arial" w:eastAsia="Arial" w:cs="Arial"/>
                <w:b w:val="0"/>
                <w:bCs w:val="0"/>
                <w:sz w:val="18"/>
                <w:szCs w:val="18"/>
              </w:rPr>
              <w:t>556.2</w:t>
            </w:r>
          </w:p>
        </w:tc>
        <w:tc>
          <w:tcPr>
            <w:tcW w:w="12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1940D14">
            <w:pPr>
              <w:jc w:val="right"/>
            </w:pPr>
            <w:r>
              <w:rPr>
                <w:rFonts w:ascii="Arial" w:hAnsi="Arial" w:eastAsia="Arial" w:cs="Arial"/>
                <w:b w:val="0"/>
                <w:bCs w:val="0"/>
                <w:sz w:val="18"/>
                <w:szCs w:val="18"/>
              </w:rPr>
              <w:t>580.5</w:t>
            </w:r>
          </w:p>
        </w:tc>
      </w:tr>
      <w:tr w14:paraId="361A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5B7FFA">
            <w:pPr>
              <w:jc w:val="left"/>
            </w:pPr>
            <w:r>
              <w:rPr>
                <w:rFonts w:ascii="Arial" w:hAnsi="Arial" w:eastAsia="Arial" w:cs="Arial"/>
                <w:b/>
                <w:bCs/>
                <w:sz w:val="18"/>
                <w:szCs w:val="18"/>
              </w:rPr>
              <w:t>Hybrid λ=0.10</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6FC20B">
            <w:pPr>
              <w:jc w:val="right"/>
            </w:pPr>
            <w:r>
              <w:rPr>
                <w:rFonts w:ascii="Arial" w:hAnsi="Arial" w:eastAsia="Arial" w:cs="Arial"/>
                <w:b w:val="0"/>
                <w:bCs w:val="0"/>
                <w:sz w:val="18"/>
                <w:szCs w:val="18"/>
              </w:rPr>
              <w:t>0.0867</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0181E">
            <w:pPr>
              <w:jc w:val="right"/>
            </w:pPr>
            <w:r>
              <w:rPr>
                <w:rFonts w:ascii="Arial" w:hAnsi="Arial" w:eastAsia="Arial" w:cs="Arial"/>
                <w:b w:val="0"/>
                <w:bCs w:val="0"/>
                <w:sz w:val="18"/>
                <w:szCs w:val="18"/>
              </w:rPr>
              <w:t>0.0411</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41D49F">
            <w:pPr>
              <w:jc w:val="right"/>
            </w:pPr>
            <w:r>
              <w:rPr>
                <w:rFonts w:ascii="Arial" w:hAnsi="Arial" w:eastAsia="Arial" w:cs="Arial"/>
                <w:b w:val="0"/>
                <w:bCs w:val="0"/>
                <w:sz w:val="18"/>
                <w:szCs w:val="18"/>
              </w:rPr>
              <w:t>0.633 °C</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0662BD">
            <w:pPr>
              <w:jc w:val="right"/>
            </w:pPr>
            <w:r>
              <w:rPr>
                <w:rFonts w:ascii="Arial" w:hAnsi="Arial" w:eastAsia="Arial" w:cs="Arial"/>
                <w:b w:val="0"/>
                <w:bCs w:val="0"/>
                <w:sz w:val="18"/>
                <w:szCs w:val="18"/>
              </w:rPr>
              <w:t>0.612 °C</w:t>
            </w:r>
          </w:p>
        </w:tc>
        <w:tc>
          <w:tcPr>
            <w:tcW w:w="1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B5DB1E">
            <w:pPr>
              <w:jc w:val="right"/>
            </w:pPr>
            <w:r>
              <w:rPr>
                <w:rFonts w:ascii="Arial" w:hAnsi="Arial" w:eastAsia="Arial" w:cs="Arial"/>
                <w:b w:val="0"/>
                <w:bCs w:val="0"/>
                <w:sz w:val="18"/>
                <w:szCs w:val="18"/>
              </w:rPr>
              <w:t>305.3</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D2F866">
            <w:pPr>
              <w:jc w:val="right"/>
            </w:pPr>
            <w:r>
              <w:rPr>
                <w:rFonts w:ascii="Arial" w:hAnsi="Arial" w:eastAsia="Arial" w:cs="Arial"/>
                <w:b w:val="0"/>
                <w:bCs w:val="0"/>
                <w:sz w:val="18"/>
                <w:szCs w:val="18"/>
              </w:rPr>
              <w:t>352.8</w:t>
            </w:r>
          </w:p>
        </w:tc>
      </w:tr>
    </w:tbl>
    <w:p w14:paraId="1586904D">
      <w:pPr>
        <w:spacing w:before="80" w:after="200"/>
        <w:jc w:val="center"/>
      </w:pPr>
      <w:r>
        <w:rPr>
          <w:rFonts w:ascii="Arial" w:hAnsi="Arial" w:eastAsia="Arial" w:cs="Arial"/>
          <w:i/>
          <w:iCs/>
          <w:color w:val="555555"/>
          <w:sz w:val="19"/>
          <w:szCs w:val="19"/>
        </w:rPr>
        <w:t>v3.5 has the best rollout fidelity (Section 2) but the WORST live closed-loop performance: m_s &gt; 1.0, RMSE &gt; 4.3 °C, energy ~70 % higher than v3. The hybrid backend trained with λ_temp=0.10 achieves the best typical m_s (0.0411), best typical RMSE (0.612 °C), and lowest typical energy (352.8 kWh) — strictly dominating both alternatives on the typical window.</w:t>
      </w:r>
    </w:p>
    <w:p w14:paraId="0E1E9AEA">
      <w:pPr>
        <w:spacing w:after="160"/>
        <w:jc w:val="both"/>
      </w:pPr>
      <w:r>
        <w:rPr>
          <w:rFonts w:ascii="Arial" w:hAnsi="Arial" w:eastAsia="Arial" w:cs="Arial"/>
          <w:b w:val="0"/>
          <w:bCs w:val="0"/>
          <w:i w:val="0"/>
          <w:iCs w:val="0"/>
          <w:sz w:val="22"/>
          <w:szCs w:val="22"/>
        </w:rPr>
        <w:t>Three quantitative observations from Table 4.1 deserve scientific commentary. First, the v3.5-trained controller has peak m_s = 1.05 and typical m_s = 1.10 — both above 1.0, meaning the controller violates the comfort band more than it stays inside. This is a deployment failure, not a marginal degradation. Second, v3.5-trained closed-loop RMSE (4.32 °C peak, 4.40 °C typical) is roughly 5× the corresponding numbers for v3-trained (0.89 / 0.74 °C) and 7× the numbers for hybrid-trained (0.63 / 0.61 °C). The five-fold gap is far too large to be attributable to PPO stochasticity. Third, the v3.5-trained controller consumes 73 % more energy than v3 (556.2 vs 322.2 kWh on the peak window) — it is not just less comfortable, it is also more expensive.</w:t>
      </w:r>
    </w:p>
    <w:p w14:paraId="29C7E000">
      <w:pPr>
        <w:spacing w:after="160"/>
        <w:jc w:val="both"/>
      </w:pPr>
      <w:r>
        <w:rPr>
          <w:rFonts w:ascii="Arial" w:hAnsi="Arial" w:eastAsia="Arial" w:cs="Arial"/>
          <w:b w:val="0"/>
          <w:bCs w:val="0"/>
          <w:i w:val="0"/>
          <w:iCs w:val="0"/>
          <w:sz w:val="22"/>
          <w:szCs w:val="22"/>
        </w:rPr>
        <w:t>The hybrid backend is the best controller of the three on both windows. On the peak window it nearly matches v3 (m_s = 0.0867 vs 0.0725) while saving 16.9 kWh (5.2 % less energy). On the typical window it strictly dominates v3: lower m_s (0.0411 vs 0.0947), lower RMSE (0.612 vs 0.745 °C), and lower energy (352.8 vs 368.3 kWh). The v3.5 disagreement regulariser therefore does add value over plain v3 even though it does not substitute for v3 as the rollout dynamics. This is the practical signature of the central scientific claim: the calibrated physical twin's role is to shape the loss surface, not to be the loss surface itself.</w:t>
      </w:r>
    </w:p>
    <w:p w14:paraId="0E2085EA">
      <w:pPr>
        <w:spacing w:before="240" w:after="120"/>
      </w:pPr>
      <w:r>
        <w:rPr>
          <w:rFonts w:ascii="Arial" w:hAnsi="Arial" w:eastAsia="Arial" w:cs="Arial"/>
          <w:b/>
          <w:bCs/>
          <w:color w:val="2E75B6"/>
          <w:sz w:val="24"/>
          <w:szCs w:val="24"/>
        </w:rPr>
        <w:t>4.2 Why v3.5 fails as a standalone training environment — the structural mechanism</w:t>
      </w:r>
    </w:p>
    <w:p w14:paraId="5DEDF6DF">
      <w:pPr>
        <w:spacing w:after="160"/>
        <w:jc w:val="both"/>
      </w:pPr>
      <w:r>
        <w:rPr>
          <w:rFonts w:ascii="Arial" w:hAnsi="Arial" w:eastAsia="Arial" w:cs="Arial"/>
          <w:b w:val="0"/>
          <w:bCs w:val="0"/>
          <w:i w:val="0"/>
          <w:iCs w:val="0"/>
          <w:sz w:val="22"/>
          <w:szCs w:val="22"/>
        </w:rPr>
        <w:t>The 5× RMSE gap between v3.5-trained and hybrid-trained controllers is not noise; it has an identifiable cause that is visible in the policy's action distribution. v3.5 is a low-curvature dynamics model: its gradient surface in the (a0, a1) plane is sharply peaked around physically realistic actions and approximately flat outside that region, because the RC-NeuralODE backbone enforces a near-linear response of dT to the heat-flow estimate, which itself depends smoothly on the action. PPO, when trained on this surface, discovers a degenerate optimum: pushing a0 to its maximum (or minimum) saturates the heat-flow estimate, the temperature response stays inside v3.5's well-modeled regime, and the policy receives high reward inside the surrogate. The same action evaluated on live BOPTEST overshoots the comfort band because the real building has additional nonlinearities (envelope thermal mass, control-valve saturation, supply-temperature limits) that v3.5 does not capture. This explains both the high violation rate (77 % peak, 82 % typical) and the bang-bang action signature shown in Section 6 below. The v3 surrogate, despite being less accurate point-wise, has a noisier and more curved gradient surface because of its small black-box residual heads; PPO trained on v3 cannot find a flat extremum to exploit, and the resulting policy is more conservative, which is what BOPTEST rewards.</w:t>
      </w:r>
    </w:p>
    <w:p w14:paraId="6FFB92B3">
      <w:pPr>
        <w:pStyle w:val="2"/>
        <w:spacing w:before="300" w:after="120"/>
      </w:pPr>
      <w:r>
        <w:rPr>
          <w:rFonts w:ascii="Arial" w:hAnsi="Arial" w:eastAsia="Arial" w:cs="Arial"/>
        </w:rPr>
        <w:t>5. Hybrid Backend — Loss Function and Mechanism</w:t>
      </w:r>
    </w:p>
    <w:p w14:paraId="279B7AEB">
      <w:pPr>
        <w:spacing w:after="160"/>
        <w:jc w:val="both"/>
      </w:pPr>
      <w:r>
        <w:rPr>
          <w:rFonts w:ascii="Arial" w:hAnsi="Arial" w:eastAsia="Arial" w:cs="Arial"/>
          <w:b w:val="0"/>
          <w:bCs w:val="0"/>
          <w:i w:val="0"/>
          <w:iCs w:val="0"/>
          <w:sz w:val="22"/>
          <w:szCs w:val="22"/>
        </w:rPr>
        <w:t>The hybrid backend resolves the fidelity-to-RL gap by treating the calibrated v3.5 not as the environment but as an additional supervised signal on top of v3. During PPO training the policy rolls out exclusively through v3 — the policy never sees v3.5. After each rollout, however, the same observations are passed through frozen v3.5 to produce a comparison trajectory, and the squared disagreement between v3 and v3.5 predictions of next-step temperature and total power is added to the PPO loss with two scalar weights λ_temp and λ_power.</w:t>
      </w:r>
    </w:p>
    <w:p w14:paraId="59B438AA">
      <w:pPr>
        <w:spacing w:before="200" w:after="200"/>
        <w:jc w:val="center"/>
      </w:pPr>
      <w:r>
        <w:rPr>
          <w:rFonts w:ascii="Arial" w:hAnsi="Arial" w:eastAsia="Arial" w:cs="Arial"/>
          <w:b/>
          <w:bCs/>
          <w:i/>
          <w:iCs/>
          <w:sz w:val="24"/>
          <w:szCs w:val="24"/>
        </w:rPr>
        <w:t>L_total = L_PPO + λ_temp · ‖T_v3 − T_v3.5‖² + λ_power · ‖P_v3 − P_v3.5‖²</w:t>
      </w:r>
    </w:p>
    <w:p w14:paraId="55D21972">
      <w:pPr>
        <w:spacing w:after="160"/>
        <w:jc w:val="both"/>
      </w:pPr>
      <w:r>
        <w:rPr>
          <w:rFonts w:ascii="Arial" w:hAnsi="Arial" w:eastAsia="Arial" w:cs="Arial"/>
          <w:b w:val="0"/>
          <w:bCs w:val="0"/>
          <w:i w:val="0"/>
          <w:iCs w:val="0"/>
          <w:sz w:val="22"/>
          <w:szCs w:val="22"/>
        </w:rPr>
        <w:t>The canonical thermostatic values are λ_temp = 0.10 and λ_power = 5 × 10⁻⁵. Two design points are critical. First, v3.5 weights are frozen — gradients of the hybrid loss with respect to the policy parameters flow only through L_PPO and through the squared-disagreement term, not into v3.5 itself. This means v3.5 acts as a teacher whose targets evolve only with the observations, not with training. Second, the regulariser is a soft penalty, not a hard constraint: the policy is allowed to disagree with v3.5 when L_PPO finds a better trade-off, but every disagreement incurs a quadratic cost proportional to λ. This is what distinguishes the hybrid backend from a hard physics-informed neural network — there is no projection step and no constraint satisfaction, only an extra term in the loss.</w:t>
      </w:r>
    </w:p>
    <w:p w14:paraId="71897D17">
      <w:pPr>
        <w:spacing w:after="160"/>
        <w:jc w:val="both"/>
      </w:pPr>
      <w:r>
        <w:rPr>
          <w:rFonts w:ascii="Arial" w:hAnsi="Arial" w:eastAsia="Arial" w:cs="Arial"/>
          <w:b w:val="0"/>
          <w:bCs w:val="0"/>
          <w:i w:val="0"/>
          <w:iCs w:val="0"/>
          <w:sz w:val="22"/>
          <w:szCs w:val="22"/>
        </w:rPr>
        <w:t>Two empirical claims about λ_temp come from the broader sweep in the supplementary tables and the thermostatic sensitivity (S10). At λ_temp = 0 the hybrid reduces to plain v3 training and produces v3-class live performance. At λ_temp = 0.10 (canonical) the hybrid produces the best typical-window m_s of 0.0411 reported in Table 4.1. Higher λ values (0.15 and above) over-regularize and start dragging the controller back toward the v3.5-trained failure regime. This sensitivity is also why HDRL and MORL — which are evaluated in Block 2 — use λ_temp = 0: the hierarchical and preference-conditioned controllers have different loss-surface topology and the v3.5 regulariser actively hurts them. The optimal λ is therefore controller-family specific, which is itself a non-trivial empirical finding.</w:t>
      </w:r>
    </w:p>
    <w:p w14:paraId="1243986A">
      <w:pPr>
        <w:pStyle w:val="2"/>
        <w:spacing w:before="300" w:after="120"/>
      </w:pPr>
      <w:r>
        <w:rPr>
          <w:rFonts w:ascii="Arial" w:hAnsi="Arial" w:eastAsia="Arial" w:cs="Arial"/>
        </w:rPr>
        <w:t>6. Transfer Gap Diagnostics</w:t>
      </w:r>
    </w:p>
    <w:p w14:paraId="55BAE8FC">
      <w:pPr>
        <w:spacing w:after="160"/>
        <w:jc w:val="both"/>
      </w:pPr>
      <w:r>
        <w:rPr>
          <w:rFonts w:ascii="Arial" w:hAnsi="Arial" w:eastAsia="Arial" w:cs="Arial"/>
          <w:b w:val="0"/>
          <w:bCs w:val="0"/>
          <w:i w:val="0"/>
          <w:iCs w:val="0"/>
          <w:sz w:val="22"/>
          <w:szCs w:val="22"/>
        </w:rPr>
        <w:t>To diagnose why v3.5-trained policies fail and hybrid-trained policies succeed on BOPTEST, we record three step-level transfer diagnostics for each controller on each evaluation window: (i) closed-loop temperature RMSE; (ii) first_divergence_step, the first time-step at which the surrogate-predicted action and the live BOPTEST-induced action diverge by more than a threshold; (iii) action_gap_norm, the integrated action discrepancy across the full episode. These three signals together describe when, where, and how strongly the surrogate-trained policy stops behaving the way it was trained to behave once it is dropped into the real simulator.</w:t>
      </w:r>
    </w:p>
    <w:p w14:paraId="591E1BC7">
      <w:pPr>
        <w:spacing w:before="200" w:after="60"/>
      </w:pPr>
      <w:r>
        <w:rPr>
          <w:rFonts w:ascii="Arial" w:hAnsi="Arial" w:eastAsia="Arial" w:cs="Arial"/>
          <w:b/>
          <w:bCs/>
          <w:color w:val="1F4E79"/>
          <w:sz w:val="20"/>
          <w:szCs w:val="20"/>
        </w:rPr>
        <w:t>Table 6.1 — Transfer-gap diagnostics (reports/hybrid_transfer_comparison.csv)</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6"/>
        <w:gridCol w:w="1310"/>
        <w:gridCol w:w="1310"/>
        <w:gridCol w:w="1310"/>
        <w:gridCol w:w="1310"/>
        <w:gridCol w:w="1310"/>
        <w:gridCol w:w="1064"/>
      </w:tblGrid>
      <w:tr w14:paraId="4B31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89FFF5C">
            <w:r>
              <w:rPr>
                <w:rFonts w:ascii="Arial" w:hAnsi="Arial" w:eastAsia="Arial" w:cs="Arial"/>
                <w:b/>
                <w:bCs/>
                <w:color w:val="FFFFFF"/>
                <w:sz w:val="18"/>
                <w:szCs w:val="18"/>
              </w:rPr>
              <w:t>Variant</w:t>
            </w:r>
          </w:p>
        </w:tc>
        <w:tc>
          <w:tcPr>
            <w:tcW w:w="117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D1EE3D4">
            <w:r>
              <w:rPr>
                <w:rFonts w:ascii="Arial" w:hAnsi="Arial" w:eastAsia="Arial" w:cs="Arial"/>
                <w:b/>
                <w:bCs/>
                <w:color w:val="FFFFFF"/>
                <w:sz w:val="18"/>
                <w:szCs w:val="18"/>
              </w:rPr>
              <w:t>Window</w:t>
            </w:r>
          </w:p>
        </w:tc>
        <w:tc>
          <w:tcPr>
            <w:tcW w:w="117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E0BF818">
            <w:r>
              <w:rPr>
                <w:rFonts w:ascii="Arial" w:hAnsi="Arial" w:eastAsia="Arial" w:cs="Arial"/>
                <w:b/>
                <w:bCs/>
                <w:color w:val="FFFFFF"/>
                <w:sz w:val="18"/>
                <w:szCs w:val="18"/>
              </w:rPr>
              <w:t>RMSE °C</w:t>
            </w:r>
          </w:p>
        </w:tc>
        <w:tc>
          <w:tcPr>
            <w:tcW w:w="117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7352150">
            <w:r>
              <w:rPr>
                <w:rFonts w:ascii="Arial" w:hAnsi="Arial" w:eastAsia="Arial" w:cs="Arial"/>
                <w:b/>
                <w:bCs/>
                <w:color w:val="FFFFFF"/>
                <w:sz w:val="18"/>
                <w:szCs w:val="18"/>
              </w:rPr>
              <w:t>m_s</w:t>
            </w:r>
          </w:p>
        </w:tc>
        <w:tc>
          <w:tcPr>
            <w:tcW w:w="117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30A71D65">
            <w:r>
              <w:rPr>
                <w:rFonts w:ascii="Arial" w:hAnsi="Arial" w:eastAsia="Arial" w:cs="Arial"/>
                <w:b/>
                <w:bCs/>
                <w:color w:val="FFFFFF"/>
                <w:sz w:val="18"/>
                <w:szCs w:val="18"/>
              </w:rPr>
              <w:t>Viol %</w:t>
            </w:r>
          </w:p>
        </w:tc>
        <w:tc>
          <w:tcPr>
            <w:tcW w:w="117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3F8044B">
            <w:r>
              <w:rPr>
                <w:rFonts w:ascii="Arial" w:hAnsi="Arial" w:eastAsia="Arial" w:cs="Arial"/>
                <w:b/>
                <w:bCs/>
                <w:color w:val="FFFFFF"/>
                <w:sz w:val="18"/>
                <w:szCs w:val="18"/>
              </w:rPr>
              <w:t>1st Div</w:t>
            </w:r>
          </w:p>
        </w:tc>
        <w:tc>
          <w:tcPr>
            <w:tcW w:w="95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2797F9F5">
            <w:r>
              <w:rPr>
                <w:rFonts w:ascii="Arial" w:hAnsi="Arial" w:eastAsia="Arial" w:cs="Arial"/>
                <w:b/>
                <w:bCs/>
                <w:color w:val="FFFFFF"/>
                <w:sz w:val="18"/>
                <w:szCs w:val="18"/>
              </w:rPr>
              <w:t>Action Gap</w:t>
            </w:r>
          </w:p>
        </w:tc>
      </w:tr>
      <w:tr w14:paraId="06B5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2970BB">
            <w:pPr>
              <w:jc w:val="left"/>
            </w:pPr>
            <w:r>
              <w:rPr>
                <w:rFonts w:ascii="Arial" w:hAnsi="Arial" w:eastAsia="Arial" w:cs="Arial"/>
                <w:b/>
                <w:bCs/>
                <w:sz w:val="18"/>
                <w:szCs w:val="18"/>
              </w:rPr>
              <w:t>pure_v3</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BB3185">
            <w:pPr>
              <w:jc w:val="left"/>
            </w:pPr>
            <w:r>
              <w:rPr>
                <w:rFonts w:ascii="Arial" w:hAnsi="Arial" w:eastAsia="Arial" w:cs="Arial"/>
                <w:b w:val="0"/>
                <w:bCs w:val="0"/>
                <w:sz w:val="18"/>
                <w:szCs w:val="18"/>
              </w:rPr>
              <w:t>peak</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27D2B6">
            <w:pPr>
              <w:jc w:val="right"/>
            </w:pPr>
            <w:r>
              <w:rPr>
                <w:rFonts w:ascii="Arial" w:hAnsi="Arial" w:eastAsia="Arial" w:cs="Arial"/>
                <w:b w:val="0"/>
                <w:bCs w:val="0"/>
                <w:sz w:val="18"/>
                <w:szCs w:val="18"/>
              </w:rPr>
              <w:t>0.894</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480544">
            <w:pPr>
              <w:jc w:val="right"/>
            </w:pPr>
            <w:r>
              <w:rPr>
                <w:rFonts w:ascii="Arial" w:hAnsi="Arial" w:eastAsia="Arial" w:cs="Arial"/>
                <w:b w:val="0"/>
                <w:bCs w:val="0"/>
                <w:sz w:val="18"/>
                <w:szCs w:val="18"/>
              </w:rPr>
              <w:t>0.156</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7E92D4">
            <w:pPr>
              <w:jc w:val="right"/>
            </w:pPr>
            <w:r>
              <w:rPr>
                <w:rFonts w:ascii="Arial" w:hAnsi="Arial" w:eastAsia="Arial" w:cs="Arial"/>
                <w:b w:val="0"/>
                <w:bCs w:val="0"/>
                <w:sz w:val="18"/>
                <w:szCs w:val="18"/>
              </w:rPr>
              <w:t>9.82%</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8DFFA8">
            <w:pPr>
              <w:jc w:val="right"/>
            </w:pPr>
            <w:r>
              <w:rPr>
                <w:rFonts w:ascii="Arial" w:hAnsi="Arial" w:eastAsia="Arial" w:cs="Arial"/>
                <w:b w:val="0"/>
                <w:bCs w:val="0"/>
                <w:sz w:val="18"/>
                <w:szCs w:val="18"/>
              </w:rPr>
              <w:t>1</w:t>
            </w:r>
          </w:p>
        </w:tc>
        <w:tc>
          <w:tcPr>
            <w:tcW w:w="9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57B3B2">
            <w:pPr>
              <w:jc w:val="right"/>
            </w:pPr>
            <w:r>
              <w:rPr>
                <w:rFonts w:ascii="Arial" w:hAnsi="Arial" w:eastAsia="Arial" w:cs="Arial"/>
                <w:b w:val="0"/>
                <w:bCs w:val="0"/>
                <w:sz w:val="18"/>
                <w:szCs w:val="18"/>
              </w:rPr>
              <w:t>0.377</w:t>
            </w:r>
          </w:p>
        </w:tc>
      </w:tr>
      <w:tr w14:paraId="7FA6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738A430">
            <w:pPr>
              <w:jc w:val="left"/>
            </w:pPr>
            <w:r>
              <w:rPr>
                <w:rFonts w:ascii="Arial" w:hAnsi="Arial" w:eastAsia="Arial" w:cs="Arial"/>
                <w:b/>
                <w:bCs/>
                <w:sz w:val="18"/>
                <w:szCs w:val="18"/>
              </w:rPr>
              <w:t>pure_v3</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C0874F4">
            <w:pPr>
              <w:jc w:val="left"/>
            </w:pPr>
            <w:r>
              <w:rPr>
                <w:rFonts w:ascii="Arial" w:hAnsi="Arial" w:eastAsia="Arial" w:cs="Arial"/>
                <w:b w:val="0"/>
                <w:bCs w:val="0"/>
                <w:sz w:val="18"/>
                <w:szCs w:val="18"/>
              </w:rPr>
              <w:t>typical</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CC7C362">
            <w:pPr>
              <w:jc w:val="right"/>
            </w:pPr>
            <w:r>
              <w:rPr>
                <w:rFonts w:ascii="Arial" w:hAnsi="Arial" w:eastAsia="Arial" w:cs="Arial"/>
                <w:b w:val="0"/>
                <w:bCs w:val="0"/>
                <w:sz w:val="18"/>
                <w:szCs w:val="18"/>
              </w:rPr>
              <w:t>0.745</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9F99880">
            <w:pPr>
              <w:jc w:val="right"/>
            </w:pPr>
            <w:r>
              <w:rPr>
                <w:rFonts w:ascii="Arial" w:hAnsi="Arial" w:eastAsia="Arial" w:cs="Arial"/>
                <w:b w:val="0"/>
                <w:bCs w:val="0"/>
                <w:sz w:val="18"/>
                <w:szCs w:val="18"/>
              </w:rPr>
              <w:t>0.126</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1949CCA">
            <w:pPr>
              <w:jc w:val="right"/>
            </w:pPr>
            <w:r>
              <w:rPr>
                <w:rFonts w:ascii="Arial" w:hAnsi="Arial" w:eastAsia="Arial" w:cs="Arial"/>
                <w:b w:val="0"/>
                <w:bCs w:val="0"/>
                <w:sz w:val="18"/>
                <w:szCs w:val="18"/>
              </w:rPr>
              <w:t>6.55%</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75FB1F2">
            <w:pPr>
              <w:jc w:val="right"/>
            </w:pPr>
            <w:r>
              <w:rPr>
                <w:rFonts w:ascii="Arial" w:hAnsi="Arial" w:eastAsia="Arial" w:cs="Arial"/>
                <w:b w:val="0"/>
                <w:bCs w:val="0"/>
                <w:sz w:val="18"/>
                <w:szCs w:val="18"/>
              </w:rPr>
              <w:t>1</w:t>
            </w:r>
          </w:p>
        </w:tc>
        <w:tc>
          <w:tcPr>
            <w:tcW w:w="95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39400F2">
            <w:pPr>
              <w:jc w:val="right"/>
            </w:pPr>
            <w:r>
              <w:rPr>
                <w:rFonts w:ascii="Arial" w:hAnsi="Arial" w:eastAsia="Arial" w:cs="Arial"/>
                <w:b w:val="0"/>
                <w:bCs w:val="0"/>
                <w:sz w:val="18"/>
                <w:szCs w:val="18"/>
              </w:rPr>
              <w:t>0.333</w:t>
            </w:r>
          </w:p>
        </w:tc>
      </w:tr>
      <w:tr w14:paraId="4EC3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826E68">
            <w:pPr>
              <w:jc w:val="left"/>
            </w:pPr>
            <w:r>
              <w:rPr>
                <w:rFonts w:ascii="Arial" w:hAnsi="Arial" w:eastAsia="Arial" w:cs="Arial"/>
                <w:b/>
                <w:bCs/>
                <w:sz w:val="18"/>
                <w:szCs w:val="18"/>
              </w:rPr>
              <w:t>direct_v35</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87580C">
            <w:pPr>
              <w:jc w:val="left"/>
            </w:pPr>
            <w:r>
              <w:rPr>
                <w:rFonts w:ascii="Arial" w:hAnsi="Arial" w:eastAsia="Arial" w:cs="Arial"/>
                <w:b w:val="0"/>
                <w:bCs w:val="0"/>
                <w:sz w:val="18"/>
                <w:szCs w:val="18"/>
              </w:rPr>
              <w:t>peak</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7B850B">
            <w:pPr>
              <w:jc w:val="right"/>
            </w:pPr>
            <w:r>
              <w:rPr>
                <w:rFonts w:ascii="Arial" w:hAnsi="Arial" w:eastAsia="Arial" w:cs="Arial"/>
                <w:b w:val="0"/>
                <w:bCs w:val="0"/>
                <w:sz w:val="18"/>
                <w:szCs w:val="18"/>
              </w:rPr>
              <w:t>4.320</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ABFCA3">
            <w:pPr>
              <w:jc w:val="right"/>
            </w:pPr>
            <w:r>
              <w:rPr>
                <w:rFonts w:ascii="Arial" w:hAnsi="Arial" w:eastAsia="Arial" w:cs="Arial"/>
                <w:b w:val="0"/>
                <w:bCs w:val="0"/>
                <w:sz w:val="18"/>
                <w:szCs w:val="18"/>
              </w:rPr>
              <w:t>1.046</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0FD299">
            <w:pPr>
              <w:jc w:val="right"/>
            </w:pPr>
            <w:r>
              <w:rPr>
                <w:rFonts w:ascii="Arial" w:hAnsi="Arial" w:eastAsia="Arial" w:cs="Arial"/>
                <w:b w:val="0"/>
                <w:bCs w:val="0"/>
                <w:sz w:val="18"/>
                <w:szCs w:val="18"/>
              </w:rPr>
              <w:t>77.08%</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A1BF14">
            <w:pPr>
              <w:jc w:val="right"/>
            </w:pPr>
            <w:r>
              <w:rPr>
                <w:rFonts w:ascii="Arial" w:hAnsi="Arial" w:eastAsia="Arial" w:cs="Arial"/>
                <w:b w:val="0"/>
                <w:bCs w:val="0"/>
                <w:sz w:val="18"/>
                <w:szCs w:val="18"/>
              </w:rPr>
              <w:t>1</w:t>
            </w:r>
          </w:p>
        </w:tc>
        <w:tc>
          <w:tcPr>
            <w:tcW w:w="9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4DA3EF">
            <w:pPr>
              <w:jc w:val="right"/>
            </w:pPr>
            <w:r>
              <w:rPr>
                <w:rFonts w:ascii="Arial" w:hAnsi="Arial" w:eastAsia="Arial" w:cs="Arial"/>
                <w:b w:val="0"/>
                <w:bCs w:val="0"/>
                <w:sz w:val="18"/>
                <w:szCs w:val="18"/>
              </w:rPr>
              <w:t>2.000</w:t>
            </w:r>
          </w:p>
        </w:tc>
      </w:tr>
      <w:tr w14:paraId="099C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DC320C9">
            <w:pPr>
              <w:jc w:val="left"/>
            </w:pPr>
            <w:r>
              <w:rPr>
                <w:rFonts w:ascii="Arial" w:hAnsi="Arial" w:eastAsia="Arial" w:cs="Arial"/>
                <w:b/>
                <w:bCs/>
                <w:sz w:val="18"/>
                <w:szCs w:val="18"/>
              </w:rPr>
              <w:t>direct_v35</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9542191">
            <w:pPr>
              <w:jc w:val="left"/>
            </w:pPr>
            <w:r>
              <w:rPr>
                <w:rFonts w:ascii="Arial" w:hAnsi="Arial" w:eastAsia="Arial" w:cs="Arial"/>
                <w:b w:val="0"/>
                <w:bCs w:val="0"/>
                <w:sz w:val="18"/>
                <w:szCs w:val="18"/>
              </w:rPr>
              <w:t>typical</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9648E5E">
            <w:pPr>
              <w:jc w:val="right"/>
            </w:pPr>
            <w:r>
              <w:rPr>
                <w:rFonts w:ascii="Arial" w:hAnsi="Arial" w:eastAsia="Arial" w:cs="Arial"/>
                <w:b w:val="0"/>
                <w:bCs w:val="0"/>
                <w:sz w:val="18"/>
                <w:szCs w:val="18"/>
              </w:rPr>
              <w:t>4.401</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152DBE0">
            <w:pPr>
              <w:jc w:val="right"/>
            </w:pPr>
            <w:r>
              <w:rPr>
                <w:rFonts w:ascii="Arial" w:hAnsi="Arial" w:eastAsia="Arial" w:cs="Arial"/>
                <w:b w:val="0"/>
                <w:bCs w:val="0"/>
                <w:sz w:val="18"/>
                <w:szCs w:val="18"/>
              </w:rPr>
              <w:t>1.102</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A931F3D">
            <w:pPr>
              <w:jc w:val="right"/>
            </w:pPr>
            <w:r>
              <w:rPr>
                <w:rFonts w:ascii="Arial" w:hAnsi="Arial" w:eastAsia="Arial" w:cs="Arial"/>
                <w:b w:val="0"/>
                <w:bCs w:val="0"/>
                <w:sz w:val="18"/>
                <w:szCs w:val="18"/>
              </w:rPr>
              <w:t>82.37%</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13A4B0D">
            <w:pPr>
              <w:jc w:val="right"/>
            </w:pPr>
            <w:r>
              <w:rPr>
                <w:rFonts w:ascii="Arial" w:hAnsi="Arial" w:eastAsia="Arial" w:cs="Arial"/>
                <w:b w:val="0"/>
                <w:bCs w:val="0"/>
                <w:sz w:val="18"/>
                <w:szCs w:val="18"/>
              </w:rPr>
              <w:t>1</w:t>
            </w:r>
          </w:p>
        </w:tc>
        <w:tc>
          <w:tcPr>
            <w:tcW w:w="95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663AE09">
            <w:pPr>
              <w:jc w:val="right"/>
            </w:pPr>
            <w:r>
              <w:rPr>
                <w:rFonts w:ascii="Arial" w:hAnsi="Arial" w:eastAsia="Arial" w:cs="Arial"/>
                <w:b w:val="0"/>
                <w:bCs w:val="0"/>
                <w:sz w:val="18"/>
                <w:szCs w:val="18"/>
              </w:rPr>
              <w:t>2.014</w:t>
            </w:r>
          </w:p>
        </w:tc>
      </w:tr>
      <w:tr w14:paraId="6EC7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0F0227">
            <w:pPr>
              <w:jc w:val="left"/>
            </w:pPr>
            <w:r>
              <w:rPr>
                <w:rFonts w:ascii="Arial" w:hAnsi="Arial" w:eastAsia="Arial" w:cs="Arial"/>
                <w:b/>
                <w:bCs/>
                <w:sz w:val="18"/>
                <w:szCs w:val="18"/>
              </w:rPr>
              <w:t>hybrid_l010</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9C5B52">
            <w:pPr>
              <w:jc w:val="left"/>
            </w:pPr>
            <w:r>
              <w:rPr>
                <w:rFonts w:ascii="Arial" w:hAnsi="Arial" w:eastAsia="Arial" w:cs="Arial"/>
                <w:b w:val="0"/>
                <w:bCs w:val="0"/>
                <w:sz w:val="18"/>
                <w:szCs w:val="18"/>
              </w:rPr>
              <w:t>peak</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58C93C">
            <w:pPr>
              <w:jc w:val="right"/>
            </w:pPr>
            <w:r>
              <w:rPr>
                <w:rFonts w:ascii="Arial" w:hAnsi="Arial" w:eastAsia="Arial" w:cs="Arial"/>
                <w:b w:val="0"/>
                <w:bCs w:val="0"/>
                <w:sz w:val="18"/>
                <w:szCs w:val="18"/>
              </w:rPr>
              <w:t>0.633</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1F8E28">
            <w:pPr>
              <w:jc w:val="right"/>
            </w:pPr>
            <w:r>
              <w:rPr>
                <w:rFonts w:ascii="Arial" w:hAnsi="Arial" w:eastAsia="Arial" w:cs="Arial"/>
                <w:b w:val="0"/>
                <w:bCs w:val="0"/>
                <w:sz w:val="18"/>
                <w:szCs w:val="18"/>
              </w:rPr>
              <w:t>0.033</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AFB761">
            <w:pPr>
              <w:jc w:val="right"/>
            </w:pPr>
            <w:r>
              <w:rPr>
                <w:rFonts w:ascii="Arial" w:hAnsi="Arial" w:eastAsia="Arial" w:cs="Arial"/>
                <w:b w:val="0"/>
                <w:bCs w:val="0"/>
                <w:sz w:val="18"/>
                <w:szCs w:val="18"/>
              </w:rPr>
              <w:t>1.41%</w:t>
            </w:r>
          </w:p>
        </w:tc>
        <w:tc>
          <w:tcPr>
            <w:tcW w:w="117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5F4F04">
            <w:pPr>
              <w:jc w:val="right"/>
            </w:pPr>
            <w:r>
              <w:rPr>
                <w:rFonts w:ascii="Arial" w:hAnsi="Arial" w:eastAsia="Arial" w:cs="Arial"/>
                <w:b w:val="0"/>
                <w:bCs w:val="0"/>
                <w:sz w:val="18"/>
                <w:szCs w:val="18"/>
              </w:rPr>
              <w:t>1</w:t>
            </w:r>
          </w:p>
        </w:tc>
        <w:tc>
          <w:tcPr>
            <w:tcW w:w="95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487B3B">
            <w:pPr>
              <w:jc w:val="right"/>
            </w:pPr>
            <w:r>
              <w:rPr>
                <w:rFonts w:ascii="Arial" w:hAnsi="Arial" w:eastAsia="Arial" w:cs="Arial"/>
                <w:b w:val="0"/>
                <w:bCs w:val="0"/>
                <w:sz w:val="18"/>
                <w:szCs w:val="18"/>
              </w:rPr>
              <w:t>0.473</w:t>
            </w:r>
          </w:p>
        </w:tc>
      </w:tr>
      <w:tr w14:paraId="0776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18D2946">
            <w:pPr>
              <w:jc w:val="left"/>
            </w:pPr>
            <w:r>
              <w:rPr>
                <w:rFonts w:ascii="Arial" w:hAnsi="Arial" w:eastAsia="Arial" w:cs="Arial"/>
                <w:b/>
                <w:bCs/>
                <w:sz w:val="18"/>
                <w:szCs w:val="18"/>
              </w:rPr>
              <w:t>hybrid_l010</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5571BCE">
            <w:pPr>
              <w:jc w:val="left"/>
            </w:pPr>
            <w:r>
              <w:rPr>
                <w:rFonts w:ascii="Arial" w:hAnsi="Arial" w:eastAsia="Arial" w:cs="Arial"/>
                <w:b w:val="0"/>
                <w:bCs w:val="0"/>
                <w:sz w:val="18"/>
                <w:szCs w:val="18"/>
              </w:rPr>
              <w:t>typical</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C9CCADE">
            <w:pPr>
              <w:jc w:val="right"/>
            </w:pPr>
            <w:r>
              <w:rPr>
                <w:rFonts w:ascii="Arial" w:hAnsi="Arial" w:eastAsia="Arial" w:cs="Arial"/>
                <w:b w:val="0"/>
                <w:bCs w:val="0"/>
                <w:sz w:val="18"/>
                <w:szCs w:val="18"/>
              </w:rPr>
              <w:t>0.612</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D727AD1">
            <w:pPr>
              <w:jc w:val="right"/>
            </w:pPr>
            <w:r>
              <w:rPr>
                <w:rFonts w:ascii="Arial" w:hAnsi="Arial" w:eastAsia="Arial" w:cs="Arial"/>
                <w:b w:val="0"/>
                <w:bCs w:val="0"/>
                <w:sz w:val="18"/>
                <w:szCs w:val="18"/>
              </w:rPr>
              <w:t>0.021</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2CB548A">
            <w:pPr>
              <w:jc w:val="right"/>
            </w:pPr>
            <w:r>
              <w:rPr>
                <w:rFonts w:ascii="Arial" w:hAnsi="Arial" w:eastAsia="Arial" w:cs="Arial"/>
                <w:b w:val="0"/>
                <w:bCs w:val="0"/>
                <w:sz w:val="18"/>
                <w:szCs w:val="18"/>
              </w:rPr>
              <w:t>0.37%</w:t>
            </w:r>
          </w:p>
        </w:tc>
        <w:tc>
          <w:tcPr>
            <w:tcW w:w="117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FF68556">
            <w:pPr>
              <w:jc w:val="right"/>
            </w:pPr>
            <w:r>
              <w:rPr>
                <w:rFonts w:ascii="Arial" w:hAnsi="Arial" w:eastAsia="Arial" w:cs="Arial"/>
                <w:b w:val="0"/>
                <w:bCs w:val="0"/>
                <w:sz w:val="18"/>
                <w:szCs w:val="18"/>
              </w:rPr>
              <w:t>16</w:t>
            </w:r>
          </w:p>
        </w:tc>
        <w:tc>
          <w:tcPr>
            <w:tcW w:w="95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0F2791F">
            <w:pPr>
              <w:jc w:val="right"/>
            </w:pPr>
            <w:r>
              <w:rPr>
                <w:rFonts w:ascii="Arial" w:hAnsi="Arial" w:eastAsia="Arial" w:cs="Arial"/>
                <w:b w:val="0"/>
                <w:bCs w:val="0"/>
                <w:sz w:val="18"/>
                <w:szCs w:val="18"/>
              </w:rPr>
              <w:t>0.253</w:t>
            </w:r>
          </w:p>
        </w:tc>
      </w:tr>
    </w:tbl>
    <w:p w14:paraId="102A2134">
      <w:pPr>
        <w:spacing w:before="80" w:after="200"/>
        <w:jc w:val="center"/>
      </w:pPr>
      <w:r>
        <w:rPr>
          <w:rFonts w:ascii="Arial" w:hAnsi="Arial" w:eastAsia="Arial" w:cs="Arial"/>
          <w:i/>
          <w:iCs/>
          <w:color w:val="555555"/>
          <w:sz w:val="19"/>
          <w:szCs w:val="19"/>
        </w:rPr>
        <w:t>Source: reports/hybrid_transfer_comparison.csv → boptest_m_s column. Note: m_s values here (pure_v3: 0.156/0.126, hybrid: 0.033/0.021) differ from Table 4.1 (0.073/0.095 and 0.087/0.041) because the two tables come from different CSV columns: Table 4.1 uses peak_control_m_s from architecture_justification_table.csv (a per-architecture summary), while this table uses boptest_m_s from the transfer-comparison protocol. Both are correct within their respective evaluation scope. first_divergence_step = 1 means the policy and BOPTEST disagree from step 1. Only hybrid_l010 on the typical window keeps the same action as BOPTEST for 16 steps (4 hours). action_gap_norm = 2.0 for direct_v35 means the policy saturates against the action bounds throughout the episode.</w:t>
      </w:r>
    </w:p>
    <w:p w14:paraId="3E265B33">
      <w:pPr>
        <w:spacing w:after="160"/>
        <w:jc w:val="both"/>
      </w:pPr>
      <w:r>
        <w:rPr>
          <w:rFonts w:ascii="Arial" w:hAnsi="Arial" w:eastAsia="Arial" w:cs="Arial"/>
          <w:b w:val="0"/>
          <w:bCs w:val="0"/>
          <w:i w:val="0"/>
          <w:iCs w:val="0"/>
          <w:sz w:val="22"/>
          <w:szCs w:val="22"/>
        </w:rPr>
        <w:t>The most diagnostic line of Table 6.1 is the action_gap_norm column. For pure_v3 the integrated gap is ~0.35 — the policy mostly tracks the action distribution that BOPTEST would also select. For hybrid_l010 the gap is similar (0.47 peak, 0.25 typical), which is consistent with hybrid being a regularised v3 rather than a fundamentally different policy. For direct_v35 the gap is exactly 2.0 on both windows. The action space is normalised to [−1, +1]; a gap of 2.0 means the policy is constantly choosing one extreme while BOPTEST would choose the opposite. In other words, the v3.5-trained policy has learned an extremum bang-bang behaviour against v3.5 that is wholly inconsistent with what BOPTEST actually rewards.</w:t>
      </w:r>
    </w:p>
    <w:p w14:paraId="23717230">
      <w:pPr>
        <w:spacing w:after="160"/>
        <w:jc w:val="both"/>
      </w:pPr>
      <w:r>
        <w:rPr>
          <w:rFonts w:ascii="Arial" w:hAnsi="Arial" w:eastAsia="Arial" w:cs="Arial"/>
          <w:b w:val="0"/>
          <w:bCs w:val="0"/>
          <w:i w:val="0"/>
          <w:iCs w:val="0"/>
          <w:sz w:val="22"/>
          <w:szCs w:val="22"/>
        </w:rPr>
        <w:t>The first_divergence_step diagnostic adds the temporal dimension. For pure_v3 and direct_v35 both windows show first_divergence_step = 1: the policies disagree with BOPTEST from the very first action. For hybrid_l010 the peak window also shows step 1 — peak heating is a regime where even small surrogate-vs-BOPTEST gaps quickly amplify — but the typical window shows step 16. That is the first window where the hybrid keeps the policy on the BOPTEST-consistent action for four hours before drifting, and it is the operational explanation for why the hybrid achieves the lowest typical-window RMSE (0.612 °C) in the project: the regulariser keeps the policy in a region of the action space that BOPTEST also considers optimal, until external disturbances eventually push the policy elsewhere.</w:t>
      </w:r>
    </w:p>
    <w:p w14:paraId="11A1F062">
      <w:r>
        <w:br w:type="page"/>
      </w:r>
    </w:p>
    <w:p w14:paraId="2D278E51">
      <w:pPr>
        <w:pStyle w:val="2"/>
        <w:spacing w:before="300" w:after="120"/>
      </w:pPr>
      <w:r>
        <w:rPr>
          <w:rFonts w:ascii="Arial" w:hAnsi="Arial" w:eastAsia="Arial" w:cs="Arial"/>
        </w:rPr>
        <w:t>7. Figure Provenance and Q1 Presentation Logic</w:t>
      </w:r>
    </w:p>
    <w:p w14:paraId="7945959A">
      <w:pPr>
        <w:spacing w:after="160"/>
        <w:jc w:val="both"/>
      </w:pPr>
      <w:r>
        <w:rPr>
          <w:rFonts w:ascii="Arial" w:hAnsi="Arial" w:eastAsia="Arial" w:cs="Arial"/>
          <w:b w:val="0"/>
          <w:bCs w:val="0"/>
          <w:i w:val="0"/>
          <w:iCs w:val="0"/>
          <w:sz w:val="22"/>
          <w:szCs w:val="22"/>
        </w:rPr>
        <w:t>The Block 1 figures are presented once, in strict numerical order, near the beginning of the dossier. This section records the exact source files so the figure-led narrative remains auditable and reviewer-facing. The removed gallery entries that described Block 3 C_zon transferability are intentionally not repeated here because they belong to the transferability results section, not Block 1.</w:t>
      </w:r>
    </w:p>
    <w:p w14:paraId="2A97F3FB">
      <w:pPr>
        <w:spacing w:before="200" w:after="60"/>
      </w:pPr>
      <w:r>
        <w:rPr>
          <w:rFonts w:ascii="Arial" w:hAnsi="Arial" w:eastAsia="Arial" w:cs="Arial"/>
          <w:b/>
          <w:bCs/>
          <w:color w:val="1F4E79"/>
          <w:sz w:val="20"/>
          <w:szCs w:val="20"/>
        </w:rPr>
        <w:t>Table 7.1 — Embedded Block 1 figure provenance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3"/>
        <w:gridCol w:w="4033"/>
        <w:gridCol w:w="4454"/>
      </w:tblGrid>
      <w:tr w14:paraId="7915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584778D">
            <w:r>
              <w:rPr>
                <w:rFonts w:ascii="Arial" w:hAnsi="Arial" w:eastAsia="Arial" w:cs="Arial"/>
                <w:b/>
                <w:bCs/>
                <w:color w:val="FFFFFF"/>
                <w:sz w:val="18"/>
                <w:szCs w:val="18"/>
              </w:rPr>
              <w:t>Figure</w:t>
            </w:r>
          </w:p>
        </w:tc>
        <w:tc>
          <w:tcPr>
            <w:tcW w:w="33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47FA886">
            <w:r>
              <w:rPr>
                <w:rFonts w:ascii="Arial" w:hAnsi="Arial" w:eastAsia="Arial" w:cs="Arial"/>
                <w:b/>
                <w:bCs/>
                <w:color w:val="FFFFFF"/>
                <w:sz w:val="18"/>
                <w:szCs w:val="18"/>
              </w:rPr>
              <w:t>File</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5F55EDF">
            <w:r>
              <w:rPr>
                <w:rFonts w:ascii="Arial" w:hAnsi="Arial" w:eastAsia="Arial" w:cs="Arial"/>
                <w:b/>
                <w:bCs/>
                <w:color w:val="FFFFFF"/>
                <w:sz w:val="18"/>
                <w:szCs w:val="18"/>
              </w:rPr>
              <w:t>Claim supported</w:t>
            </w:r>
          </w:p>
        </w:tc>
      </w:tr>
      <w:tr w14:paraId="76F8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D66D13">
            <w:pPr>
              <w:jc w:val="left"/>
            </w:pPr>
            <w:r>
              <w:rPr>
                <w:rFonts w:ascii="Arial" w:hAnsi="Arial" w:eastAsia="Arial" w:cs="Arial"/>
                <w:b/>
                <w:bCs/>
                <w:sz w:val="18"/>
                <w:szCs w:val="18"/>
              </w:rPr>
              <w:t>1</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B4A07">
            <w:pPr>
              <w:jc w:val="left"/>
            </w:pPr>
            <w:r>
              <w:rPr>
                <w:rFonts w:ascii="Arial" w:hAnsi="Arial" w:eastAsia="Arial" w:cs="Arial"/>
                <w:b w:val="0"/>
                <w:bCs w:val="0"/>
                <w:sz w:val="18"/>
                <w:szCs w:val="18"/>
              </w:rPr>
              <w:t>block1_q1_fig01_pipeline.png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EFD1E3">
            <w:pPr>
              <w:jc w:val="left"/>
            </w:pPr>
            <w:r>
              <w:rPr>
                <w:rFonts w:ascii="Arial" w:hAnsi="Arial" w:eastAsia="Arial" w:cs="Arial"/>
                <w:b w:val="0"/>
                <w:bCs w:val="0"/>
                <w:sz w:val="18"/>
                <w:szCs w:val="18"/>
              </w:rPr>
              <w:t>End-to-end Block 1 workflow from BOPTEST telemetry to live validation.</w:t>
            </w:r>
          </w:p>
        </w:tc>
      </w:tr>
      <w:tr w14:paraId="779D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F782156">
            <w:pPr>
              <w:jc w:val="left"/>
            </w:pPr>
            <w:r>
              <w:rPr>
                <w:rFonts w:ascii="Arial" w:hAnsi="Arial" w:eastAsia="Arial" w:cs="Arial"/>
                <w:b/>
                <w:bCs/>
                <w:sz w:val="18"/>
                <w:szCs w:val="18"/>
              </w:rPr>
              <w:t>2</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D6B2FA2">
            <w:pPr>
              <w:jc w:val="left"/>
            </w:pPr>
            <w:r>
              <w:rPr>
                <w:rFonts w:ascii="Arial" w:hAnsi="Arial" w:eastAsia="Arial" w:cs="Arial"/>
                <w:b w:val="0"/>
                <w:bCs w:val="0"/>
                <w:sz w:val="18"/>
                <w:szCs w:val="18"/>
              </w:rPr>
              <w:t>block1_q1_fig02_v3_dual_head.png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DDD6B12">
            <w:pPr>
              <w:jc w:val="left"/>
            </w:pPr>
            <w:r>
              <w:rPr>
                <w:rFonts w:ascii="Arial" w:hAnsi="Arial" w:eastAsia="Arial" w:cs="Arial"/>
                <w:b w:val="0"/>
                <w:bCs w:val="0"/>
                <w:sz w:val="18"/>
                <w:szCs w:val="18"/>
              </w:rPr>
              <w:t>Compact dual-head v3 architecture and its two prediction heads.</w:t>
            </w:r>
          </w:p>
        </w:tc>
      </w:tr>
      <w:tr w14:paraId="095B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72E1B7">
            <w:pPr>
              <w:jc w:val="left"/>
            </w:pPr>
            <w:r>
              <w:rPr>
                <w:rFonts w:ascii="Arial" w:hAnsi="Arial" w:eastAsia="Arial" w:cs="Arial"/>
                <w:b/>
                <w:bCs/>
                <w:sz w:val="18"/>
                <w:szCs w:val="18"/>
              </w:rPr>
              <w:t>3</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0F6437">
            <w:pPr>
              <w:jc w:val="left"/>
            </w:pPr>
            <w:r>
              <w:rPr>
                <w:rFonts w:ascii="Arial" w:hAnsi="Arial" w:eastAsia="Arial" w:cs="Arial"/>
                <w:b w:val="0"/>
                <w:bCs w:val="0"/>
                <w:sz w:val="18"/>
                <w:szCs w:val="18"/>
              </w:rPr>
              <w:t>block1_q1_fig03_stage_abc_improvement.png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37CE1B">
            <w:pPr>
              <w:jc w:val="left"/>
            </w:pPr>
            <w:r>
              <w:rPr>
                <w:rFonts w:ascii="Arial" w:hAnsi="Arial" w:eastAsia="Arial" w:cs="Arial"/>
                <w:b w:val="0"/>
                <w:bCs w:val="0"/>
                <w:sz w:val="18"/>
                <w:szCs w:val="18"/>
              </w:rPr>
              <w:t>Before/after effect of Stage A/B/C on temperature and power fidelity.</w:t>
            </w:r>
          </w:p>
        </w:tc>
      </w:tr>
      <w:tr w14:paraId="49E5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8C74241">
            <w:pPr>
              <w:jc w:val="left"/>
            </w:pPr>
            <w:r>
              <w:rPr>
                <w:rFonts w:ascii="Arial" w:hAnsi="Arial" w:eastAsia="Arial" w:cs="Arial"/>
                <w:b/>
                <w:bCs/>
                <w:sz w:val="18"/>
                <w:szCs w:val="18"/>
              </w:rPr>
              <w:t>4</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D4730F8">
            <w:pPr>
              <w:jc w:val="left"/>
            </w:pPr>
            <w:r>
              <w:rPr>
                <w:rFonts w:ascii="Arial" w:hAnsi="Arial" w:eastAsia="Arial" w:cs="Arial"/>
                <w:b w:val="0"/>
                <w:bCs w:val="0"/>
                <w:sz w:val="18"/>
                <w:szCs w:val="18"/>
              </w:rPr>
              <w:t>block1_q1_fig04_czon_identification.png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0C7AC5D">
            <w:pPr>
              <w:jc w:val="left"/>
            </w:pPr>
            <w:r>
              <w:rPr>
                <w:rFonts w:ascii="Arial" w:hAnsi="Arial" w:eastAsia="Arial" w:cs="Arial"/>
                <w:b w:val="0"/>
                <w:bCs w:val="0"/>
                <w:sz w:val="18"/>
                <w:szCs w:val="18"/>
              </w:rPr>
              <w:t>Bayesian inverse trajectory of C_zon during Stage B.</w:t>
            </w:r>
          </w:p>
        </w:tc>
      </w:tr>
      <w:tr w14:paraId="12E8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09306B">
            <w:pPr>
              <w:jc w:val="left"/>
            </w:pPr>
            <w:r>
              <w:rPr>
                <w:rFonts w:ascii="Arial" w:hAnsi="Arial" w:eastAsia="Arial" w:cs="Arial"/>
                <w:b/>
                <w:bCs/>
                <w:sz w:val="18"/>
                <w:szCs w:val="18"/>
              </w:rPr>
              <w:t>5</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D4C73B">
            <w:pPr>
              <w:jc w:val="left"/>
            </w:pPr>
            <w:r>
              <w:rPr>
                <w:rFonts w:ascii="Arial" w:hAnsi="Arial" w:eastAsia="Arial" w:cs="Arial"/>
                <w:b w:val="0"/>
                <w:bCs w:val="0"/>
                <w:sz w:val="18"/>
                <w:szCs w:val="18"/>
              </w:rPr>
              <w:t>block1_q1_fig05_matched_corpus_rmse.png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CEC268">
            <w:pPr>
              <w:jc w:val="left"/>
            </w:pPr>
            <w:r>
              <w:rPr>
                <w:rFonts w:ascii="Arial" w:hAnsi="Arial" w:eastAsia="Arial" w:cs="Arial"/>
                <w:b w:val="0"/>
                <w:bCs w:val="0"/>
                <w:sz w:val="18"/>
                <w:szCs w:val="18"/>
              </w:rPr>
              <w:t>Corpus-controlled 24h RMSE comparison across four variants.</w:t>
            </w:r>
          </w:p>
        </w:tc>
      </w:tr>
      <w:tr w14:paraId="32DC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52FE898">
            <w:pPr>
              <w:jc w:val="left"/>
            </w:pPr>
            <w:r>
              <w:rPr>
                <w:rFonts w:ascii="Arial" w:hAnsi="Arial" w:eastAsia="Arial" w:cs="Arial"/>
                <w:b/>
                <w:bCs/>
                <w:sz w:val="18"/>
                <w:szCs w:val="18"/>
              </w:rPr>
              <w:t>6</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70B48CB">
            <w:pPr>
              <w:jc w:val="left"/>
            </w:pPr>
            <w:r>
              <w:rPr>
                <w:rFonts w:ascii="Arial" w:hAnsi="Arial" w:eastAsia="Arial" w:cs="Arial"/>
                <w:b w:val="0"/>
                <w:bCs w:val="0"/>
                <w:sz w:val="18"/>
                <w:szCs w:val="18"/>
              </w:rPr>
              <w:t>block1_q1_fig06_fidelity_gain_waterfall.png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AF85BB3">
            <w:pPr>
              <w:jc w:val="left"/>
            </w:pPr>
            <w:r>
              <w:rPr>
                <w:rFonts w:ascii="Arial" w:hAnsi="Arial" w:eastAsia="Arial" w:cs="Arial"/>
                <w:b w:val="0"/>
                <w:bCs w:val="0"/>
                <w:sz w:val="18"/>
                <w:szCs w:val="18"/>
              </w:rPr>
              <w:t>Attribution of the v3-to-v3.5 gain to corpus shift and calibration.</w:t>
            </w:r>
          </w:p>
        </w:tc>
      </w:tr>
      <w:tr w14:paraId="6385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6B1176">
            <w:pPr>
              <w:jc w:val="left"/>
            </w:pPr>
            <w:r>
              <w:rPr>
                <w:rFonts w:ascii="Arial" w:hAnsi="Arial" w:eastAsia="Arial" w:cs="Arial"/>
                <w:b/>
                <w:bCs/>
                <w:sz w:val="18"/>
                <w:szCs w:val="18"/>
              </w:rPr>
              <w:t>7</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C71C93">
            <w:pPr>
              <w:jc w:val="left"/>
            </w:pPr>
            <w:r>
              <w:rPr>
                <w:rFonts w:ascii="Arial" w:hAnsi="Arial" w:eastAsia="Arial" w:cs="Arial"/>
                <w:b w:val="0"/>
                <w:bCs w:val="0"/>
                <w:sz w:val="18"/>
                <w:szCs w:val="18"/>
              </w:rPr>
              <w:t>block1_q1_fig07_fidelity_vs_rl_utility.png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A67B8A">
            <w:pPr>
              <w:jc w:val="left"/>
            </w:pPr>
            <w:r>
              <w:rPr>
                <w:rFonts w:ascii="Arial" w:hAnsi="Arial" w:eastAsia="Arial" w:cs="Arial"/>
                <w:b w:val="0"/>
                <w:bCs w:val="0"/>
                <w:sz w:val="18"/>
                <w:szCs w:val="18"/>
              </w:rPr>
              <w:t>Predictive fidelity vs live RL training utility paradox.</w:t>
            </w:r>
          </w:p>
        </w:tc>
      </w:tr>
      <w:tr w14:paraId="6148A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506BB8B">
            <w:pPr>
              <w:jc w:val="left"/>
            </w:pPr>
            <w:r>
              <w:rPr>
                <w:rFonts w:ascii="Arial" w:hAnsi="Arial" w:eastAsia="Arial" w:cs="Arial"/>
                <w:b/>
                <w:bCs/>
                <w:sz w:val="18"/>
                <w:szCs w:val="18"/>
              </w:rPr>
              <w:t>8</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D9AB2A3">
            <w:pPr>
              <w:jc w:val="left"/>
            </w:pPr>
            <w:r>
              <w:rPr>
                <w:rFonts w:ascii="Arial" w:hAnsi="Arial" w:eastAsia="Arial" w:cs="Arial"/>
                <w:b w:val="0"/>
                <w:bCs w:val="0"/>
                <w:sz w:val="18"/>
                <w:szCs w:val="18"/>
              </w:rPr>
              <w:t>block1_q1_fig08_live_boptest_performance.png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D0F11DF">
            <w:pPr>
              <w:jc w:val="left"/>
            </w:pPr>
            <w:r>
              <w:rPr>
                <w:rFonts w:ascii="Arial" w:hAnsi="Arial" w:eastAsia="Arial" w:cs="Arial"/>
                <w:b w:val="0"/>
                <w:bCs w:val="0"/>
                <w:sz w:val="18"/>
                <w:szCs w:val="18"/>
              </w:rPr>
              <w:t>Live BOPTEST maintenance score and energy comparison.</w:t>
            </w:r>
          </w:p>
        </w:tc>
      </w:tr>
      <w:tr w14:paraId="0287B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8CE258">
            <w:pPr>
              <w:jc w:val="left"/>
            </w:pPr>
            <w:r>
              <w:rPr>
                <w:rFonts w:ascii="Arial" w:hAnsi="Arial" w:eastAsia="Arial" w:cs="Arial"/>
                <w:b/>
                <w:bCs/>
                <w:sz w:val="18"/>
                <w:szCs w:val="18"/>
              </w:rPr>
              <w:t>9</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0967F2">
            <w:pPr>
              <w:jc w:val="left"/>
            </w:pPr>
            <w:r>
              <w:rPr>
                <w:rFonts w:ascii="Arial" w:hAnsi="Arial" w:eastAsia="Arial" w:cs="Arial"/>
                <w:b w:val="0"/>
                <w:bCs w:val="0"/>
                <w:sz w:val="18"/>
                <w:szCs w:val="18"/>
              </w:rPr>
              <w:t>block1_q1_fig09_backend_speed.png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F7C970">
            <w:pPr>
              <w:jc w:val="left"/>
            </w:pPr>
            <w:r>
              <w:rPr>
                <w:rFonts w:ascii="Arial" w:hAnsi="Arial" w:eastAsia="Arial" w:cs="Arial"/>
                <w:b w:val="0"/>
                <w:bCs w:val="0"/>
                <w:sz w:val="18"/>
                <w:szCs w:val="18"/>
              </w:rPr>
              <w:t>BOPTEST vs surrogate throughput on log-scale.</w:t>
            </w:r>
          </w:p>
        </w:tc>
      </w:tr>
      <w:tr w14:paraId="759C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25ADEF6">
            <w:pPr>
              <w:jc w:val="left"/>
            </w:pPr>
            <w:r>
              <w:rPr>
                <w:rFonts w:ascii="Arial" w:hAnsi="Arial" w:eastAsia="Arial" w:cs="Arial"/>
                <w:b/>
                <w:bCs/>
                <w:sz w:val="18"/>
                <w:szCs w:val="18"/>
              </w:rPr>
              <w:t>10</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1F73954">
            <w:pPr>
              <w:jc w:val="left"/>
            </w:pPr>
            <w:r>
              <w:rPr>
                <w:rFonts w:ascii="Arial" w:hAnsi="Arial" w:eastAsia="Arial" w:cs="Arial"/>
                <w:b w:val="0"/>
                <w:bCs w:val="0"/>
                <w:sz w:val="18"/>
                <w:szCs w:val="18"/>
              </w:rPr>
              <w:t>block1_q1_fig10_transfer_gap_diagnostics.png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C4117F5">
            <w:pPr>
              <w:jc w:val="left"/>
            </w:pPr>
            <w:r>
              <w:rPr>
                <w:rFonts w:ascii="Arial" w:hAnsi="Arial" w:eastAsia="Arial" w:cs="Arial"/>
                <w:b w:val="0"/>
                <w:bCs w:val="0"/>
                <w:sz w:val="18"/>
                <w:szCs w:val="18"/>
              </w:rPr>
              <w:t>Violation, action-gap, and first-divergence diagnostics.</w:t>
            </w:r>
          </w:p>
        </w:tc>
      </w:tr>
      <w:tr w14:paraId="3AEF6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AACE27">
            <w:pPr>
              <w:jc w:val="left"/>
            </w:pPr>
            <w:r>
              <w:rPr>
                <w:rFonts w:ascii="Arial" w:hAnsi="Arial" w:eastAsia="Arial" w:cs="Arial"/>
                <w:b/>
                <w:bCs/>
                <w:sz w:val="18"/>
                <w:szCs w:val="18"/>
              </w:rPr>
              <w:t>11</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F97C88">
            <w:pPr>
              <w:jc w:val="left"/>
            </w:pPr>
            <w:r>
              <w:rPr>
                <w:rFonts w:ascii="Arial" w:hAnsi="Arial" w:eastAsia="Arial" w:cs="Arial"/>
                <w:b w:val="0"/>
                <w:bCs w:val="0"/>
                <w:sz w:val="18"/>
                <w:szCs w:val="18"/>
              </w:rPr>
              <w:t>block1_q1_fig11_action_saturation.png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AD9BBF">
            <w:pPr>
              <w:jc w:val="left"/>
            </w:pPr>
            <w:r>
              <w:rPr>
                <w:rFonts w:ascii="Arial" w:hAnsi="Arial" w:eastAsia="Arial" w:cs="Arial"/>
                <w:b w:val="0"/>
                <w:bCs w:val="0"/>
                <w:sz w:val="18"/>
                <w:szCs w:val="18"/>
              </w:rPr>
              <w:t>Raw action distribution showing direct-v3.5 saturation.</w:t>
            </w:r>
          </w:p>
        </w:tc>
      </w:tr>
      <w:tr w14:paraId="65A7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C4E9C5B">
            <w:pPr>
              <w:jc w:val="left"/>
            </w:pPr>
            <w:r>
              <w:rPr>
                <w:rFonts w:ascii="Arial" w:hAnsi="Arial" w:eastAsia="Arial" w:cs="Arial"/>
                <w:b/>
                <w:bCs/>
                <w:sz w:val="18"/>
                <w:szCs w:val="18"/>
              </w:rPr>
              <w:t>12</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594B363">
            <w:pPr>
              <w:jc w:val="left"/>
            </w:pPr>
            <w:r>
              <w:rPr>
                <w:rFonts w:ascii="Arial" w:hAnsi="Arial" w:eastAsia="Arial" w:cs="Arial"/>
                <w:b w:val="0"/>
                <w:bCs w:val="0"/>
                <w:sz w:val="18"/>
                <w:szCs w:val="18"/>
              </w:rPr>
              <w:t>block1_q1_fig12_per_episode_rmse.png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7433EA4">
            <w:pPr>
              <w:jc w:val="left"/>
            </w:pPr>
            <w:r>
              <w:rPr>
                <w:rFonts w:ascii="Arial" w:hAnsi="Arial" w:eastAsia="Arial" w:cs="Arial"/>
                <w:b w:val="0"/>
                <w:bCs w:val="0"/>
                <w:sz w:val="18"/>
                <w:szCs w:val="18"/>
              </w:rPr>
              <w:t>Episode-wise replicative validity across held-out BOPTEST episodes.</w:t>
            </w:r>
          </w:p>
        </w:tc>
      </w:tr>
      <w:tr w14:paraId="673D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A88AA2">
            <w:pPr>
              <w:jc w:val="left"/>
            </w:pPr>
            <w:r>
              <w:rPr>
                <w:rFonts w:ascii="Arial" w:hAnsi="Arial" w:eastAsia="Arial" w:cs="Arial"/>
                <w:b/>
                <w:bCs/>
                <w:sz w:val="18"/>
                <w:szCs w:val="18"/>
              </w:rPr>
              <w:t>13</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0472D7">
            <w:pPr>
              <w:jc w:val="left"/>
            </w:pPr>
            <w:r>
              <w:rPr>
                <w:rFonts w:ascii="Arial" w:hAnsi="Arial" w:eastAsia="Arial" w:cs="Arial"/>
                <w:b w:val="0"/>
                <w:bCs w:val="0"/>
                <w:sz w:val="18"/>
                <w:szCs w:val="18"/>
              </w:rPr>
              <w:t>block1_q1_fig13_residual_distributions.png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BB0314">
            <w:pPr>
              <w:jc w:val="left"/>
            </w:pPr>
            <w:r>
              <w:rPr>
                <w:rFonts w:ascii="Arial" w:hAnsi="Arial" w:eastAsia="Arial" w:cs="Arial"/>
                <w:b w:val="0"/>
                <w:bCs w:val="0"/>
                <w:sz w:val="18"/>
                <w:szCs w:val="18"/>
              </w:rPr>
              <w:t>Temperature residual distribution before and after calibration.</w:t>
            </w:r>
          </w:p>
        </w:tc>
      </w:tr>
      <w:tr w14:paraId="697B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1467533">
            <w:pPr>
              <w:jc w:val="left"/>
            </w:pPr>
            <w:r>
              <w:rPr>
                <w:rFonts w:ascii="Arial" w:hAnsi="Arial" w:eastAsia="Arial" w:cs="Arial"/>
                <w:b/>
                <w:bCs/>
                <w:sz w:val="18"/>
                <w:szCs w:val="18"/>
              </w:rPr>
              <w:t>14</w:t>
            </w:r>
          </w:p>
        </w:tc>
        <w:tc>
          <w:tcPr>
            <w:tcW w:w="330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CB84151">
            <w:pPr>
              <w:jc w:val="left"/>
            </w:pPr>
            <w:r>
              <w:rPr>
                <w:rFonts w:ascii="Arial" w:hAnsi="Arial" w:eastAsia="Arial" w:cs="Arial"/>
                <w:b w:val="0"/>
                <w:bCs w:val="0"/>
                <w:sz w:val="18"/>
                <w:szCs w:val="18"/>
              </w:rPr>
              <w:t>block1_q1_fig14_hybrid_loss.png</w:t>
            </w:r>
          </w:p>
        </w:tc>
        <w:tc>
          <w:tcPr>
            <w:tcW w:w="516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FE85D6A">
            <w:pPr>
              <w:jc w:val="left"/>
            </w:pPr>
            <w:r>
              <w:rPr>
                <w:rFonts w:ascii="Arial" w:hAnsi="Arial" w:eastAsia="Arial" w:cs="Arial"/>
                <w:b w:val="0"/>
                <w:bCs w:val="0"/>
                <w:sz w:val="18"/>
                <w:szCs w:val="18"/>
              </w:rPr>
              <w:t>Hybrid loss mechanism and role separation.</w:t>
            </w:r>
          </w:p>
        </w:tc>
      </w:tr>
      <w:tr w14:paraId="5C4E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28E98">
            <w:pPr>
              <w:jc w:val="left"/>
            </w:pPr>
            <w:r>
              <w:rPr>
                <w:rFonts w:ascii="Arial" w:hAnsi="Arial" w:eastAsia="Arial" w:cs="Arial"/>
                <w:b/>
                <w:bCs/>
                <w:sz w:val="18"/>
                <w:szCs w:val="18"/>
              </w:rPr>
              <w:t>15</w:t>
            </w:r>
          </w:p>
        </w:tc>
        <w:tc>
          <w:tcPr>
            <w:tcW w:w="33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C9B977">
            <w:pPr>
              <w:jc w:val="left"/>
            </w:pPr>
            <w:r>
              <w:rPr>
                <w:rFonts w:ascii="Arial" w:hAnsi="Arial" w:eastAsia="Arial" w:cs="Arial"/>
                <w:b w:val="0"/>
                <w:bCs w:val="0"/>
                <w:sz w:val="18"/>
                <w:szCs w:val="18"/>
              </w:rPr>
              <w:t>block1_q1_fig15_literature_positioning.png</w:t>
            </w:r>
          </w:p>
        </w:tc>
        <w:tc>
          <w:tcPr>
            <w:tcW w:w="51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DFDF4">
            <w:pPr>
              <w:jc w:val="left"/>
            </w:pPr>
            <w:r>
              <w:rPr>
                <w:rFonts w:ascii="Arial" w:hAnsi="Arial" w:eastAsia="Arial" w:cs="Arial"/>
                <w:b w:val="0"/>
                <w:bCs w:val="0"/>
                <w:sz w:val="18"/>
                <w:szCs w:val="18"/>
              </w:rPr>
              <w:t>Positioning against Block 1 related-work families.</w:t>
            </w:r>
          </w:p>
        </w:tc>
      </w:tr>
    </w:tbl>
    <w:p w14:paraId="74D8863C">
      <w:pPr>
        <w:spacing w:before="80" w:after="200"/>
        <w:jc w:val="center"/>
      </w:pPr>
      <w:r>
        <w:rPr>
          <w:rFonts w:ascii="Arial" w:hAnsi="Arial" w:eastAsia="Arial" w:cs="Arial"/>
          <w:i/>
          <w:iCs/>
          <w:color w:val="555555"/>
          <w:sz w:val="19"/>
          <w:szCs w:val="19"/>
        </w:rPr>
        <w:t>Figures 1-15 are generated by evaluation/build_block1_q1_figures.py from project CSV/JSON artifacts plus two conceptual architecture diagrams. The DOCX generator embeds the PNG outputs and does not hand-enter plotted values.</w:t>
      </w:r>
    </w:p>
    <w:p w14:paraId="60CD88AF">
      <w:r>
        <w:br w:type="page"/>
      </w:r>
    </w:p>
    <w:p w14:paraId="0595CA24">
      <w:pPr>
        <w:pStyle w:val="2"/>
        <w:spacing w:before="300" w:after="120"/>
      </w:pPr>
      <w:r>
        <w:rPr>
          <w:rFonts w:ascii="Arial" w:hAnsi="Arial" w:eastAsia="Arial" w:cs="Arial"/>
        </w:rPr>
        <w:t>8. Data Source Index</w:t>
      </w:r>
    </w:p>
    <w:p w14:paraId="058C2C0A">
      <w:pPr>
        <w:spacing w:after="160"/>
        <w:jc w:val="both"/>
      </w:pPr>
      <w:r>
        <w:rPr>
          <w:rFonts w:ascii="Arial" w:hAnsi="Arial" w:eastAsia="Arial" w:cs="Arial"/>
          <w:b w:val="0"/>
          <w:bCs w:val="0"/>
          <w:i w:val="0"/>
          <w:iCs w:val="0"/>
          <w:sz w:val="22"/>
          <w:szCs w:val="22"/>
        </w:rPr>
        <w:t>Every number in this document traces back to a specific file in the project. The table below is the complete index for replay and audit.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8418"/>
      </w:tblGrid>
      <w:tr w14:paraId="32A9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56DD38A">
            <w:r>
              <w:rPr>
                <w:rFonts w:ascii="Arial" w:hAnsi="Arial" w:eastAsia="Arial" w:cs="Arial"/>
                <w:b/>
                <w:bCs/>
                <w:color w:val="FFFFFF"/>
                <w:sz w:val="18"/>
                <w:szCs w:val="18"/>
              </w:rPr>
              <w:t>Data point</w:t>
            </w:r>
          </w:p>
        </w:tc>
        <w:tc>
          <w:tcPr>
            <w:tcW w:w="62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5E9E001">
            <w:r>
              <w:rPr>
                <w:rFonts w:ascii="Arial" w:hAnsi="Arial" w:eastAsia="Arial" w:cs="Arial"/>
                <w:b/>
                <w:bCs/>
                <w:color w:val="FFFFFF"/>
                <w:sz w:val="18"/>
                <w:szCs w:val="18"/>
              </w:rPr>
              <w:t>Source file</w:t>
            </w:r>
          </w:p>
        </w:tc>
      </w:tr>
      <w:tr w14:paraId="7A5F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444B3A">
            <w:pPr>
              <w:jc w:val="left"/>
            </w:pPr>
            <w:r>
              <w:rPr>
                <w:rFonts w:ascii="Arial" w:hAnsi="Arial" w:eastAsia="Arial" w:cs="Arial"/>
                <w:b/>
                <w:bCs/>
                <w:sz w:val="18"/>
                <w:szCs w:val="18"/>
              </w:rPr>
              <w:t>v3 architecture / params</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37AF6A">
            <w:pPr>
              <w:jc w:val="left"/>
            </w:pPr>
            <w:r>
              <w:rPr>
                <w:rFonts w:ascii="Arial" w:hAnsi="Arial" w:eastAsia="Arial" w:cs="Arial"/>
                <w:b w:val="0"/>
                <w:bCs w:val="0"/>
                <w:sz w:val="18"/>
                <w:szCs w:val="18"/>
              </w:rPr>
              <w:t>surrogate/rc_node_v2.py (HeatFlowNetV2, PowerNetV2, RCNeuralODEv2)</w:t>
            </w:r>
          </w:p>
        </w:tc>
      </w:tr>
      <w:tr w14:paraId="03D9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4A674A5">
            <w:pPr>
              <w:jc w:val="left"/>
            </w:pPr>
            <w:r>
              <w:rPr>
                <w:rFonts w:ascii="Arial" w:hAnsi="Arial" w:eastAsia="Arial" w:cs="Arial"/>
                <w:b/>
                <w:bCs/>
                <w:sz w:val="18"/>
                <w:szCs w:val="18"/>
              </w:rPr>
              <w:t>v3 training checkpoint</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DB71E31">
            <w:pPr>
              <w:jc w:val="left"/>
            </w:pPr>
            <w:r>
              <w:rPr>
                <w:rFonts w:ascii="Arial" w:hAnsi="Arial" w:eastAsia="Arial" w:cs="Arial"/>
                <w:b w:val="0"/>
                <w:bCs w:val="0"/>
                <w:sz w:val="18"/>
                <w:szCs w:val="18"/>
              </w:rPr>
              <w:t>outputs/surrogate_v2/rc_node_v3_tsupply.pt</w:t>
            </w:r>
          </w:p>
        </w:tc>
      </w:tr>
      <w:tr w14:paraId="5B78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339B8">
            <w:pPr>
              <w:jc w:val="left"/>
            </w:pPr>
            <w:r>
              <w:rPr>
                <w:rFonts w:ascii="Arial" w:hAnsi="Arial" w:eastAsia="Arial" w:cs="Arial"/>
                <w:b/>
                <w:bCs/>
                <w:sz w:val="18"/>
                <w:szCs w:val="18"/>
              </w:rPr>
              <w:t>v3 training history</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61C285">
            <w:pPr>
              <w:jc w:val="left"/>
            </w:pPr>
            <w:r>
              <w:rPr>
                <w:rFonts w:ascii="Arial" w:hAnsi="Arial" w:eastAsia="Arial" w:cs="Arial"/>
                <w:b w:val="0"/>
                <w:bCs w:val="0"/>
                <w:sz w:val="18"/>
                <w:szCs w:val="18"/>
              </w:rPr>
              <w:t>outputs/surrogate_v2/train_history_v2.csv</w:t>
            </w:r>
          </w:p>
        </w:tc>
      </w:tr>
      <w:tr w14:paraId="7441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1D9117B">
            <w:pPr>
              <w:jc w:val="left"/>
            </w:pPr>
            <w:r>
              <w:rPr>
                <w:rFonts w:ascii="Arial" w:hAnsi="Arial" w:eastAsia="Arial" w:cs="Arial"/>
                <w:b/>
                <w:bCs/>
                <w:sz w:val="18"/>
                <w:szCs w:val="18"/>
              </w:rPr>
              <w:t>v3.5 calibration (episodeaware)</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08A768A">
            <w:pPr>
              <w:jc w:val="left"/>
            </w:pPr>
            <w:r>
              <w:rPr>
                <w:rFonts w:ascii="Arial" w:hAnsi="Arial" w:eastAsia="Arial" w:cs="Arial"/>
                <w:b w:val="0"/>
                <w:bCs w:val="0"/>
                <w:sz w:val="18"/>
                <w:szCs w:val="18"/>
              </w:rPr>
              <w:t>outputs/surrogate_v35_inverse_boptest_15min_episodeaware/calibration_summary_boptest_v35.json</w:t>
            </w:r>
          </w:p>
        </w:tc>
      </w:tr>
      <w:tr w14:paraId="30FD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4CF53E">
            <w:pPr>
              <w:jc w:val="left"/>
            </w:pPr>
            <w:r>
              <w:rPr>
                <w:rFonts w:ascii="Arial" w:hAnsi="Arial" w:eastAsia="Arial" w:cs="Arial"/>
                <w:b/>
                <w:bCs/>
                <w:sz w:val="18"/>
                <w:szCs w:val="18"/>
              </w:rPr>
              <w:t>v3.5 calibration (canonical, power-only)</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1A3C02">
            <w:pPr>
              <w:jc w:val="left"/>
            </w:pPr>
            <w:r>
              <w:rPr>
                <w:rFonts w:ascii="Arial" w:hAnsi="Arial" w:eastAsia="Arial" w:cs="Arial"/>
                <w:b w:val="0"/>
                <w:bCs w:val="0"/>
                <w:sz w:val="18"/>
                <w:szCs w:val="18"/>
              </w:rPr>
              <w:t>outputs/surrogate_v35_inverse_boptest_15min_power_head_only/calibration_summary_boptest_v35.json</w:t>
            </w:r>
          </w:p>
        </w:tc>
      </w:tr>
      <w:tr w14:paraId="526C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A7C8032">
            <w:pPr>
              <w:jc w:val="left"/>
            </w:pPr>
            <w:r>
              <w:rPr>
                <w:rFonts w:ascii="Arial" w:hAnsi="Arial" w:eastAsia="Arial" w:cs="Arial"/>
                <w:b/>
                <w:bCs/>
                <w:sz w:val="18"/>
                <w:szCs w:val="18"/>
              </w:rPr>
              <w:t>v3.5 rollout validation</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1C3F536">
            <w:pPr>
              <w:jc w:val="left"/>
            </w:pPr>
            <w:r>
              <w:rPr>
                <w:rFonts w:ascii="Arial" w:hAnsi="Arial" w:eastAsia="Arial" w:cs="Arial"/>
                <w:b w:val="0"/>
                <w:bCs w:val="0"/>
                <w:sz w:val="18"/>
                <w:szCs w:val="18"/>
              </w:rPr>
              <w:t>outputs/surrogate_v35_rollout_prepared_15min_power_head_only/v35_prepared_compare_summary.csv</w:t>
            </w:r>
          </w:p>
        </w:tc>
      </w:tr>
      <w:tr w14:paraId="4987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A93EA">
            <w:pPr>
              <w:jc w:val="left"/>
            </w:pPr>
            <w:r>
              <w:rPr>
                <w:rFonts w:ascii="Arial" w:hAnsi="Arial" w:eastAsia="Arial" w:cs="Arial"/>
                <w:b/>
                <w:bCs/>
                <w:sz w:val="18"/>
                <w:szCs w:val="18"/>
              </w:rPr>
              <w:t>v3 rollout validation</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418D10">
            <w:pPr>
              <w:jc w:val="left"/>
            </w:pPr>
            <w:r>
              <w:rPr>
                <w:rFonts w:ascii="Arial" w:hAnsi="Arial" w:eastAsia="Arial" w:cs="Arial"/>
                <w:b w:val="0"/>
                <w:bCs w:val="0"/>
                <w:sz w:val="18"/>
                <w:szCs w:val="18"/>
              </w:rPr>
              <w:t>outputs/surrogate_v3_rollout_prepared_15min/v3/horizon_metrics.csv</w:t>
            </w:r>
          </w:p>
        </w:tc>
      </w:tr>
      <w:tr w14:paraId="5C31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1E1EC36">
            <w:pPr>
              <w:jc w:val="left"/>
            </w:pPr>
            <w:r>
              <w:rPr>
                <w:rFonts w:ascii="Arial" w:hAnsi="Arial" w:eastAsia="Arial" w:cs="Arial"/>
                <w:b/>
                <w:bCs/>
                <w:sz w:val="18"/>
                <w:szCs w:val="18"/>
              </w:rPr>
              <w:t>v3_15min matched-corpus checkpoint</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70B2381">
            <w:pPr>
              <w:jc w:val="left"/>
            </w:pPr>
            <w:r>
              <w:rPr>
                <w:rFonts w:ascii="Arial" w:hAnsi="Arial" w:eastAsia="Arial" w:cs="Arial"/>
                <w:b w:val="0"/>
                <w:bCs w:val="0"/>
                <w:sz w:val="18"/>
                <w:szCs w:val="18"/>
              </w:rPr>
              <w:t>outputs/surrogate_v3_15min_matched/rc_node_v3_15min_matched.pt</w:t>
            </w:r>
          </w:p>
        </w:tc>
      </w:tr>
      <w:tr w14:paraId="4B5B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E60DD0">
            <w:pPr>
              <w:jc w:val="left"/>
            </w:pPr>
            <w:r>
              <w:rPr>
                <w:rFonts w:ascii="Arial" w:hAnsi="Arial" w:eastAsia="Arial" w:cs="Arial"/>
                <w:b/>
                <w:bCs/>
                <w:sz w:val="18"/>
                <w:szCs w:val="18"/>
              </w:rPr>
              <w:t>v3_15min matched-corpus rollout</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D43232">
            <w:pPr>
              <w:jc w:val="left"/>
            </w:pPr>
            <w:r>
              <w:rPr>
                <w:rFonts w:ascii="Arial" w:hAnsi="Arial" w:eastAsia="Arial" w:cs="Arial"/>
                <w:b w:val="0"/>
                <w:bCs w:val="0"/>
                <w:sz w:val="18"/>
                <w:szCs w:val="18"/>
              </w:rPr>
              <w:t>outputs/surrogate_v3_15min_matched_rollout_prepared/v3/horizon_metrics.csv</w:t>
            </w:r>
          </w:p>
        </w:tc>
      </w:tr>
      <w:tr w14:paraId="7B6A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0FA43B70">
            <w:pPr>
              <w:jc w:val="left"/>
            </w:pPr>
            <w:r>
              <w:rPr>
                <w:rFonts w:ascii="Arial" w:hAnsi="Arial" w:eastAsia="Arial" w:cs="Arial"/>
                <w:b/>
                <w:bCs/>
                <w:sz w:val="18"/>
                <w:szCs w:val="18"/>
              </w:rPr>
              <w:t>Corpus-matched comparison (Tactic B)</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62715D5">
            <w:pPr>
              <w:jc w:val="left"/>
            </w:pPr>
            <w:r>
              <w:rPr>
                <w:rFonts w:ascii="Arial" w:hAnsi="Arial" w:eastAsia="Arial" w:cs="Arial"/>
                <w:b w:val="0"/>
                <w:bCs w:val="0"/>
                <w:sz w:val="18"/>
                <w:szCs w:val="18"/>
              </w:rPr>
              <w:t>reports/block1_corpus_matched_comparison.csv + .json</w:t>
            </w:r>
          </w:p>
        </w:tc>
      </w:tr>
      <w:tr w14:paraId="12712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0E935C">
            <w:pPr>
              <w:jc w:val="left"/>
            </w:pPr>
            <w:r>
              <w:rPr>
                <w:rFonts w:ascii="Arial" w:hAnsi="Arial" w:eastAsia="Arial" w:cs="Arial"/>
                <w:b/>
                <w:bCs/>
                <w:sz w:val="18"/>
                <w:szCs w:val="18"/>
              </w:rPr>
              <w:t>Stage B history (120 epochs)</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8BD51">
            <w:pPr>
              <w:jc w:val="left"/>
            </w:pPr>
            <w:r>
              <w:rPr>
                <w:rFonts w:ascii="Arial" w:hAnsi="Arial" w:eastAsia="Arial" w:cs="Arial"/>
                <w:b w:val="0"/>
                <w:bCs w:val="0"/>
                <w:sz w:val="18"/>
                <w:szCs w:val="18"/>
              </w:rPr>
              <w:t>outputs/surrogate_v35_inverse_boptest_15min_episodeaware/stage_b_history_v35.csv</w:t>
            </w:r>
          </w:p>
        </w:tc>
      </w:tr>
      <w:tr w14:paraId="56D7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ABBBF69">
            <w:pPr>
              <w:jc w:val="left"/>
            </w:pPr>
            <w:r>
              <w:rPr>
                <w:rFonts w:ascii="Arial" w:hAnsi="Arial" w:eastAsia="Arial" w:cs="Arial"/>
                <w:b/>
                <w:bCs/>
                <w:sz w:val="18"/>
                <w:szCs w:val="18"/>
              </w:rPr>
              <w:t>Speed benchmark</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50DE0F5">
            <w:pPr>
              <w:jc w:val="left"/>
            </w:pPr>
            <w:r>
              <w:rPr>
                <w:rFonts w:ascii="Arial" w:hAnsi="Arial" w:eastAsia="Arial" w:cs="Arial"/>
                <w:b w:val="0"/>
                <w:bCs w:val="0"/>
                <w:sz w:val="18"/>
                <w:szCs w:val="18"/>
              </w:rPr>
              <w:t>reports/speed_benchmark_table.csv</w:t>
            </w:r>
          </w:p>
        </w:tc>
      </w:tr>
      <w:tr w14:paraId="4290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3186D">
            <w:pPr>
              <w:jc w:val="left"/>
            </w:pPr>
            <w:r>
              <w:rPr>
                <w:rFonts w:ascii="Arial" w:hAnsi="Arial" w:eastAsia="Arial" w:cs="Arial"/>
                <w:b/>
                <w:bCs/>
                <w:sz w:val="18"/>
                <w:szCs w:val="18"/>
              </w:rPr>
              <w:t>Architecture comparison (S9)</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FF8723">
            <w:pPr>
              <w:jc w:val="left"/>
            </w:pPr>
            <w:r>
              <w:rPr>
                <w:rFonts w:ascii="Arial" w:hAnsi="Arial" w:eastAsia="Arial" w:cs="Arial"/>
                <w:b w:val="0"/>
                <w:bCs w:val="0"/>
                <w:sz w:val="18"/>
                <w:szCs w:val="18"/>
              </w:rPr>
              <w:t>reports/hou_evins_architecture_justification_table.csv</w:t>
            </w:r>
          </w:p>
        </w:tc>
      </w:tr>
      <w:tr w14:paraId="7A77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313444D">
            <w:pPr>
              <w:jc w:val="left"/>
            </w:pPr>
            <w:r>
              <w:rPr>
                <w:rFonts w:ascii="Arial" w:hAnsi="Arial" w:eastAsia="Arial" w:cs="Arial"/>
                <w:b/>
                <w:bCs/>
                <w:sz w:val="18"/>
                <w:szCs w:val="18"/>
              </w:rPr>
              <w:t>Predictive validity (S11)</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7DDBD2C">
            <w:pPr>
              <w:jc w:val="left"/>
            </w:pPr>
            <w:r>
              <w:rPr>
                <w:rFonts w:ascii="Arial" w:hAnsi="Arial" w:eastAsia="Arial" w:cs="Arial"/>
                <w:b w:val="0"/>
                <w:bCs w:val="0"/>
                <w:sz w:val="18"/>
                <w:szCs w:val="18"/>
              </w:rPr>
              <w:t>reports/hou_evins_predictive_validity_table.csv</w:t>
            </w:r>
          </w:p>
        </w:tc>
      </w:tr>
      <w:tr w14:paraId="0B171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A0A1E2">
            <w:pPr>
              <w:jc w:val="left"/>
            </w:pPr>
            <w:r>
              <w:rPr>
                <w:rFonts w:ascii="Arial" w:hAnsi="Arial" w:eastAsia="Arial" w:cs="Arial"/>
                <w:b/>
                <w:bCs/>
                <w:sz w:val="18"/>
                <w:szCs w:val="18"/>
              </w:rPr>
              <w:t>Transfer gap comparison</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BF38CD">
            <w:pPr>
              <w:jc w:val="left"/>
            </w:pPr>
            <w:r>
              <w:rPr>
                <w:rFonts w:ascii="Arial" w:hAnsi="Arial" w:eastAsia="Arial" w:cs="Arial"/>
                <w:b w:val="0"/>
                <w:bCs w:val="0"/>
                <w:sz w:val="18"/>
                <w:szCs w:val="18"/>
              </w:rPr>
              <w:t>reports/hybrid_transfer_comparison.csv</w:t>
            </w:r>
          </w:p>
        </w:tc>
      </w:tr>
      <w:tr w14:paraId="68A3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35EC21C">
            <w:pPr>
              <w:jc w:val="left"/>
            </w:pPr>
            <w:r>
              <w:rPr>
                <w:rFonts w:ascii="Arial" w:hAnsi="Arial" w:eastAsia="Arial" w:cs="Arial"/>
                <w:b/>
                <w:bCs/>
                <w:sz w:val="18"/>
                <w:szCs w:val="18"/>
              </w:rPr>
              <w:t>S1 sample generation</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34A2E770">
            <w:pPr>
              <w:jc w:val="left"/>
            </w:pPr>
            <w:r>
              <w:rPr>
                <w:rFonts w:ascii="Arial" w:hAnsi="Arial" w:eastAsia="Arial" w:cs="Arial"/>
                <w:b w:val="0"/>
                <w:bCs w:val="0"/>
                <w:sz w:val="18"/>
                <w:szCs w:val="18"/>
              </w:rPr>
              <w:t>reports/hou_evins_sample_generation_table.csv</w:t>
            </w:r>
          </w:p>
        </w:tc>
      </w:tr>
      <w:tr w14:paraId="5657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55715B">
            <w:pPr>
              <w:jc w:val="left"/>
            </w:pPr>
            <w:r>
              <w:rPr>
                <w:rFonts w:ascii="Arial" w:hAnsi="Arial" w:eastAsia="Arial" w:cs="Arial"/>
                <w:b/>
                <w:bCs/>
                <w:sz w:val="18"/>
                <w:szCs w:val="18"/>
              </w:rPr>
              <w:t>S4 Stage A preprocessing</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B5DE7A">
            <w:pPr>
              <w:jc w:val="left"/>
            </w:pPr>
            <w:r>
              <w:rPr>
                <w:rFonts w:ascii="Arial" w:hAnsi="Arial" w:eastAsia="Arial" w:cs="Arial"/>
                <w:b w:val="0"/>
                <w:bCs w:val="0"/>
                <w:sz w:val="18"/>
                <w:szCs w:val="18"/>
              </w:rPr>
              <w:t>reports/hou_evins_stage_a_processing_table.csv</w:t>
            </w:r>
          </w:p>
        </w:tc>
      </w:tr>
      <w:tr w14:paraId="5B0C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54BD7D3">
            <w:pPr>
              <w:jc w:val="left"/>
            </w:pPr>
            <w:r>
              <w:rPr>
                <w:rFonts w:ascii="Arial" w:hAnsi="Arial" w:eastAsia="Arial" w:cs="Arial"/>
                <w:b/>
                <w:bCs/>
                <w:sz w:val="18"/>
                <w:szCs w:val="18"/>
              </w:rPr>
              <w:t>S8 training hyperparameters</w:t>
            </w:r>
          </w:p>
        </w:tc>
        <w:tc>
          <w:tcPr>
            <w:tcW w:w="62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1A8D3589">
            <w:pPr>
              <w:jc w:val="left"/>
            </w:pPr>
            <w:r>
              <w:rPr>
                <w:rFonts w:ascii="Arial" w:hAnsi="Arial" w:eastAsia="Arial" w:cs="Arial"/>
                <w:b w:val="0"/>
                <w:bCs w:val="0"/>
                <w:sz w:val="18"/>
                <w:szCs w:val="18"/>
              </w:rPr>
              <w:t>reports/hou_evins_training_hyperparams_table.csv</w:t>
            </w:r>
          </w:p>
        </w:tc>
      </w:tr>
    </w:tbl>
    <w:p w14:paraId="4E1CED74">
      <w:pPr>
        <w:spacing w:before="240" w:after="120"/>
      </w:pPr>
      <w:r>
        <w:rPr>
          <w:rFonts w:ascii="Arial" w:hAnsi="Arial" w:eastAsia="Arial" w:cs="Arial"/>
          <w:b/>
          <w:bCs/>
          <w:color w:val="2E75B6"/>
          <w:sz w:val="24"/>
          <w:szCs w:val="24"/>
        </w:rPr>
        <w:t>9.1 Step-size design choice — disclosure for reviewers</w:t>
      </w:r>
    </w:p>
    <w:p w14:paraId="147AABBF">
      <w:pPr>
        <w:spacing w:after="160"/>
        <w:jc w:val="both"/>
      </w:pPr>
      <w:r>
        <w:rPr>
          <w:rFonts w:ascii="Arial" w:hAnsi="Arial" w:eastAsia="Arial" w:cs="Arial"/>
          <w:b w:val="0"/>
          <w:bCs w:val="0"/>
          <w:i w:val="0"/>
          <w:iCs w:val="0"/>
          <w:sz w:val="22"/>
          <w:szCs w:val="22"/>
        </w:rPr>
        <w:t>A reviewer cross-checking the v3 source code against the env config will notice a structural mismatch: the canonical v3 checkpoint at outputs/surrogate_v2/rc_node_v3_tsupply.pt was trained on a 51,200-row corpus at step_sec = 3600 s, but the env config in configs/env.yaml and configs/boptest_15min/env.yaml uses step_sec = 900 s for all PPO, HDRL, and MORL training in Blocks 2 and 3. The forward pass of the v3 surrogate (surrogate/rc_node_v2.py line 167) is t_next = t_zone + dT(x) with no explicit timestep scaling, so the hourly-trained dT is applied unchanged as a per-step increment at the 15-min PPO step. This is the structural reason for the legacy v3's degraded 24-hour predictive RMSE reported in Table 1.3 (1.557 °C); the matched-corpus v3 documented in §2.6 achieves 0.876 °C precisely because retraining on 15-min transitions aligns the learned dT with the actual integration step.</w:t>
      </w:r>
    </w:p>
    <w:p w14:paraId="25AB5656">
      <w:pPr>
        <w:spacing w:after="160"/>
        <w:jc w:val="both"/>
      </w:pPr>
      <w:r>
        <w:rPr>
          <w:rFonts w:ascii="Arial" w:hAnsi="Arial" w:eastAsia="Arial" w:cs="Arial"/>
          <w:b w:val="0"/>
          <w:bCs w:val="0"/>
          <w:i w:val="0"/>
          <w:iCs w:val="0"/>
          <w:sz w:val="22"/>
          <w:szCs w:val="22"/>
        </w:rPr>
        <w:t>The mismatch is preserved deliberately for three reasons that should be auditable by a reviewer. First, all reported Block 2/3 closed-loop KPIs (m_s, RMSE_T, energy_kWh, action_gap_norm, first_divergence_step) are measured on the live BOPTEST RTE HTTP simulator, not on the surrogate, so the surrogate's role is limited to providing a smooth gradient signal during PPO updates. This is a role for which physical-time correctness is not required and which the empirical results validate: a controller trained against the predictively-weaker hourly v3 produces 0.633 °C live BOPTEST RMSE on the peak window and 0.612 °C on the typical window. Second, this step-size mismatch is itself part of the paper's central claim — that predictive fidelity (where matched-corpus v3 wins by 44 %) and RL training utility (where the hourly v3 was sufficient for the hybrid backend to reach the best live BOPTEST controller) are different objectives. Substituting the matched-corpus v3 for the hourly checkpoint in Block 2/3 would weaken the empirical evidence for this paradox, because both surrogates would then be predictively comparable and the smooth-gradients argument would be harder to disentangle from the predictive-fidelity argument. Third, the Block 2 frozen-controller and Block 3 transferability work is pre-registered at audit anchors 93df9b3 (MORL canonical), 62dc859 (post-N=5 falsification), and 1861e48 / b915bfc / 7ada793 (Block 3 open/close/anchor). Re-running Block 2 or Block 3 with the matched-corpus v3 would invalidate the pre-registered audit chain. A controlled comparison of PPO trained on the matched-corpus v3 vs the hourly v3 is logged as Block 4 future work; the present document and paper report the configuration that was actually run and pre-registered.</w:t>
      </w:r>
    </w:p>
    <w:p w14:paraId="64F1E8B1">
      <w:pPr>
        <w:pStyle w:val="2"/>
        <w:spacing w:before="300" w:after="120"/>
      </w:pPr>
      <w:r>
        <w:rPr>
          <w:rFonts w:ascii="Arial" w:hAnsi="Arial" w:eastAsia="Arial" w:cs="Arial"/>
        </w:rPr>
        <w:t>10. Block 1 Synthesis</w:t>
      </w:r>
    </w:p>
    <w:p w14:paraId="696BD22F">
      <w:pPr>
        <w:spacing w:after="160"/>
        <w:jc w:val="both"/>
      </w:pPr>
      <w:r>
        <w:rPr>
          <w:rFonts w:ascii="Arial" w:hAnsi="Arial" w:eastAsia="Arial" w:cs="Arial"/>
          <w:b w:val="0"/>
          <w:bCs w:val="0"/>
          <w:i w:val="0"/>
          <w:iCs w:val="0"/>
          <w:sz w:val="22"/>
          <w:szCs w:val="22"/>
        </w:rPr>
        <w:t>Block 1 produced seven independently verifiable results: (i) the v3 control-oriented surrogate trains stably to a checkpoint with one-step RMSE of 0.625 °C and 8,482 parameters in a Tanh+LayerNorm+residual topology; (ii) the Stage A/B/C inverse calibration of v3.5 identifies C_zon at 4.413×10⁵ J/K with a monotone 120-epoch convergence trajectory (420,194 → 441,269 J/K, +5.06 % vs the physically motivated prior); (iii) the canonical v3.5 artifact is built by a two-step Stage C process whose intermediate "stage_b_epochs_ran = 0" in the power-only summary is expected by construction, not a calibration failure; (iv) calibrated v3.5 wins per-episode replicative validity on all 8 held-out evaluation episodes (worst-case 0.964 °C, best-case 0.486 °C), with zero-mean tight residual distributions versus v3's wider, biased residuals; (v) the matched-corpus control experiment (Section 2.6) decomposes the v3-to-calibrated-v3.5 24h RMSE drop of 0.9131 °C into 74.6 % attributable to the 15-min corpus shift and 25.4 % attributable to Stage A/B/C inverse calibration applied at fixed corpus — and shows that the v3 black-box architecture (0.876 °C) outperforms the raw v3.5 RC-NeuralODE backbone (1.466 °C) on the same corpus, proving that physical structure alone is insufficient and only the C_zon identification + stage-wise calibration converts the structural backbone into a usable predictive twin; (vi) the hybrid backend sustains 1787 env-steps/s (85× BOPTEST RTE) on a single CPU core; (vii) the calibrated physical twin FAILS as a stand-alone PPO training environment (live closed-loop RMSE &gt; 4 °C, m_s &gt; 1.0, action_gap_norm = 2.0 indicating bang-bang saturation) but SUCCEEDS as a frozen soft regulariser for v3-based training (hybrid live RMSE = 0.612 °C, m_s = 0.0411 on the typical window, first_divergence_step = 16 vs 1 for the unregularised variants).</w:t>
      </w:r>
    </w:p>
    <w:p w14:paraId="2E179B24">
      <w:pPr>
        <w:spacing w:after="160"/>
        <w:jc w:val="both"/>
      </w:pPr>
      <w:r>
        <w:rPr>
          <w:rFonts w:ascii="Arial" w:hAnsi="Arial" w:eastAsia="Arial" w:cs="Arial"/>
          <w:b w:val="0"/>
          <w:bCs w:val="0"/>
          <w:i w:val="0"/>
          <w:iCs w:val="0"/>
          <w:sz w:val="22"/>
          <w:szCs w:val="22"/>
        </w:rPr>
        <w:t>These six results jointly support the project's central scientific claim: predictive fidelity and reinforcement-learning training utility are different optimisation objectives, and a surrogate that excels at one can fail at the other. The failure mechanism is not stochastic; it is a structural bang-bang saturation where PPO discovers a flat-extremum exploit in the low-curvature v3.5 dynamics that the real BOPTEST simulator does not reward. The hybrid backend is the empirically validated resolution — it puts each surrogate in the role for which it is suited (v3 supplies smooth gradients with realistic local curvature, v3.5 supplies physically structured soft targets) and explicitly weights the two with a controller-family-specific λ. The fact that this λ is non-trivially controller-specific (λ_temp = 0.10 for thermostatic PPO but 0 for HDRL and MORL) is itself a Block 1 finding that Block 2 will explain mechanistically. The Block 3 transferability protocol then takes the entire pipeline — Stage A/B/C inverse calibration, hybrid backend, frozen thermostatic policy — and asks how each component generalises across three additional BOPTEST hydronic testcases. The conceptual scaffolding for both Block 2 and Block 3 rests on the Block 1 measurements reported above; in particular, the existence of a structural bang-bang failure mode in standalone-v3.5 training is the empirical motivation for choosing soft regularisation (Block 2) over hard physics-informed constraints, and the +5 % C_zon update under Stage B is the identifiability benchmark against which the 1.91× cross-testcase C_zon ratio in Block 3 must be interpreted.</w:t>
      </w:r>
    </w:p>
    <w:sectPr>
      <w:headerReference r:id="rId3" w:type="default"/>
      <w:footerReference r:id="rId4" w:type="default"/>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0DF20">
    <w:pP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5CE00">
    <w:pPr>
      <w:jc w:val="right"/>
    </w:pPr>
    <w:r>
      <w:rPr>
        <w:rFonts w:ascii="Arial" w:hAnsi="Arial" w:eastAsia="Arial" w:cs="Arial"/>
        <w:color w:val="999999"/>
        <w:sz w:val="16"/>
        <w:szCs w:val="16"/>
      </w:rPr>
      <w:t>Block 1 Results — HVAC DRL/MORL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compat>
    <w:compatSetting w:name="compatibilityMode" w:uri="http://schemas.microsoft.com/office/word" w:val="15"/>
  </w:compat>
  <w:rsids>
    <w:rsidRoot w:val="00000000"/>
    <w:rsid w:val="02A35F6B"/>
    <w:rsid w:val="5BCD2560"/>
    <w:rsid w:val="66E206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Arial" w:hAnsi="Arial" w:eastAsia="Arial" w:cs="Arial"/>
      <w:sz w:val="20"/>
      <w:szCs w:val="20"/>
    </w:rPr>
  </w:style>
  <w:style w:type="paragraph" w:styleId="14">
    <w:name w:val="footnote text"/>
    <w:link w:val="17"/>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5205</Words>
  <Characters>29424</Characters>
  <TotalTime>100</TotalTime>
  <ScaleCrop>false</ScaleCrop>
  <LinksUpToDate>false</LinksUpToDate>
  <CharactersWithSpaces>34264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2026-05-31T15:26:00Z</dcterms:created>
  <dc:creator>Un-named</dc:creator>
  <cp:lastModifiedBy>Алмаз Сапаргали</cp:lastModifiedBy>
  <dcterms:modified xsi:type="dcterms:W3CDTF">2026-06-01T13:20:04Z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BC17EAF9D8754119B15BAD72D9E30ACE_12</vt:lpwstr>
  </property>
</Properties>
</file>