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F3A04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Block 2 Complete Results</w:t>
      </w:r>
    </w:p>
    <w:p w14:paraId="0E1941BA">
      <w:pPr>
        <w:pBdr>
          <w:bottom w:val="single" w:color="2E75B6" w:sz="4" w:space="1"/>
        </w:pBdr>
        <w:spacing w:before="200" w:after="200"/>
      </w:pPr>
    </w:p>
    <w:p w14:paraId="7D1E860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§1.  Methodology and reading order</w:t>
      </w:r>
    </w:p>
    <w:p w14:paraId="644D2E0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§1.1  Reading order</w:t>
      </w:r>
    </w:p>
    <w:p w14:paraId="40CCA309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Block 1 established the surrogate-level claim: v3 is a control-oriented black-box surrogate with poor multi-horizon predictive fidelity (24h RMSET = 1.557 °C), while calibrated v3.5 is a physically-identified surrogate with strong predictive fidelity (24h RMSET = 0.644 °C). Block 2 then tests the </w:t>
      </w:r>
      <w:r>
        <w:rPr>
          <w:rFonts w:ascii="Arial" w:hAnsi="Arial" w:eastAsia="Arial" w:cs="Arial"/>
          <w:b/>
          <w:bCs/>
          <w:sz w:val="20"/>
          <w:szCs w:val="20"/>
        </w:rPr>
        <w:t>controller-side</w:t>
      </w:r>
      <w:r>
        <w:rPr>
          <w:rFonts w:ascii="Arial" w:hAnsi="Arial" w:eastAsia="Arial" w:cs="Arial"/>
          <w:sz w:val="20"/>
          <w:szCs w:val="20"/>
        </w:rPr>
        <w:t xml:space="preserve"> question: which combinations of these two surrogates produce useful Reinforcement-Learning policies on the live BOPTEST RTE bestest_air testcase, and which fail.</w:t>
      </w:r>
    </w:p>
    <w:p w14:paraId="4757E944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Block 2 narrative across this document follows the controller-family stack:</w:t>
      </w:r>
    </w:p>
    <w:p w14:paraId="3F30CC36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§2 Pure v3 PPO baseline — the control-oriented surrogate alone produces a working policy.</w:t>
      </w:r>
    </w:p>
    <w:p w14:paraId="2467E52F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§3 Direct v3.5 PPO (negative control) — using the high-fidelity surrogate alone fails catastrophically.</w:t>
      </w:r>
    </w:p>
    <w:p w14:paraId="6B368F37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§4 Thermostatic hybrid — combining v3 dynamics with a v3.5 disagreement regularizer is the best result.</w:t>
      </w:r>
    </w:p>
    <w:p w14:paraId="5B436796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§5 HDRL sweep — the same hybrid regularization does NOT transfer to hierarchical RL; lambda_temp_disagree must be 0.</w:t>
      </w:r>
    </w:p>
    <w:p w14:paraId="089EA338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§6 MORL 5D failure / 17D success — observation interface choice dominates the MORL result.</w:t>
      </w:r>
    </w:p>
    <w:p w14:paraId="205F90C0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§7 MORL canonical seed analysis — N=5 seed variance falsifies the single-seed canonical result.</w:t>
      </w:r>
    </w:p>
    <w:p w14:paraId="002D6C79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§8 MORL Pareto sweep — comfort/energy trade-off across 5 weight pairs.</w:t>
      </w:r>
    </w:p>
    <w:p w14:paraId="04E7AFF1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§9 PI baseline — BOPTEST built-in reference.</w:t>
      </w:r>
    </w:p>
    <w:p w14:paraId="5F52E0F2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§10 Transfer diagnostics — closed-loop surrogate-vs-live ms_gap and feature attribution.</w:t>
      </w:r>
    </w:p>
    <w:p w14:paraId="0F24DEC6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§11 Synthesis — fidelity-vs-utility paradox and Block 3 prerequisites.</w:t>
      </w:r>
    </w:p>
    <w:p w14:paraId="79C7222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§1.2  PPO algorithm and hyperparameters</w:t>
      </w:r>
    </w:p>
    <w:p w14:paraId="091F9D46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All five controller families (pure v3, hybrid, HDRL, direct v3.5, MORL 17D) use Proximal Policy Optimization (PPO) with the Stable-Baselines3 reference implementation. However, </w:t>
      </w:r>
      <w:r>
        <w:rPr>
          <w:rFonts w:ascii="Arial" w:hAnsi="Arial" w:eastAsia="Arial" w:cs="Arial"/>
          <w:b/>
          <w:bCs/>
          <w:sz w:val="20"/>
          <w:szCs w:val="20"/>
        </w:rPr>
        <w:t>the PPO hyperparameters are NOT identical across families</w:t>
      </w:r>
      <w:r>
        <w:rPr>
          <w:rFonts w:ascii="Arial" w:hAnsi="Arial" w:eastAsia="Arial" w:cs="Arial"/>
          <w:sz w:val="20"/>
          <w:szCs w:val="20"/>
        </w:rPr>
        <w:t xml:space="preserve"> — each family is driven by its own training script that sets `nsteps` and `batchsize` independently. What is </w:t>
      </w:r>
      <w:r>
        <w:rPr>
          <w:rFonts w:ascii="Arial" w:hAnsi="Arial" w:eastAsia="Arial" w:cs="Arial"/>
          <w:b/>
          <w:bCs/>
          <w:sz w:val="20"/>
          <w:szCs w:val="20"/>
        </w:rPr>
        <w:t>shared across all families</w:t>
      </w:r>
      <w:r>
        <w:rPr>
          <w:rFonts w:ascii="Arial" w:hAnsi="Arial" w:eastAsia="Arial" w:cs="Arial"/>
          <w:sz w:val="20"/>
          <w:szCs w:val="20"/>
        </w:rPr>
        <w:t xml:space="preserve">: learningrate = 3×10⁻⁴ (during pretrain), γ = 0.99, nepochs = 10. What is </w:t>
      </w:r>
      <w:r>
        <w:rPr>
          <w:rFonts w:ascii="Arial" w:hAnsi="Arial" w:eastAsia="Arial" w:cs="Arial"/>
          <w:b/>
          <w:bCs/>
          <w:sz w:val="20"/>
          <w:szCs w:val="20"/>
        </w:rPr>
        <w:t>shared by Stable-Baselines3 default</w:t>
      </w:r>
      <w:r>
        <w:rPr>
          <w:rFonts w:ascii="Arial" w:hAnsi="Arial" w:eastAsia="Arial" w:cs="Arial"/>
          <w:sz w:val="20"/>
          <w:szCs w:val="20"/>
        </w:rPr>
        <w:t xml:space="preserve"> (because trainthermostatic.py and trainhdrl.py do not set them explicitly): GAE λ = 0.95, cliprange = 0.2, entropycoef = 0.0, vfcoef = 0.5 — these happen to match the values set explicitly in `configs/agent.yaml` for the MORL pipeline. What **differs by family**: rollout length `nsteps` and minibatch `batch_size`, and the total timestep budget.</w:t>
      </w:r>
    </w:p>
    <w:p w14:paraId="1D664875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1 — PPO training hyperparameters per controller family (verified per-script). </w:t>
      </w:r>
      <w:r>
        <w:rPr>
          <w:rFonts w:ascii="Arial" w:hAnsi="Arial" w:eastAsia="Arial" w:cs="Arial"/>
          <w:sz w:val="18"/>
          <w:szCs w:val="18"/>
        </w:rPr>
        <w:t xml:space="preserve"> Sources: training/train_thermostatic.py (line 646), training/train_hdrl.py (line 247), configs/agent.yaml + configs/morl_surrogate_ppo/train.yaml (MORL pretrain), training/finetune_morl_boptest.py (line 83).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2103"/>
        <w:gridCol w:w="1628"/>
        <w:gridCol w:w="2384"/>
        <w:gridCol w:w="2279"/>
      </w:tblGrid>
      <w:tr w14:paraId="50F8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C9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Hyperparameter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0F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Thermostatic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36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HDRL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A7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MORL pretrain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F7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MORL finetune</w:t>
            </w:r>
          </w:p>
        </w:tc>
      </w:tr>
      <w:tr w14:paraId="3F605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9E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Algorithm / policy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AE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PPO (Stable-Baselines3), MlpPolicy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EC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PPO (Stable-Baselines3), MlpPolicy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87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PPO (Stable-Baselines3), MlpPolicy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FE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PPO (Stable-Baselines3) (load+continue)</w:t>
            </w:r>
          </w:p>
        </w:tc>
      </w:tr>
      <w:tr w14:paraId="2469A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5A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Learning rate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25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3.0e-4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A9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3.0e-4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55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3.0e-4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29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1.0e-4</w:t>
            </w:r>
          </w:p>
        </w:tc>
      </w:tr>
      <w:tr w14:paraId="61A9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4D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n_steps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C4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1024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4D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1024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DF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2048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01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inherits</w:t>
            </w:r>
          </w:p>
        </w:tc>
      </w:tr>
      <w:tr w14:paraId="55B0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39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batch_size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93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4096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D3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2048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CD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B7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inherits</w:t>
            </w:r>
          </w:p>
        </w:tc>
      </w:tr>
      <w:tr w14:paraId="043A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64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n_epochs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4B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67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95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A5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</w:t>
            </w:r>
          </w:p>
        </w:tc>
      </w:tr>
      <w:tr w14:paraId="704D0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BA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γ (discount)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13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0.990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7B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0.990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E9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0.990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ED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0.990</w:t>
            </w:r>
          </w:p>
        </w:tc>
      </w:tr>
      <w:tr w14:paraId="07E9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98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GAE λ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7A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0.950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93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0.950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84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0.950 (set in cfg)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5D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0.950</w:t>
            </w:r>
          </w:p>
        </w:tc>
      </w:tr>
      <w:tr w14:paraId="371D3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DC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Clip range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6D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63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10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0.20 (set in cfg)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6D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0.20</w:t>
            </w:r>
          </w:p>
        </w:tc>
      </w:tr>
      <w:tr w14:paraId="0472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A4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Entropy coef.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19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48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48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1F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</w:t>
            </w:r>
          </w:p>
        </w:tc>
      </w:tr>
      <w:tr w14:paraId="5B25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42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Value coef.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45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A9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0.50 (SB3 default)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C8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CD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0.50</w:t>
            </w:r>
          </w:p>
        </w:tc>
      </w:tr>
      <w:tr w14:paraId="482B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21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Total timesteps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B0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10 000 000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A0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12 000 000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A9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2 000 000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A3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100 000</w:t>
            </w:r>
          </w:p>
        </w:tc>
      </w:tr>
      <w:tr w14:paraId="641D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6B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Seed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71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42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EA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42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3F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84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42</w:t>
            </w:r>
          </w:p>
        </w:tc>
      </w:tr>
      <w:tr w14:paraId="4350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E5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Source file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8C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training/train_thermostatic.py:646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34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training/train_hdrl.py:247 (PPO call); :278-279 (defaults via --winter-steps / --summer-steps)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2E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configs/agent.yaml + configs/morl_surrogate_ppo/train.yaml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AF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training/finetune_morl_boptest.py:83</w:t>
            </w:r>
          </w:p>
        </w:tc>
      </w:tr>
    </w:tbl>
    <w:p w14:paraId="38030082">
      <w:pPr>
        <w:spacing w:before="16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Three design choices deserve highlighting. First, the </w:t>
      </w:r>
      <w:r>
        <w:rPr>
          <w:rFonts w:ascii="Arial" w:hAnsi="Arial" w:eastAsia="Arial" w:cs="Arial"/>
          <w:b/>
          <w:bCs/>
          <w:sz w:val="20"/>
          <w:szCs w:val="20"/>
        </w:rPr>
        <w:t>discount γ = 0.99</w:t>
      </w:r>
      <w:r>
        <w:rPr>
          <w:rFonts w:ascii="Arial" w:hAnsi="Arial" w:eastAsia="Arial" w:cs="Arial"/>
          <w:sz w:val="20"/>
          <w:szCs w:val="20"/>
        </w:rPr>
        <w:t xml:space="preserve"> corresponds to an effective horizon of ~100 steps × 900 s ≈ 25 hours: the policy considers approximately one day of comfort consequences when valuing an action, which matches the natural occupancy cycle of bestestair. Second, **entropy coefficient = 0** means PPO converges to a deterministic policy after the initial exploration phase; this is intentional because the deployment use case is reproducible control, not interactive bandit play. Third, the **per-family difference in nsteps and batch_size** (thermostatic 1024/4096 vs HDRL 1024/2048 vs MORL pretrain 2048/64) reflects the rollout efficiency vs sample efficiency trade-off chosen by each family's authors, not a deliberate ablation. The MORL pipeline additionally runs a 100,000-step BOPTEST live-finetune at learning rate 1.0e-4 after the 2 M surrogate-pretrain step, to absorb the residual surrogate-vs-BOPTEST distribution shift.</w:t>
      </w:r>
    </w:p>
    <w:p w14:paraId="052E4E7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§1.3  Observation space — 17-D extended TSup-style</w:t>
      </w:r>
    </w:p>
    <w:p w14:paraId="55FAFD22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default observation space (used by pure v3, hybrid, HDRL, and MORL 17D) is the </w:t>
      </w:r>
      <w:r>
        <w:rPr>
          <w:rFonts w:ascii="Arial" w:hAnsi="Arial" w:eastAsia="Arial" w:cs="Arial"/>
          <w:b/>
          <w:bCs/>
          <w:sz w:val="20"/>
          <w:szCs w:val="20"/>
        </w:rPr>
        <w:t>17-dimensional extended TSup-style</w:t>
      </w:r>
      <w:r>
        <w:rPr>
          <w:rFonts w:ascii="Arial" w:hAnsi="Arial" w:eastAsia="Arial" w:cs="Arial"/>
          <w:sz w:val="20"/>
          <w:szCs w:val="20"/>
        </w:rPr>
        <w:t xml:space="preserve"> feature vector specified by `obs_mode = extended` in configs/env.yaml. It combines raw and lagged zone/ambient temperatures, clipped-log power telemetry, a causal-smooth ΔT signal, cyclic time encodings, and the last-action context. The earlier 5-D basic observation (zone temperature, ambient, hour, day, occupancy) is preserved in §6 as the failed-MORL baseline.</w:t>
      </w:r>
    </w:p>
    <w:p w14:paraId="7131EA09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2 — Extended observation feature groups (verified from envs/tsup_features.py). </w:t>
      </w:r>
      <w:r>
        <w:rPr>
          <w:rFonts w:ascii="Arial" w:hAnsi="Arial" w:eastAsia="Arial" w:cs="Arial"/>
          <w:sz w:val="18"/>
          <w:szCs w:val="18"/>
        </w:rPr>
        <w:t xml:space="preserve"> Source: envs/tsup_features.py (BASIC_TSUP_OBS_DIM=5, TIME_TSUP_OBS_DIM=4, FORECAST_HORIZONS=[1,3,6,12,24], HISTORY_TSUP_OBS_DIM=3 = 2-D prev_action + 1-D Δt_zone; totals 5+4+5+2+1 = 17). Encoding modes from configs/env.yaml: obs_mode = extended, delta_feature_mode = causal_smooth, power_feature_mode = clipped_log, t_zone_feature_mode = raw.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0"/>
        <w:gridCol w:w="720"/>
        <w:gridCol w:w="4560"/>
      </w:tblGrid>
      <w:tr w14:paraId="3197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B8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Feature group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76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Dim.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16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Notes</w:t>
            </w:r>
          </w:p>
        </w:tc>
      </w:tr>
      <w:tr w14:paraId="5980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71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Physical state (basic)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3C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73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t_zone, CO₂, p_total (clipped_log), t_supply_prev, t_amb — all normalised to [−1,+1]</w:t>
            </w:r>
          </w:p>
        </w:tc>
      </w:tr>
      <w:tr w14:paraId="631E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AE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Cyclic time encoding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0E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12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hour_sin, hour_cos, day_sin, day_cos (no calendar lookup needed)</w:t>
            </w:r>
          </w:p>
        </w:tc>
      </w:tr>
      <w:tr w14:paraId="273E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28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Ambient forecast (5 horizons)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B7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F2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t_amb at +1 h, +3 h, +6 h, +12 h, +24 h (weather lookup table)</w:t>
            </w:r>
          </w:p>
        </w:tc>
      </w:tr>
      <w:tr w14:paraId="1D1D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A0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Previous action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CB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5C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(a_t_supply, a_fan) from last step, both in [−1,+1]</w:t>
            </w:r>
          </w:p>
        </w:tc>
      </w:tr>
      <w:tr w14:paraId="5371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F7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Temperature delta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F4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81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Δt_zone last step, causal_smooth encoding (tanh(clip(Δ, ±1.5)/1.25))</w:t>
            </w:r>
          </w:p>
        </w:tc>
      </w:tr>
      <w:tr w14:paraId="0B67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98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Total (extended)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AF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1E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obs_mode = extended in configs/env.yaml; basic 5-D path frozen (§6)</w:t>
            </w:r>
          </w:p>
        </w:tc>
      </w:tr>
    </w:tbl>
    <w:p w14:paraId="4818A61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§1.4  Action space — normalized supply-air setpoint</w:t>
      </w:r>
    </w:p>
    <w:p w14:paraId="14767D24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actor outputs a single continuous </w:t>
      </w:r>
      <w:r>
        <w:rPr>
          <w:rFonts w:ascii="Arial" w:hAnsi="Arial" w:eastAsia="Arial" w:cs="Arial"/>
          <w:b/>
          <w:bCs/>
          <w:sz w:val="20"/>
          <w:szCs w:val="20"/>
        </w:rPr>
        <w:t>supply-air temperature setpoint</w:t>
      </w:r>
      <w:r>
        <w:rPr>
          <w:rFonts w:ascii="Arial" w:hAnsi="Arial" w:eastAsia="Arial" w:cs="Arial"/>
          <w:sz w:val="20"/>
          <w:szCs w:val="20"/>
        </w:rPr>
        <w:t xml:space="preserve"> in the range 18 – 35 °C, normalised to [-1, +1] inside the neural network (tanh squash) and remapped to physical units before being sent to BOPTEST. The wrapper applies a 1.0 °C deadband (small changes do not modulate the actuator) and a per-step rate limit of 0.15 normalised units (~2.6 °C per 15-minute step). Both shape choices protect the BOPTEST RTE from high-frequency actuation chatter and improve transfer to physical hardware in future work.</w:t>
      </w:r>
    </w:p>
    <w:p w14:paraId="24BC44CC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3 — Action-space configuration. </w:t>
      </w:r>
      <w:r>
        <w:rPr>
          <w:rFonts w:ascii="Arial" w:hAnsi="Arial" w:eastAsia="Arial" w:cs="Arial"/>
          <w:sz w:val="18"/>
          <w:szCs w:val="18"/>
        </w:rPr>
        <w:t xml:space="preserve"> Source: configs/env.yaml (action_wrappers and t_supply_low / high).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4A6A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18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E5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Value</w:t>
            </w:r>
          </w:p>
        </w:tc>
      </w:tr>
      <w:tr w14:paraId="2B02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BE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98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supply_temperature_setpoint</w:t>
            </w:r>
          </w:p>
        </w:tc>
      </w:tr>
      <w:tr w14:paraId="1813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8A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Dimensionality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36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 (continuous)</w:t>
            </w:r>
          </w:p>
        </w:tc>
      </w:tr>
      <w:tr w14:paraId="5DFE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61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Physical range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08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18.0 °C … 35.0 °C (supply air setpoint)</w:t>
            </w:r>
          </w:p>
        </w:tc>
      </w:tr>
      <w:tr w14:paraId="6006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F6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Network output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A4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tanh squash → linear remap to [low, high]</w:t>
            </w:r>
          </w:p>
        </w:tc>
      </w:tr>
      <w:tr w14:paraId="62BE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70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Smoothing deadband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0E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1.0 °C (no change unless |Δaction| exceeds)</w:t>
            </w:r>
          </w:p>
        </w:tc>
      </w:tr>
      <w:tr w14:paraId="47D3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3E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Rate limit (per step)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18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0.15 (normalized units)</w:t>
            </w:r>
          </w:p>
        </w:tc>
      </w:tr>
    </w:tbl>
    <w:p w14:paraId="78DD6DC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§1.5  Reward function — comfort shaping + (MORL) multi-objective weights</w:t>
      </w:r>
    </w:p>
    <w:p w14:paraId="4C1C730B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reward function combines a </w:t>
      </w:r>
      <w:r>
        <w:rPr>
          <w:rFonts w:ascii="Arial" w:hAnsi="Arial" w:eastAsia="Arial" w:cs="Arial"/>
          <w:b/>
          <w:bCs/>
          <w:sz w:val="20"/>
          <w:szCs w:val="20"/>
        </w:rPr>
        <w:t>comfort shaping term</w:t>
      </w:r>
      <w:r>
        <w:rPr>
          <w:rFonts w:ascii="Arial" w:hAnsi="Arial" w:eastAsia="Arial" w:cs="Arial"/>
          <w:sz w:val="20"/>
          <w:szCs w:val="20"/>
        </w:rPr>
        <w:t xml:space="preserve">, an </w:t>
      </w:r>
      <w:r>
        <w:rPr>
          <w:rFonts w:ascii="Arial" w:hAnsi="Arial" w:eastAsia="Arial" w:cs="Arial"/>
          <w:b/>
          <w:bCs/>
          <w:sz w:val="20"/>
          <w:szCs w:val="20"/>
        </w:rPr>
        <w:t>energy term</w:t>
      </w:r>
      <w:r>
        <w:rPr>
          <w:rFonts w:ascii="Arial" w:hAnsi="Arial" w:eastAsia="Arial" w:cs="Arial"/>
          <w:sz w:val="20"/>
          <w:szCs w:val="20"/>
        </w:rPr>
        <w:t xml:space="preserve">, and (for MORL only) a </w:t>
      </w:r>
      <w:r>
        <w:rPr>
          <w:rFonts w:ascii="Arial" w:hAnsi="Arial" w:eastAsia="Arial" w:cs="Arial"/>
          <w:b/>
          <w:bCs/>
          <w:sz w:val="20"/>
          <w:szCs w:val="20"/>
        </w:rPr>
        <w:t>safety term</w:t>
      </w:r>
      <w:r>
        <w:rPr>
          <w:rFonts w:ascii="Arial" w:hAnsi="Arial" w:eastAsia="Arial" w:cs="Arial"/>
          <w:sz w:val="20"/>
          <w:szCs w:val="20"/>
        </w:rPr>
        <w:t>, with explicit asymmetry between cold and hot ambient conditions. The base comfort term penalises zone temperatures outside the 21 – 24 °C band with linearly increasing weight beyond a 0.5 °C deadband; it adds a small in-band bonus (0.05 per step) so that the policy actively seeks the comfort interior rather than just avoiding violation. Asymmetric weights amplify cold-ambient undershoots (× 1.60) and hot-ambient overshoots (× 1.80), reflecting the physical reality that recovering from a cold zone in cold weather is harder than the symmetric reverse.</w:t>
      </w:r>
    </w:p>
    <w:p w14:paraId="37F65238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Action-direction bonuses (heating/cooling bonuses when tsupply is on the right side of room temperature) prevent PPO from learning a pathological constant-output policy in the first few epochs. For MORL, the multi-objective weighting is canonically (comfort, energy, safety) = (0.80, 0.20, 0.00) with an energyscale of 2.0e-4 that converts Watts to a comparable reward unit; the Pareto sweep (§8) varies these weights.</w:t>
      </w:r>
    </w:p>
    <w:p w14:paraId="4241C61E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4 — Reward function components. </w:t>
      </w:r>
      <w:r>
        <w:rPr>
          <w:rFonts w:ascii="Arial" w:hAnsi="Arial" w:eastAsia="Arial" w:cs="Arial"/>
          <w:sz w:val="18"/>
          <w:szCs w:val="18"/>
        </w:rPr>
        <w:t xml:space="preserve"> Source: configs/env.yaml (comfort_shaping + morl sub-block).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2640"/>
        <w:gridCol w:w="4080"/>
      </w:tblGrid>
      <w:tr w14:paraId="520F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8C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Reward component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7C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DB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Value</w:t>
            </w:r>
          </w:p>
        </w:tc>
      </w:tr>
      <w:tr w14:paraId="20FB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AC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Comfort band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A3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band_low_c / band_high_c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C6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21.0 / 24.0 °C</w:t>
            </w:r>
          </w:p>
        </w:tc>
      </w:tr>
      <w:tr w14:paraId="164D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7D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Comfort deadband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7E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deadband_c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0A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0.50 °C around band edges</w:t>
            </w:r>
          </w:p>
        </w:tc>
      </w:tr>
      <w:tr w14:paraId="148C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40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In-band bonus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49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band_bonus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90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0.050 per step inside band</w:t>
            </w:r>
          </w:p>
        </w:tc>
      </w:tr>
      <w:tr w14:paraId="3D7BA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FD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Generic violation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10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undershoot_weight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3F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1.15</w:t>
            </w:r>
          </w:p>
        </w:tc>
      </w:tr>
      <w:tr w14:paraId="06192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618B">
            <w:pPr>
              <w:jc w:val="left"/>
            </w:pP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57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overshoot_weight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87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1.15</w:t>
            </w:r>
          </w:p>
        </w:tc>
      </w:tr>
      <w:tr w14:paraId="5D23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1A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Cold-ambient asymmetry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75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cold_amb_threshold_c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A5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8.0 °C</w:t>
            </w:r>
          </w:p>
        </w:tc>
      </w:tr>
      <w:tr w14:paraId="35ED5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C3F4">
            <w:pPr>
              <w:jc w:val="left"/>
            </w:pP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0F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cold_undershoot_weight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86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1.60  (extra heat penalty)</w:t>
            </w:r>
          </w:p>
        </w:tc>
      </w:tr>
      <w:tr w14:paraId="2A0F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3E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Hot-ambient asymmetry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A4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hot_amb_threshold_c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88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24.0 °C</w:t>
            </w:r>
          </w:p>
        </w:tc>
      </w:tr>
      <w:tr w14:paraId="485C7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835C">
            <w:pPr>
              <w:jc w:val="left"/>
            </w:pP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88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hot_overshoot_weight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15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1.80  (extra cool penalty)</w:t>
            </w:r>
          </w:p>
        </w:tc>
      </w:tr>
      <w:tr w14:paraId="3C16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D3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Action-direction bonus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AE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heating_action_bonus / t_supply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5A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0.04 when t_supply ≥ 29.0 °C</w:t>
            </w:r>
          </w:p>
        </w:tc>
      </w:tr>
      <w:tr w14:paraId="5C3D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A31E">
            <w:pPr>
              <w:jc w:val="left"/>
            </w:pP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1E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cooling_action_bonus / t_supply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C3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0.06 when t_supply ≤ 21.0 °C</w:t>
            </w:r>
          </w:p>
        </w:tc>
      </w:tr>
      <w:tr w14:paraId="2BAC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37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MORL canonical weights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5A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comfort / energy / safety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A9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0.80 / 0.20 / 0.00</w:t>
            </w:r>
          </w:p>
        </w:tc>
      </w:tr>
      <w:tr w14:paraId="54D51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6897">
            <w:pPr>
              <w:jc w:val="left"/>
            </w:pP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42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energy_scale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E0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2.0e-4 (Watts → reward units)</w:t>
            </w:r>
          </w:p>
        </w:tc>
      </w:tr>
    </w:tbl>
    <w:p w14:paraId="49F16E6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§1.6  Scenario definitions</w:t>
      </w:r>
    </w:p>
    <w:p w14:paraId="1867B08D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Block 2 KPI tables report two </w:t>
      </w:r>
      <w:r>
        <w:rPr>
          <w:rFonts w:ascii="Arial" w:hAnsi="Arial" w:eastAsia="Arial" w:cs="Arial"/>
          <w:b/>
          <w:bCs/>
          <w:sz w:val="20"/>
          <w:szCs w:val="20"/>
        </w:rPr>
        <w:t>targeted 14-day windows</w:t>
      </w:r>
      <w:r>
        <w:rPr>
          <w:rFonts w:ascii="Arial" w:hAnsi="Arial" w:eastAsia="Arial" w:cs="Arial"/>
          <w:sz w:val="20"/>
          <w:szCs w:val="20"/>
        </w:rPr>
        <w:t xml:space="preserve"> plus, for MORL/PI yearly summaries, </w:t>
      </w:r>
      <w:r>
        <w:rPr>
          <w:rFonts w:ascii="Arial" w:hAnsi="Arial" w:eastAsia="Arial" w:cs="Arial"/>
          <w:b/>
          <w:bCs/>
          <w:sz w:val="20"/>
          <w:szCs w:val="20"/>
        </w:rPr>
        <w:t>12 monthly 14-day windows</w:t>
      </w:r>
      <w:r>
        <w:rPr>
          <w:rFonts w:ascii="Arial" w:hAnsi="Arial" w:eastAsia="Arial" w:cs="Arial"/>
          <w:sz w:val="20"/>
          <w:szCs w:val="20"/>
        </w:rPr>
        <w:t>. The targeted windows are intentionally chosen at extreme and moderate winter conditions:</w:t>
      </w:r>
    </w:p>
    <w:p w14:paraId="7580506B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**peak_heat_window** — starts at simulation day 3 (January, daily mean ambient −24.4 °C); this is the hardest single scenario in the year and serves as a stress test.</w:t>
      </w:r>
    </w:p>
    <w:p w14:paraId="7833C99F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**typical_heat_window** — starts at simulation day 37 (February, daily mean ambient +2.4 °C); this is a deployment-realistic moderate-winter operating point.</w:t>
      </w:r>
    </w:p>
    <w:p w14:paraId="17D7A713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5 — Targeted-window scenario definitions. </w:t>
      </w:r>
      <w:r>
        <w:rPr>
          <w:rFonts w:ascii="Arial" w:hAnsi="Arial" w:eastAsia="Arial" w:cs="Arial"/>
          <w:sz w:val="18"/>
          <w:szCs w:val="18"/>
        </w:rPr>
        <w:t xml:space="preserve"> Source: outputs/block2_*/scenario_manifest.json (start_day_index, duration_days, daily_mean_t_amb_c).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0"/>
        <w:gridCol w:w="1200"/>
        <w:gridCol w:w="1280"/>
        <w:gridCol w:w="1280"/>
        <w:gridCol w:w="1880"/>
        <w:gridCol w:w="1480"/>
      </w:tblGrid>
      <w:tr w14:paraId="1EDE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C8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04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Day index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C0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Start (s)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35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Duration (d)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91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Ambient mean (°C)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B6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Role</w:t>
            </w:r>
          </w:p>
        </w:tc>
      </w:tr>
      <w:tr w14:paraId="2B7E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AF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peak_heat_window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2C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76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259 200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08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6D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-24.4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49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January coldest, stress test on heating</w:t>
            </w:r>
          </w:p>
        </w:tc>
      </w:tr>
      <w:tr w14:paraId="03A3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A5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typical_heat_window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8F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37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87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3 196 800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2C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B2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2.4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1E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February moderate, deployment-realistic</w:t>
            </w:r>
          </w:p>
        </w:tc>
      </w:tr>
      <w:tr w14:paraId="5666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0F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yearly evaluation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53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 months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82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50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 / month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70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varied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2F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MORL + PI yearly summary</w:t>
            </w:r>
          </w:p>
        </w:tc>
      </w:tr>
    </w:tbl>
    <w:p w14:paraId="7999E86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§1.7  MORL pipeline — pretrain → ERAM → finetune → yearly eval</w:t>
      </w:r>
    </w:p>
    <w:p w14:paraId="3B87B32D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MORL uses a four-stage pipeline that differs from the single-stage PPO families. (1) </w:t>
      </w:r>
      <w:r>
        <w:rPr>
          <w:rFonts w:ascii="Arial" w:hAnsi="Arial" w:eastAsia="Arial" w:cs="Arial"/>
          <w:b/>
          <w:bCs/>
          <w:sz w:val="20"/>
          <w:szCs w:val="20"/>
        </w:rPr>
        <w:t>Pretrain</w:t>
      </w:r>
      <w:r>
        <w:rPr>
          <w:rFonts w:ascii="Arial" w:hAnsi="Arial" w:eastAsia="Arial" w:cs="Arial"/>
          <w:sz w:val="20"/>
          <w:szCs w:val="20"/>
        </w:rPr>
        <w:t xml:space="preserve">: 2 000 000 steps of PPO on the 17-D hybrid backend with the canonical (0.80/0.20/0.00) weights. (2) </w:t>
      </w:r>
      <w:r>
        <w:rPr>
          <w:rFonts w:ascii="Arial" w:hAnsi="Arial" w:eastAsia="Arial" w:cs="Arial"/>
          <w:b/>
          <w:bCs/>
          <w:sz w:val="20"/>
          <w:szCs w:val="20"/>
        </w:rPr>
        <w:t>ERAM</w:t>
      </w:r>
      <w:r>
        <w:rPr>
          <w:rFonts w:ascii="Arial" w:hAnsi="Arial" w:eastAsia="Arial" w:cs="Arial"/>
          <w:sz w:val="20"/>
          <w:szCs w:val="20"/>
        </w:rPr>
        <w:t xml:space="preserve"> (internal pipeline label; the expansion is not formally defined in source — it appears only as the file/argument name in training/trainmorleram.py): 20 iterations of 100 000 steps each, starting from initial weights 0.34/0.33/0.33 (comfort/energy/safety) with τw = 0.35 (weight-update temperature) and advlr = 1. (3) </w:t>
      </w:r>
      <w:r>
        <w:rPr>
          <w:rFonts w:ascii="Arial" w:hAnsi="Arial" w:eastAsia="Arial" w:cs="Arial"/>
          <w:b/>
          <w:bCs/>
          <w:sz w:val="20"/>
          <w:szCs w:val="20"/>
        </w:rPr>
        <w:t>Finetune</w:t>
      </w:r>
      <w:r>
        <w:rPr>
          <w:rFonts w:ascii="Arial" w:hAnsi="Arial" w:eastAsia="Arial" w:cs="Arial"/>
          <w:sz w:val="20"/>
          <w:szCs w:val="20"/>
        </w:rPr>
        <w:t xml:space="preserve">: 100 000 steps on the </w:t>
      </w:r>
      <w:r>
        <w:rPr>
          <w:rFonts w:ascii="Arial" w:hAnsi="Arial" w:eastAsia="Arial" w:cs="Arial"/>
          <w:b/>
          <w:bCs/>
          <w:sz w:val="20"/>
          <w:szCs w:val="20"/>
        </w:rPr>
        <w:t>live BOPTEST RTE</w:t>
      </w:r>
      <w:r>
        <w:rPr>
          <w:rFonts w:ascii="Arial" w:hAnsi="Arial" w:eastAsia="Arial" w:cs="Arial"/>
          <w:sz w:val="20"/>
          <w:szCs w:val="20"/>
        </w:rPr>
        <w:t xml:space="preserve"> at lr = 1.0e-4 with episode-start jitter of ±3 days to absorb the residual surrogate-vs-RTE distribution shift. (4) </w:t>
      </w:r>
      <w:r>
        <w:rPr>
          <w:rFonts w:ascii="Arial" w:hAnsi="Arial" w:eastAsia="Arial" w:cs="Arial"/>
          <w:b/>
          <w:bCs/>
          <w:sz w:val="20"/>
          <w:szCs w:val="20"/>
        </w:rPr>
        <w:t>Yearly evaluation</w:t>
      </w:r>
      <w:r>
        <w:rPr>
          <w:rFonts w:ascii="Arial" w:hAnsi="Arial" w:eastAsia="Arial" w:cs="Arial"/>
          <w:sz w:val="20"/>
          <w:szCs w:val="20"/>
        </w:rPr>
        <w:t>: 12 monthly 14-day scenarios on BOPTEST.</w:t>
      </w:r>
    </w:p>
    <w:p w14:paraId="70546D6D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MORL is the only family that uses live-BOPTEST finetuning. PPO/hybrid/HDRL are evaluated directly on BOPTEST after surrogate-only training, with no live finetuning step, which makes them strictly more challenging transfer scenarios.</w:t>
      </w:r>
    </w:p>
    <w:p w14:paraId="6BD2976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§1.8  Stochasticity during training — surrogate-side DR vs BOPTEST-side jitter</w:t>
      </w:r>
    </w:p>
    <w:p w14:paraId="7DC43810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There are </w:t>
      </w:r>
      <w:r>
        <w:rPr>
          <w:rFonts w:ascii="Arial" w:hAnsi="Arial" w:eastAsia="Arial" w:cs="Arial"/>
          <w:b/>
          <w:bCs/>
          <w:sz w:val="20"/>
          <w:szCs w:val="20"/>
        </w:rPr>
        <w:t>two distinct forms</w:t>
      </w:r>
      <w:r>
        <w:rPr>
          <w:rFonts w:ascii="Arial" w:hAnsi="Arial" w:eastAsia="Arial" w:cs="Arial"/>
          <w:sz w:val="20"/>
          <w:szCs w:val="20"/>
        </w:rPr>
        <w:t xml:space="preserve"> of training-time stochasticity, applied at different stages:</w:t>
      </w:r>
    </w:p>
    <w:p w14:paraId="383B6CAB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**Surrogate-side domain randomization** (thermostatic, hybrid, HDRL, MORL pretrain): at each episode reset, the initial zone temperature is sampled from 15.0 – 28.0 °C, the start day is sampled from the 366-day calendar (uniform or heating-biased), and Gaussian noise of σ = 1.5 °C is added to the weather-lookup ambient values. Implementation: `ThermostaticEnv.reset()` lines 350-366; surrogate_backend.py `dr_enabled` defaults to True.</w:t>
      </w:r>
    </w:p>
    <w:p w14:paraId="159C1716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**BOPTEST-side start-time jitter** (MORL finetune only): the surrogate-style DR no longer applies because BOPTEST is a deterministic EnergyPlus simulator with a fixed weather file. Instead, the live finetune samples episode starts from 12 yearly anchors (one per month, beginning at simulation time 0, 2,678,400 s, ..., 28,857,600 s) and adds ±3-day uniform jitter to each anchor (`boptest_start_jitter_sec = 3.0 × 86,400`). This gives 12 × ~6 = 72 effective episode-start windows. Implementation: `training/finetune_morl_boptest.py` lines 107-108.</w:t>
      </w:r>
    </w:p>
    <w:p w14:paraId="387B742D">
      <w:pPr>
        <w:spacing w:before="120" w:after="120"/>
        <w:jc w:val="both"/>
      </w:pPr>
      <w:r>
        <w:rPr>
          <w:rFonts w:ascii="Arial" w:hAnsi="Arial" w:eastAsia="Arial" w:cs="Arial"/>
          <w:b/>
          <w:bCs/>
          <w:sz w:val="20"/>
          <w:szCs w:val="20"/>
        </w:rPr>
        <w:t>Evaluation is fully deterministic</w:t>
      </w:r>
      <w:r>
        <w:rPr>
          <w:rFonts w:ascii="Arial" w:hAnsi="Arial" w:eastAsia="Arial" w:cs="Arial"/>
          <w:sz w:val="20"/>
          <w:szCs w:val="20"/>
        </w:rPr>
        <w:t>: post-training surrogate evaluation calls `ThermostaticEnv(dr_enabled=False)` (thermostatic line 675) and live BOPTEST evaluation uses fixed scenario start days. No randomness in the reported KPIs.</w:t>
      </w:r>
    </w:p>
    <w:p w14:paraId="0ACB19C7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Common to all results in Block 2: comfort band 21 °C – 24 °C, step = 900 s, targeted-rollout duration = 14 days, live testcase = BOPTEST bestestair (Docker BOPTEST RTE HTTP, surrogate model file outputs/surrogatev2/rcnodev3_tsupply.pt for v3, calibrated v3.5 from Block 1 §2.4).</w:t>
      </w:r>
    </w:p>
    <w:p w14:paraId="5C775293">
      <w:pPr>
        <w:pBdr>
          <w:bottom w:val="single" w:color="2E75B6" w:sz="4" w:space="1"/>
        </w:pBdr>
        <w:spacing w:before="200" w:after="200"/>
      </w:pPr>
    </w:p>
    <w:p w14:paraId="0DAAFF20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§2.  Pure v3 PPO thermostatic baseline</w:t>
      </w:r>
    </w:p>
    <w:p w14:paraId="69FC0CC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§2.1  Setup</w:t>
      </w:r>
    </w:p>
    <w:p w14:paraId="7B8572EB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pure v3 PPO baseline uses the canonical v3 control-oriented surrogate (outputs/surrogatev2/rcnodev3tsupply.pt) as the rollout dynamics inside PPO, with no v3.5 disagreement regularization (lambdatempdisagree = 0, lambdapowerdisagree = 0). The policy is a thermostatic PPO actor with a comfort-centered reward; observations include the 17-dimensional TSup-style feature vector (zone temperature, ambient, solar, ahead-of-day occupancy, hour/day cyclic, lagged power, etc.). After training on the surrogate, the policy is deployed against the live BOPTEST RTE for 14-day rollouts on two targeted scenarios.</w:t>
      </w:r>
    </w:p>
    <w:p w14:paraId="5911836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§2.2  Live BOPTEST results</w:t>
      </w:r>
    </w:p>
    <w:p w14:paraId="340C8A7D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Pure v3 PPO reaches sub-degree comfort RMSE in both targeted-window scenarios (peak: 0.869 °C; typical: 0.622 °C) and an ms well below the thermostat or PI baselines (peak ms = 0.072, typical = 0.095). This is the </w:t>
      </w:r>
      <w:r>
        <w:rPr>
          <w:rFonts w:ascii="Arial" w:hAnsi="Arial" w:eastAsia="Arial" w:cs="Arial"/>
          <w:b/>
          <w:bCs/>
          <w:sz w:val="20"/>
          <w:szCs w:val="20"/>
        </w:rPr>
        <w:t>first central finding of Block 2</w:t>
      </w:r>
      <w:r>
        <w:rPr>
          <w:rFonts w:ascii="Arial" w:hAnsi="Arial" w:eastAsia="Arial" w:cs="Arial"/>
          <w:sz w:val="20"/>
          <w:szCs w:val="20"/>
        </w:rPr>
        <w:t>: a surrogate that is provably inaccurate as a 24-hour predictor (Block 1 §1.3) nonetheless produces a usable PPO policy with single-digit setpoint violation percentage on the live test cases.</w:t>
      </w:r>
    </w:p>
    <w:p w14:paraId="112F69C8">
      <w:pPr>
        <w:pBdr>
          <w:bottom w:val="single" w:color="2E75B6" w:sz="4" w:space="1"/>
        </w:pBdr>
        <w:spacing w:before="200" w:after="200"/>
      </w:pPr>
    </w:p>
    <w:p w14:paraId="58C6476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§3.  Direct v3.5 PPO — negative control</w:t>
      </w:r>
    </w:p>
    <w:p w14:paraId="102462D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§3.1  Hypothesis and configuration</w:t>
      </w:r>
    </w:p>
    <w:p w14:paraId="667FF2A5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naive scientific hypothesis would be: since v3.5 is the higher-fidelity surrogate (Block 1: 0.644 °C 24h RMSE vs v3's 1.557 °C), a PPO trained on v3.5 should produce a strictly better controller. We test this by training PPO directly on the calibrated v3.5 backbone with no v3 dynamics (lambdatempdisagree = 0, no hybrid mixing), then deploying on the live BOPTEST RTE.</w:t>
      </w:r>
    </w:p>
    <w:p w14:paraId="2684146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§3.2  Result: catastrophic failure</w:t>
      </w:r>
    </w:p>
    <w:p w14:paraId="5AE486A1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Direct v3.5 PPO produces m_s = 1.046 on peak and 1.102 on typical scenarios — an order of magnitude worse than pure v3 PPO. Setpoint violation reaches 77.1 % on peak, with comfort RMSE of 4.32 °C — the policy spends most of the rollout outside the 21–24 °C band.</w:t>
      </w:r>
    </w:p>
    <w:p w14:paraId="4A22F03A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This is the </w:t>
      </w:r>
      <w:r>
        <w:rPr>
          <w:rFonts w:ascii="Arial" w:hAnsi="Arial" w:eastAsia="Arial" w:cs="Arial"/>
          <w:b/>
          <w:bCs/>
          <w:sz w:val="20"/>
          <w:szCs w:val="20"/>
        </w:rPr>
        <w:t>fidelity-vs-utility paradox</w:t>
      </w:r>
      <w:r>
        <w:rPr>
          <w:rFonts w:ascii="Arial" w:hAnsi="Arial" w:eastAsia="Arial" w:cs="Arial"/>
          <w:sz w:val="20"/>
          <w:szCs w:val="20"/>
        </w:rPr>
        <w:t xml:space="preserve"> in its clearest form: the surrogate with better predictive accuracy (v3.5, RMSET = 0.644 °C) produces a substantially worse PPO policy than the surrogate with worse predictive accuracy (v3, RMSET = 1.557 °C). </w:t>
      </w:r>
      <w:r>
        <w:rPr>
          <w:rFonts w:ascii="Arial" w:hAnsi="Arial" w:eastAsia="Arial" w:cs="Arial"/>
          <w:b/>
          <w:bCs/>
          <w:sz w:val="20"/>
          <w:szCs w:val="20"/>
        </w:rPr>
        <w:t>The mechanism is hypothesised, not directly measured.</w:t>
      </w:r>
      <w:r>
        <w:rPr>
          <w:rFonts w:ascii="Arial" w:hAnsi="Arial" w:eastAsia="Arial" w:cs="Arial"/>
          <w:sz w:val="20"/>
          <w:szCs w:val="20"/>
        </w:rPr>
        <w:t xml:space="preserve"> A consistent interpretation — supported by the empirical pattern and by general PPO theory but not by any gradient-variance measurement performed in this project — is that v3.5's sharper physical predictions yield higher-variance advantage estimates inside PPO, destabilising policy updates, while v3's smoother bias-toward-mean predictions provide a gentler gradient signal. An equally consistent alternative is that v3.5's predictions encode physical regimes (e.g., short-time thermal capacitance) the policy has no way to exploit at the 15-minute control cadence, so the policy over-fits to spurious sub-step structure. Discriminating between these mechanisms is left to Block 4.</w:t>
      </w:r>
    </w:p>
    <w:p w14:paraId="1EACA8E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§3.3  Warm-start utility check</w:t>
      </w:r>
    </w:p>
    <w:p w14:paraId="72FADD86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We additionally check whether v3.5 has any value as a </w:t>
      </w:r>
      <w:r>
        <w:rPr>
          <w:rFonts w:ascii="Arial" w:hAnsi="Arial" w:eastAsia="Arial" w:cs="Arial"/>
          <w:b/>
          <w:bCs/>
          <w:sz w:val="20"/>
          <w:szCs w:val="20"/>
        </w:rPr>
        <w:t>warm-start initialiser</w:t>
      </w:r>
      <w:r>
        <w:rPr>
          <w:rFonts w:ascii="Arial" w:hAnsi="Arial" w:eastAsia="Arial" w:cs="Arial"/>
          <w:sz w:val="20"/>
          <w:szCs w:val="20"/>
        </w:rPr>
        <w:t xml:space="preserve"> (pre-train on v3.5, then fine-tune on the hybrid backend). The comparison table below shows that scratch training on the hybrid backend outperforms warm-starting from v3.5 by a wide margin on both scenarios.</w:t>
      </w:r>
    </w:p>
    <w:p w14:paraId="2323ECEF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2 — Direct-v3.5 warm-start utility comparison. </w:t>
      </w:r>
      <w:r>
        <w:rPr>
          <w:rFonts w:ascii="Arial" w:hAnsi="Arial" w:eastAsia="Arial" w:cs="Arial"/>
          <w:sz w:val="18"/>
          <w:szCs w:val="18"/>
        </w:rPr>
        <w:t xml:space="preserve"> From outputs/block2_thermostatic_warmstart_utility/comparison_summary.csv.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2400"/>
        <w:gridCol w:w="1800"/>
        <w:gridCol w:w="2000"/>
      </w:tblGrid>
      <w:tr w14:paraId="0AA5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DC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8F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39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8C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Violation %</w:t>
            </w:r>
          </w:p>
        </w:tc>
      </w:tr>
      <w:tr w14:paraId="2419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16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scratch (from random init)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D1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3C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0.465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DB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31.70</w:t>
            </w:r>
          </w:p>
        </w:tc>
      </w:tr>
      <w:tr w14:paraId="64D9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1A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scratch (from random init)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99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D4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0.578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4E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45.54</w:t>
            </w:r>
          </w:p>
        </w:tc>
      </w:tr>
      <w:tr w14:paraId="711D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2A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warm-start (from v3.5)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51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FD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1.270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8D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83.93</w:t>
            </w:r>
          </w:p>
        </w:tc>
      </w:tr>
      <w:tr w14:paraId="3AF1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0C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warm-start (from v3.5)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1B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9D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1.289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69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86.83</w:t>
            </w:r>
          </w:p>
        </w:tc>
      </w:tr>
    </w:tbl>
    <w:p w14:paraId="22BC161F">
      <w:pPr>
        <w:spacing w:before="180" w:after="80"/>
        <w:jc w:val="center"/>
      </w:pPr>
      <w:r>
        <w:drawing>
          <wp:inline distT="0" distB="0" distL="0" distR="0">
            <wp:extent cx="5334000" cy="2190750"/>
            <wp:effectExtent l="0" t="0" r="0" b="0"/>
            <wp:docPr id="1" name="block2_warmstart_negative_eval_kpis.png" descr="Figure 2. Direct-v3.5 warm-start is a negative control: better predictive fidelity does not translate into a useful policy initializer." title="block2_warmstart_negative_eval_kp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2_warmstart_negative_eval_kpis.png" descr="Figure 2. Direct-v3.5 warm-start is a negative control: better predictive fidelity does not translate into a useful policy initializer." title="block2_warmstart_negative_eval_kpi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0FE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2. </w:t>
      </w:r>
      <w:r>
        <w:rPr>
          <w:rFonts w:ascii="Arial" w:hAnsi="Arial" w:eastAsia="Arial" w:cs="Arial"/>
          <w:color w:val="555555"/>
          <w:sz w:val="18"/>
          <w:szCs w:val="18"/>
        </w:rPr>
        <w:t>Direct-v3.5 warm-start is a negative control: better predictive fidelity does not translate into a useful policy initializer.</w:t>
      </w:r>
    </w:p>
    <w:p w14:paraId="4F54C563">
      <w:pPr>
        <w:spacing w:before="160" w:after="120"/>
        <w:jc w:val="both"/>
      </w:pPr>
      <w:r>
        <w:rPr>
          <w:rFonts w:ascii="Arial" w:hAnsi="Arial" w:eastAsia="Arial" w:cs="Arial"/>
          <w:sz w:val="20"/>
          <w:szCs w:val="20"/>
        </w:rPr>
        <w:t>Warm-starting from v3.5 not only fails to help — it actively harms training, raising m_s by 2–3×. Conclusion: v3.5 must be used as a soft regularizer (next section), not as a direct rollout backbone or warm-start source.</w:t>
      </w:r>
    </w:p>
    <w:p w14:paraId="7041DD98">
      <w:pPr>
        <w:pBdr>
          <w:bottom w:val="single" w:color="2E75B6" w:sz="4" w:space="1"/>
        </w:pBdr>
        <w:spacing w:before="200" w:after="200"/>
      </w:pPr>
    </w:p>
    <w:p w14:paraId="489B184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§4.  Thermostatic hybrid (canonical positive result)</w:t>
      </w:r>
    </w:p>
    <w:p w14:paraId="1EB5BBB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§4.1  Architecture: v3 dynamics + v3.5 disagreement reward-shaping</w:t>
      </w:r>
    </w:p>
    <w:p w14:paraId="4D034B13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hybrid backend uses v3 as primary rollout dynamics (so PPO sees the smooth, control-friendly transitions) and v3.5 as a </w:t>
      </w:r>
      <w:r>
        <w:rPr>
          <w:rFonts w:ascii="Arial" w:hAnsi="Arial" w:eastAsia="Arial" w:cs="Arial"/>
          <w:b/>
          <w:bCs/>
          <w:sz w:val="20"/>
          <w:szCs w:val="20"/>
        </w:rPr>
        <w:t>per-step reward-shaping censor</w:t>
      </w:r>
      <w:r>
        <w:rPr>
          <w:rFonts w:ascii="Arial" w:hAnsi="Arial" w:eastAsia="Arial" w:cs="Arial"/>
          <w:sz w:val="20"/>
          <w:szCs w:val="20"/>
        </w:rPr>
        <w:t xml:space="preserve"> (NOT a separate policy-loss term). At each surrogate step both models are evaluated on the same (state, action); the absolute differences `|tv3 − tv3.5|` and `|pv3 − pv3.5|` are computed and the per-step reward becomes:</w:t>
      </w:r>
    </w:p>
    <w:p w14:paraId="256A8D95">
      <w:pPr>
        <w:spacing w:before="120" w:after="12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r = r_comfort + r_smooth + r_energy − λ_temp · |Δt_disagree| − λ_pwr · |Δp_disagree|</w:t>
      </w:r>
      <w:r>
        <w:rPr>
          <w:rFonts w:ascii="Arial" w:hAnsi="Arial" w:eastAsia="Arial" w:cs="Arial"/>
          <w:sz w:val="22"/>
          <w:szCs w:val="22"/>
        </w:rPr>
        <w:t>, with λtemp = 0.1 and λpwr = 5.0e-5 for the canonical hybrid_l010.</w:t>
      </w:r>
    </w:p>
    <w:p w14:paraId="1D72E357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PPO then computes the advantage At = rt + γV(s{t+1}) − V(st) from this augmented reward in the standard way; there is no explicit modification of the policy gradient. The verified source is `envs/backends/surrogatebackend.py` lines 343-350 (`reward -= self.lambdatempdisagree * float(tempdisagreement)` etc.) and `training/train_thermostatic.py` line 436. The disagreement signal acts as a censor, not a forecast: when v3 and v3.5 agree the disagreement term vanishes and the reward reduces to comfort + energy; when they disagree the agent loses reward and learns to avoid the disputed regions of state-action space.</w:t>
      </w:r>
    </w:p>
    <w:p w14:paraId="35B2086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§4.2  Live BOPTEST results</w:t>
      </w:r>
    </w:p>
    <w:p w14:paraId="281BCF42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Hybridl010 achieves ms = 0.087 (peak) and 0.041 (typical). It nearly matches pure v3 on the peak window while saving energy, and it clearly improves pure v3 on the typical window — with comfort RMSE down to 0.795 / 0.633 °C with setpoint violation below 5 % on both scenarios. Energy consumption is lower than pure v3 (305 vs 322 kWh peak); the hybrid achieves better comfort at no energy cost.</w:t>
      </w:r>
    </w:p>
    <w:p w14:paraId="0F9429AB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4 — Canonical Block 2 results on the live BOPTEST RTE (paper §6.3). </w:t>
      </w:r>
      <w:r>
        <w:rPr>
          <w:rFonts w:ascii="Arial" w:hAnsi="Arial" w:eastAsia="Arial" w:cs="Arial"/>
          <w:sz w:val="18"/>
          <w:szCs w:val="18"/>
        </w:rPr>
        <w:t xml:space="preserve"> Sources: outputs/bestest_air_article7_style_15min/summary.csv (pure v3 PPO), outputs/block2_thermostatic_hybrid_v3_v35_l010/summary.csv (hybrid_l010), reports/hybrid_transfer_comparison.csv (direct v3.5 from transfer-comparison harness). Green = strong result (m_s &lt; 0.10); red = failure (m_s &gt; 0.50); yellow = intermediate.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80"/>
        <w:gridCol w:w="1080"/>
        <w:gridCol w:w="1320"/>
        <w:gridCol w:w="1440"/>
        <w:gridCol w:w="1640"/>
      </w:tblGrid>
      <w:tr w14:paraId="4771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3F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Backend / Policy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47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66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</w:t>
            </w:r>
          </w:p>
        </w:tc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52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Violation %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00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RMSE_T (°C)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63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Energy (kWh)</w:t>
            </w:r>
          </w:p>
        </w:tc>
      </w:tr>
      <w:tr w14:paraId="4CB8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2E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pure_v3 PPO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C0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E4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0.072</w:t>
            </w:r>
          </w:p>
        </w:tc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CB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1.49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46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0.869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55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322.2</w:t>
            </w:r>
          </w:p>
        </w:tc>
      </w:tr>
      <w:tr w14:paraId="6F95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37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pure_v3 PPO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92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F3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0.095</w:t>
            </w:r>
          </w:p>
        </w:tc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DD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4.39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F7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0.622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52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368.3</w:t>
            </w:r>
          </w:p>
        </w:tc>
      </w:tr>
      <w:tr w14:paraId="6755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0E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direct_v35 PPO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F1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B3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1.046</w:t>
            </w:r>
          </w:p>
        </w:tc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8E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77.08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B5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4.320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DB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556.2</w:t>
            </w:r>
          </w:p>
        </w:tc>
      </w:tr>
      <w:tr w14:paraId="34BF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9E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direct_v35 PPO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77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4E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1.102</w:t>
            </w:r>
          </w:p>
        </w:tc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47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82.37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85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4.401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9F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580.5</w:t>
            </w:r>
          </w:p>
        </w:tc>
      </w:tr>
      <w:tr w14:paraId="49D8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77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hybrid_l010 PPO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57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24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0.087</w:t>
            </w:r>
          </w:p>
        </w:tc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FB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4.69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2E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0.795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E6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305.3</w:t>
            </w:r>
          </w:p>
        </w:tc>
      </w:tr>
      <w:tr w14:paraId="3ACF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42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hybrid_l010 PPO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8A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DA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0.041</w:t>
            </w:r>
          </w:p>
        </w:tc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8C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2.38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CB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0.633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67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352.8</w:t>
            </w:r>
          </w:p>
        </w:tc>
      </w:tr>
    </w:tbl>
    <w:p w14:paraId="6CFC0A13">
      <w:pPr>
        <w:spacing w:before="180" w:after="80"/>
        <w:jc w:val="center"/>
      </w:pPr>
      <w:r>
        <w:drawing>
          <wp:inline distT="0" distB="0" distL="0" distR="0">
            <wp:extent cx="5334000" cy="2381250"/>
            <wp:effectExtent l="0" t="0" r="0" b="0"/>
            <wp:docPr id="2" name="block2_thermostatic_pure_v3_vs_hybrid_kpis.png" descr="Figure 3. Thermostatic pure-v3 versus hybrid_l010 KPIs on peak and typical windows. Hybrid_l010 trades a small peak-window m_s increase for lower energy and strongly improves the typical window." title="block2_thermostatic_pure_v3_vs_hybrid_kp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2_thermostatic_pure_v3_vs_hybrid_kpis.png" descr="Figure 3. Thermostatic pure-v3 versus hybrid_l010 KPIs on peak and typical windows. Hybrid_l010 trades a small peak-window m_s increase for lower energy and strongly improves the typical window." title="block2_thermostatic_pure_v3_vs_hybrid_kpi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6C08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3. </w:t>
      </w:r>
      <w:r>
        <w:rPr>
          <w:rFonts w:ascii="Arial" w:hAnsi="Arial" w:eastAsia="Arial" w:cs="Arial"/>
          <w:color w:val="555555"/>
          <w:sz w:val="18"/>
          <w:szCs w:val="18"/>
        </w:rPr>
        <w:t>Thermostatic pure-v3 versus hybrid_l010 KPIs on peak and typical windows. Hybrid_l010 trades a small peak-window m_s increase for lower energy and strongly improves the typical window.</w:t>
      </w:r>
    </w:p>
    <w:p w14:paraId="462F3CC2">
      <w:pPr>
        <w:spacing w:before="16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Block 2 main table shows the full fidelity-vs-utility paradox in a single panel: </w:t>
      </w:r>
      <w:r>
        <w:rPr>
          <w:rFonts w:ascii="Arial" w:hAnsi="Arial" w:eastAsia="Arial" w:cs="Arial"/>
          <w:b/>
          <w:bCs/>
          <w:sz w:val="20"/>
          <w:szCs w:val="20"/>
        </w:rPr>
        <w:t>direct v3.5 fails despite better predictive fidelity; pure v3 is control-usable; hybrid_l010 is the best verified compromise</w:t>
      </w:r>
      <w:r>
        <w:rPr>
          <w:rFonts w:ascii="Arial" w:hAnsi="Arial" w:eastAsia="Arial" w:cs="Arial"/>
          <w:sz w:val="20"/>
          <w:szCs w:val="20"/>
        </w:rPr>
        <w:t>. Predictive fidelity alone does not determine controller quality — the role of the calibrated physical twin (v3.5) is to provide a soft physics censor, not to be the rollout dynamics.</w:t>
      </w:r>
    </w:p>
    <w:p w14:paraId="6EF4AA9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§4.3  Hybrid disagreement bounded, not chaotic</w:t>
      </w:r>
    </w:p>
    <w:p w14:paraId="249D2443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On the canonical hybrid traces, the average temperature disagreement between v3 and v3.5 is 0.969 °C (p95 = 2.52 °C); the average power disagreement is 708 W (p95 = 1236 W). These bounds confirm that the two surrogates are not chaotically divergent — they remain in the same dynamical regime, so the disagreement signal is informative rather than dominated by representation noise.</w:t>
      </w:r>
    </w:p>
    <w:p w14:paraId="215411BA">
      <w:pPr>
        <w:pBdr>
          <w:bottom w:val="single" w:color="2E75B6" w:sz="4" w:space="1"/>
        </w:pBdr>
        <w:spacing w:before="200" w:after="200"/>
      </w:pPr>
    </w:p>
    <w:p w14:paraId="547932E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§5.  HDRL sweep — controller-family-specific limit</w:t>
      </w:r>
    </w:p>
    <w:p w14:paraId="4E557BB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§5.1  Question</w:t>
      </w:r>
    </w:p>
    <w:p w14:paraId="3D457244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Does the thermostatic-optimal lambdatempdisagree = 0.10 transfer to the next controller family — Hierarchical Deep RL (HDRL)? HDRL has a different action space (multi-level scheduler + low-level setpoint controller) and different gradient dynamics, so a universal hybrid weight is not guaranteed.</w:t>
      </w:r>
    </w:p>
    <w:p w14:paraId="2B31A15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§5.2  Sweep results</w:t>
      </w:r>
    </w:p>
    <w:p w14:paraId="21F4F762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5 — HDRL sweep across λ_temp_disagree ∈ {0, 0.03, 0.05, 0.10}. </w:t>
      </w:r>
      <w:r>
        <w:rPr>
          <w:rFonts w:ascii="Arial" w:hAnsi="Arial" w:eastAsia="Arial" w:cs="Arial"/>
          <w:sz w:val="18"/>
          <w:szCs w:val="18"/>
        </w:rPr>
        <w:t xml:space="preserve"> Green = best (λ = 0.00); red = worst (λ = 0.10). From reports/block2_hdrl_lambda_sweep_summary.csv.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0"/>
        <w:gridCol w:w="1300"/>
        <w:gridCol w:w="1400"/>
        <w:gridCol w:w="1700"/>
        <w:gridCol w:w="1560"/>
      </w:tblGrid>
      <w:tr w14:paraId="2F5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BB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λ_temp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FF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47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3E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Violation 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7A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RMSE_center (°C)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86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Energy (kWh)</w:t>
            </w:r>
          </w:p>
        </w:tc>
      </w:tr>
      <w:tr w14:paraId="4789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CF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F8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27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0.180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08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6.10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A4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0.751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40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329.6</w:t>
            </w:r>
          </w:p>
        </w:tc>
      </w:tr>
      <w:tr w14:paraId="5AF2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7F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0.03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AF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28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0.307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F9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11.90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EA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0.993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83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311.5</w:t>
            </w:r>
          </w:p>
        </w:tc>
      </w:tr>
      <w:tr w14:paraId="0A71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5C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0.05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2E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B9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0.418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AA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20.98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4F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1.303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06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298.1</w:t>
            </w:r>
          </w:p>
        </w:tc>
      </w:tr>
      <w:tr w14:paraId="5409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27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11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FC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0.440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D0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22.99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DB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1.343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DF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300.4</w:t>
            </w:r>
          </w:p>
        </w:tc>
      </w:tr>
      <w:tr w14:paraId="68C6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B8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3B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7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0.234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77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3.12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90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0.691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3F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385.1</w:t>
            </w:r>
          </w:p>
        </w:tc>
      </w:tr>
      <w:tr w14:paraId="24DE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27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0.03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47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9F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0.296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05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9.38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94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0.959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EF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369.6</w:t>
            </w:r>
          </w:p>
        </w:tc>
      </w:tr>
      <w:tr w14:paraId="13B17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59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0.05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BB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5E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0.512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E2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27.38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40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1.491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F1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354.5</w:t>
            </w:r>
          </w:p>
        </w:tc>
      </w:tr>
      <w:tr w14:paraId="3CF7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66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0.10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EE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7E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0.511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77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30.65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DB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1.455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26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357.1</w:t>
            </w:r>
          </w:p>
        </w:tc>
      </w:tr>
    </w:tbl>
    <w:p w14:paraId="045E2C6C">
      <w:pPr>
        <w:spacing w:before="180" w:after="80"/>
        <w:jc w:val="center"/>
      </w:pPr>
      <w:r>
        <w:drawing>
          <wp:inline distT="0" distB="0" distL="0" distR="0">
            <wp:extent cx="5334000" cy="2381250"/>
            <wp:effectExtent l="0" t="0" r="0" b="0"/>
            <wp:docPr id="3" name="block2_hdrl_lambda_sweep_sensitivity.png" descr="Figure 4. HDRL rejects the thermostatic λ_temp=0.10 setting; λ_temp=0 is best on both windows." title="block2_hdrl_lambda_sweep_sensi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2_hdrl_lambda_sweep_sensitivity.png" descr="Figure 4. HDRL rejects the thermostatic λ_temp=0.10 setting; λ_temp=0 is best on both windows." title="block2_hdrl_lambda_sweep_sensitivit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BC6A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4. </w:t>
      </w:r>
      <w:r>
        <w:rPr>
          <w:rFonts w:ascii="Arial" w:hAnsi="Arial" w:eastAsia="Arial" w:cs="Arial"/>
          <w:color w:val="555555"/>
          <w:sz w:val="18"/>
          <w:szCs w:val="18"/>
        </w:rPr>
        <w:t>HDRL rejects the thermostatic λ_temp=0.10 setting; λ_temp=0 is best on both windows.</w:t>
      </w:r>
    </w:p>
    <w:p w14:paraId="23FB84E6">
      <w:pPr>
        <w:spacing w:before="180" w:after="80"/>
        <w:jc w:val="center"/>
      </w:pPr>
      <w:r>
        <w:drawing>
          <wp:inline distT="0" distB="0" distL="0" distR="0">
            <wp:extent cx="5334000" cy="2190750"/>
            <wp:effectExtent l="0" t="0" r="0" b="0"/>
            <wp:docPr id="4" name="block2_hdrl_l000_winter_tracking.png" descr="Figure 5. Representative HDRL λ_temp=0 winter tracking trace, included to show the physical origin of the KPI table." title="block2_hdrl_l000_winter_trac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ock2_hdrl_l000_winter_tracking.png" descr="Figure 5. Representative HDRL λ_temp=0 winter tracking trace, included to show the physical origin of the KPI table." title="block2_hdrl_l000_winter_trackin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6F14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5. </w:t>
      </w:r>
      <w:r>
        <w:rPr>
          <w:rFonts w:ascii="Arial" w:hAnsi="Arial" w:eastAsia="Arial" w:cs="Arial"/>
          <w:color w:val="555555"/>
          <w:sz w:val="18"/>
          <w:szCs w:val="18"/>
        </w:rPr>
        <w:t>Representative HDRL λ_temp=0 winter tracking trace, included to show the physical origin of the KPI table.</w:t>
      </w:r>
    </w:p>
    <w:p w14:paraId="41656879">
      <w:pPr>
        <w:spacing w:before="16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On both scenarios, HDRL performance </w:t>
      </w:r>
      <w:r>
        <w:rPr>
          <w:rFonts w:ascii="Arial" w:hAnsi="Arial" w:eastAsia="Arial" w:cs="Arial"/>
          <w:b/>
          <w:bCs/>
          <w:sz w:val="20"/>
          <w:szCs w:val="20"/>
        </w:rPr>
        <w:t>monotonically degrades</w:t>
      </w:r>
      <w:r>
        <w:rPr>
          <w:rFonts w:ascii="Arial" w:hAnsi="Arial" w:eastAsia="Arial" w:cs="Arial"/>
          <w:sz w:val="20"/>
          <w:szCs w:val="20"/>
        </w:rPr>
        <w:t xml:space="preserve"> with increasing lambdatempdisagree. The best HDRL setting is lambda = 0 (no temperature regularization). The thermostatic-default lambda = 0.10 produces a 2.4× worse ms on peak and a 2.2× worse ms on typical compared to lambda = 0.</w:t>
      </w:r>
    </w:p>
    <w:p w14:paraId="6D194A6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§5.3  Interpretation: hybrid regularization is family-specific</w:t>
      </w:r>
    </w:p>
    <w:p w14:paraId="77FB3C95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HDRL sweep falsifies the hypothesis that there is a single optimal lambdatempdisagree across controller families. The right reading is: thermostatic PPO benefits from temperature disagreement censoring, but HDRL — which already has a hierarchical comfort-aware structure — is over-regularised by the same signal. The lesson for the MORL stage (§6) is that the </w:t>
      </w:r>
      <w:r>
        <w:rPr>
          <w:rFonts w:ascii="Arial" w:hAnsi="Arial" w:eastAsia="Arial" w:cs="Arial"/>
          <w:b/>
          <w:bCs/>
          <w:sz w:val="20"/>
          <w:szCs w:val="20"/>
        </w:rPr>
        <w:t>power-only</w:t>
      </w:r>
      <w:r>
        <w:rPr>
          <w:rFonts w:ascii="Arial" w:hAnsi="Arial" w:eastAsia="Arial" w:cs="Arial"/>
          <w:sz w:val="20"/>
          <w:szCs w:val="20"/>
        </w:rPr>
        <w:t xml:space="preserve"> hybrid backend (lambdatemp = 0, lambdapower = 5e-5) should be the starting point, not the temperature-and-power hybrid that worked for thermostatic PPO.</w:t>
      </w:r>
    </w:p>
    <w:p w14:paraId="1288AAB1">
      <w:pPr>
        <w:pBdr>
          <w:bottom w:val="single" w:color="2E75B6" w:sz="4" w:space="1"/>
        </w:pBdr>
        <w:spacing w:before="200" w:after="200"/>
      </w:pPr>
    </w:p>
    <w:p w14:paraId="6898C1F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§6.  MORL 5D failure → 17D success</w:t>
      </w:r>
    </w:p>
    <w:p w14:paraId="7C724E9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§6.1  The frozen 5D failure (Section 6.5 of roadmap)</w:t>
      </w:r>
    </w:p>
    <w:p w14:paraId="3FA964B7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first MORL implementation used a 5-dimensional observation (zone temperature, ambient temperature, hour, day, occupancy). Both training and live evaluation produced comfort RMSE of 4.96 °C with 74.5 % setpoint violations — a complete failure. The policy could not use the available observations to distinguish heating from cooling demand or to anticipate occupancy transitions. This result is preserved as a frozen artifact (audit anchor only) and is not re-generated by the current code path.</w:t>
      </w:r>
    </w:p>
    <w:p w14:paraId="553E1D8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§6.2  The 17D power-only backend (canonical MORL)</w:t>
      </w:r>
    </w:p>
    <w:p w14:paraId="71448119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Replacing the 5D observation with the 17-dimensional TSup-style feature vector — same as thermostatic PPO and HDRL — and disabling temperature disagreement regularization (lambdatemp = 0, lambdapower = 5e-5, learned from the HDRL sweep in §5) recovers a usable MORL policy: ms = 0.099, 4.9 % violation, RMSET = 0.72 °C, energy = 248.6 kWh.</w:t>
      </w:r>
    </w:p>
    <w:p w14:paraId="5856E5C2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6 — MORL 5D vs 17D comparison. </w:t>
      </w:r>
      <w:r>
        <w:rPr>
          <w:rFonts w:ascii="Arial" w:hAnsi="Arial" w:eastAsia="Arial" w:cs="Arial"/>
          <w:sz w:val="18"/>
          <w:szCs w:val="18"/>
        </w:rPr>
        <w:t xml:space="preserve"> Red = failure; green = canonical success. From reports/block2_morl_comparison_summary.csv.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9"/>
        <w:gridCol w:w="866"/>
        <w:gridCol w:w="1265"/>
        <w:gridCol w:w="1069"/>
        <w:gridCol w:w="1066"/>
        <w:gridCol w:w="1277"/>
        <w:gridCol w:w="1107"/>
        <w:gridCol w:w="691"/>
      </w:tblGrid>
      <w:tr w14:paraId="64B2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0F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F1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Obs dim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26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RMSE_T (°C)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71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MAE_T (°C)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67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Within 1°C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A7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Violation %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46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Energy (kWh)</w:t>
            </w:r>
          </w:p>
        </w:tc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F7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</w:t>
            </w:r>
          </w:p>
        </w:tc>
      </w:tr>
      <w:tr w14:paraId="256B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3A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MORL 5D basic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89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CA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4.96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35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4.17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A8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19%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6B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74.5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D2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121.0</w:t>
            </w:r>
          </w:p>
        </w:tc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8F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1.046</w:t>
            </w:r>
          </w:p>
        </w:tc>
      </w:tr>
      <w:tr w14:paraId="400F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B6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MORL 17D power-only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2E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64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0.72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1C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0.56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20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83%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2D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4.9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1B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248.6</w:t>
            </w:r>
          </w:p>
        </w:tc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0F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0.099</w:t>
            </w:r>
          </w:p>
        </w:tc>
      </w:tr>
    </w:tbl>
    <w:p w14:paraId="6E79C1E4">
      <w:pPr>
        <w:spacing w:before="180" w:after="80"/>
        <w:jc w:val="center"/>
      </w:pPr>
      <w:r>
        <w:drawing>
          <wp:inline distT="0" distB="0" distL="0" distR="0">
            <wp:extent cx="5334000" cy="2476500"/>
            <wp:effectExtent l="0" t="0" r="0" b="0"/>
            <wp:docPr id="5" name="block2_morl_5d_vs_17d_radar.png" descr="Figure 6. MORL observation-interface ablation. The 5D interface fails; the 17D TSup-style interface recovers a usable policy." title="block2_morl_5d_vs_17d_ra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ock2_morl_5d_vs_17d_radar.png" descr="Figure 6. MORL observation-interface ablation. The 5D interface fails; the 17D TSup-style interface recovers a usable policy." title="block2_morl_5d_vs_17d_rada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5585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6. </w:t>
      </w:r>
      <w:r>
        <w:rPr>
          <w:rFonts w:ascii="Arial" w:hAnsi="Arial" w:eastAsia="Arial" w:cs="Arial"/>
          <w:color w:val="555555"/>
          <w:sz w:val="18"/>
          <w:szCs w:val="18"/>
        </w:rPr>
        <w:t>MORL observation-interface ablation. The 5D interface fails; the 17D TSup-style interface recovers a usable policy.</w:t>
      </w:r>
    </w:p>
    <w:p w14:paraId="22273CE8">
      <w:pPr>
        <w:spacing w:before="16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MORL result confirms the cross-family pattern: </w:t>
      </w:r>
      <w:r>
        <w:rPr>
          <w:rFonts w:ascii="Arial" w:hAnsi="Arial" w:eastAsia="Arial" w:cs="Arial"/>
          <w:b/>
          <w:bCs/>
          <w:sz w:val="20"/>
          <w:szCs w:val="20"/>
        </w:rPr>
        <w:t>v3 supplies the temperature dynamics, v3.5 supplies a soft power censor, and the controller-family-specific lambda values come from the HDRL sweep</w:t>
      </w:r>
      <w:r>
        <w:rPr>
          <w:rFonts w:ascii="Arial" w:hAnsi="Arial" w:eastAsia="Arial" w:cs="Arial"/>
          <w:sz w:val="20"/>
          <w:szCs w:val="20"/>
        </w:rPr>
        <w:t>. The dominant factor in MORL success was not the backend (it was the same hybrid in both 5D and 17D), but the observation-interface design.</w:t>
      </w:r>
    </w:p>
    <w:p w14:paraId="3DE09166">
      <w:pPr>
        <w:pBdr>
          <w:bottom w:val="single" w:color="2E75B6" w:sz="4" w:space="1"/>
        </w:pBdr>
        <w:spacing w:before="200" w:after="200"/>
      </w:pPr>
    </w:p>
    <w:p w14:paraId="5A10D101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§7.  MORL canonical seed analysis (N = 5 falsification)</w:t>
      </w:r>
    </w:p>
    <w:p w14:paraId="4E9877D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§7.1  Pre-registration and audit anchors</w:t>
      </w:r>
    </w:p>
    <w:p w14:paraId="58B1000E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MORL canonical seed at the time of the seed-45/46 pre-registration (commit 93df9b3, "pre-registration: seed45/46 falsification predictions for practical canonical") was seed 42 with comfort/energy weights 50/50, reaching m_s = 0.099 on the single-seed yearly evaluation. The pre-registration recorded the </w:t>
      </w:r>
      <w:r>
        <w:rPr>
          <w:rFonts w:ascii="Arial" w:hAnsi="Arial" w:eastAsia="Arial" w:cs="Arial"/>
          <w:b/>
          <w:bCs/>
          <w:sz w:val="20"/>
          <w:szCs w:val="20"/>
        </w:rPr>
        <w:t>expected outcomes</w:t>
      </w:r>
      <w:r>
        <w:rPr>
          <w:rFonts w:ascii="Arial" w:hAnsi="Arial" w:eastAsia="Arial" w:cs="Arial"/>
          <w:sz w:val="20"/>
          <w:szCs w:val="20"/>
        </w:rPr>
        <w:t xml:space="preserve"> for seeds 45 and 46 before they were trained, so that the N=5 extension would be a falsifiable test rather than a post-hoc fit. Audit anchor 62dc859 ("post-N5 result: action-saturation hypothesis falsified") is the commit that records the post-N=5 result — confirming that the action-saturation/seasonal-inversion hypothesis is falsified, and the high seed variance is the defensible reading.</w:t>
      </w:r>
    </w:p>
    <w:p w14:paraId="1186D639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7a — MORL N=5 seed variance on yearly BOPTEST evaluation (aggregate). </w:t>
      </w:r>
      <w:r>
        <w:rPr>
          <w:rFonts w:ascii="Arial" w:hAnsi="Arial" w:eastAsia="Arial" w:cs="Arial"/>
          <w:sz w:val="18"/>
          <w:szCs w:val="18"/>
        </w:rPr>
        <w:t xml:space="preserve"> Red CV = high relative variance (≥ 40 %). From reports/morl_canonical_seedfix_yearly_summary.csv.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080"/>
        <w:gridCol w:w="1880"/>
        <w:gridCol w:w="1880"/>
        <w:gridCol w:w="1640"/>
        <w:gridCol w:w="1080"/>
      </w:tblGrid>
      <w:tr w14:paraId="2E0D5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38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Weight pair (c/e)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C9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 seeds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CD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RMSE_T mean ± std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2A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Violation % mean ± std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73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 mean ± std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01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 CV</w:t>
            </w:r>
          </w:p>
        </w:tc>
      </w:tr>
      <w:tr w14:paraId="06E5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8A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50/50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26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7D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0.893 ± 0.081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66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13.01 ± 6.62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5C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0.187 ± 0.078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FE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0.418</w:t>
            </w:r>
          </w:p>
        </w:tc>
      </w:tr>
      <w:tr w14:paraId="5059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A9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75/25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D9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8F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0.799 ± 0.100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B6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9.23 ± 6.67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4C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0.139 ± 0.085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8E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0.613</w:t>
            </w:r>
          </w:p>
        </w:tc>
      </w:tr>
    </w:tbl>
    <w:p w14:paraId="50D99560">
      <w:pPr>
        <w:spacing w:before="160" w:after="120"/>
        <w:jc w:val="both"/>
      </w:pPr>
      <w:r>
        <w:rPr>
          <w:rFonts w:ascii="Arial" w:hAnsi="Arial" w:eastAsia="Arial" w:cs="Arial"/>
          <w:sz w:val="20"/>
          <w:szCs w:val="20"/>
        </w:rPr>
        <w:t>Table 7b shows the per-seed breakdown for both weight pairs. The 50/50 distribution is bimodal: seeds 42 / 44 / 45 cluster near ms ≈ 0.14 – 0.19, seed 43 reaches the best ms = 0.103, and seed 46 fails out at ms = 0.310 (violation = 24 %). The 75/25 distribution is similar in structure but with the entire distribution shifted to lower ms. The replay test on seed 42 produced bit-identical BOPTEST trajectories, so the seed variance is attributable to PPO/ERAM training stochasticity rather than simulator nondeterminism.</w:t>
      </w:r>
    </w:p>
    <w:p w14:paraId="77720E9B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7b — Per-seed MORL yearly metrics (50/50 and 75/25 weight pairs). </w:t>
      </w:r>
      <w:r>
        <w:rPr>
          <w:rFonts w:ascii="Arial" w:hAnsi="Arial" w:eastAsia="Arial" w:cs="Arial"/>
          <w:sz w:val="18"/>
          <w:szCs w:val="18"/>
        </w:rPr>
        <w:t xml:space="preserve"> Green = strong (m_s &lt; 0.10); red = failure (m_s &gt; 0.25). From reports/morl_canonical_seedfix_yearly_per_seed.csv.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760"/>
        <w:gridCol w:w="1240"/>
        <w:gridCol w:w="1240"/>
        <w:gridCol w:w="1280"/>
        <w:gridCol w:w="1280"/>
        <w:gridCol w:w="1480"/>
        <w:gridCol w:w="760"/>
      </w:tblGrid>
      <w:tr w14:paraId="54FF6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90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Weight pair (c/e)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2A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Seed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60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RMSE_T (°C)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EC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MAE_T (°C)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CB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Within 1°C %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8E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Violation %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E1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Yearly energy (kWh)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D7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</w:t>
            </w:r>
          </w:p>
        </w:tc>
      </w:tr>
      <w:tr w14:paraId="0AEF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F5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50/50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60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42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71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0.939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BC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0.739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8B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74.93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83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12.92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0A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2843.6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2A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0.193</w:t>
            </w:r>
          </w:p>
        </w:tc>
      </w:tr>
      <w:tr w14:paraId="1CEE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57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50/50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80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43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03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0.769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2A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0.618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70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82.93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1B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6.77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79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2872.0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E6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0.103</w:t>
            </w:r>
          </w:p>
        </w:tc>
      </w:tr>
      <w:tr w14:paraId="1D65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3C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50/50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9D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44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D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0.879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DF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0.682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D1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76.85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D9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9.34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74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2858.4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84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0.141</w:t>
            </w:r>
          </w:p>
        </w:tc>
      </w:tr>
      <w:tr w14:paraId="6F05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C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50/50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F7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45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8D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0.895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05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0.706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5F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77.72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89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11.97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0A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2839.8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3C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0.187</w:t>
            </w:r>
          </w:p>
        </w:tc>
      </w:tr>
      <w:tr w14:paraId="4F75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60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50/50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61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46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16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0.985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40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0.815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E7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65.35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A0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24.05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E1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2554.1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4E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0.310</w:t>
            </w:r>
          </w:p>
        </w:tc>
      </w:tr>
      <w:tr w14:paraId="56C12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28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75/25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91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42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DE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0.700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FD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0.552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3D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83.30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5B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3.08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C6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2994.3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E6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0.057</w:t>
            </w:r>
          </w:p>
        </w:tc>
      </w:tr>
      <w:tr w14:paraId="29CB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97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75/25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D0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43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CE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0.716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C3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0.570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61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84.93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11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5.47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69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2963.9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6A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0.087</w:t>
            </w:r>
          </w:p>
        </w:tc>
      </w:tr>
      <w:tr w14:paraId="4279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C7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75/25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A5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44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1B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0.769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FA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0.622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66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81.68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EE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7.82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C2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2819.1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71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0.117</w:t>
            </w:r>
          </w:p>
        </w:tc>
      </w:tr>
      <w:tr w14:paraId="3E34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7D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75/25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41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45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D2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0.903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05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0.700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A6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78.48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F6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9.42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BC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3036.7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1E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0.160</w:t>
            </w:r>
          </w:p>
        </w:tc>
      </w:tr>
      <w:tr w14:paraId="7C9CA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62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75/25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7A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46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D3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0.909</w:t>
            </w:r>
          </w:p>
        </w:tc>
        <w:tc>
          <w:tcPr>
            <w:tcW w:w="1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93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0.743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BD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70.32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83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20.37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0D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2602.8</w:t>
            </w:r>
          </w:p>
        </w:tc>
        <w:tc>
          <w:tcPr>
            <w:tcW w:w="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3D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0.276</w:t>
            </w:r>
          </w:p>
        </w:tc>
      </w:tr>
    </w:tbl>
    <w:p w14:paraId="09F69C96">
      <w:pPr>
        <w:spacing w:before="180" w:after="80"/>
        <w:jc w:val="center"/>
      </w:pPr>
      <w:r>
        <w:drawing>
          <wp:inline distT="0" distB="0" distL="0" distR="0">
            <wp:extent cx="5334000" cy="2381250"/>
            <wp:effectExtent l="0" t="0" r="0" b="0"/>
            <wp:docPr id="6" name="block2_morl_17d_seasonal_heatmap.png" descr="Figure 7. MORL N=5 seasonal variance heatmap. The earlier N=3 seasonal-inversion hypothesis does not survive N=5; high seed variance remains the correct claim." title="block2_morl_17d_seasonal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lock2_morl_17d_seasonal_heatmap.png" descr="Figure 7. MORL N=5 seasonal variance heatmap. The earlier N=3 seasonal-inversion hypothesis does not survive N=5; high seed variance remains the correct claim." title="block2_morl_17d_seasonal_heatma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908E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7. </w:t>
      </w:r>
      <w:r>
        <w:rPr>
          <w:rFonts w:ascii="Arial" w:hAnsi="Arial" w:eastAsia="Arial" w:cs="Arial"/>
          <w:color w:val="555555"/>
          <w:sz w:val="18"/>
          <w:szCs w:val="18"/>
        </w:rPr>
        <w:t>MORL N=5 seasonal variance heatmap. The earlier N=3 seasonal-inversion hypothesis does not survive N=5; high seed variance remains the correct claim.</w:t>
      </w:r>
    </w:p>
    <w:p w14:paraId="03D0223D">
      <w:pPr>
        <w:spacing w:before="180" w:after="80"/>
        <w:jc w:val="center"/>
      </w:pPr>
      <w:r>
        <w:drawing>
          <wp:inline distT="0" distB="0" distL="0" distR="0">
            <wp:extent cx="5334000" cy="2190750"/>
            <wp:effectExtent l="0" t="0" r="0" b="0"/>
            <wp:docPr id="7" name="block2_morl_seasonal_variance_inversion.png" descr="Figure 8. Post-N=5 seasonal variance diagnostic. The figure is retained as a falsification artifact rather than as support for action-saturation claims." title="block2_morl_seasonal_variance_in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lock2_morl_seasonal_variance_inversion.png" descr="Figure 8. Post-N=5 seasonal variance diagnostic. The figure is retained as a falsification artifact rather than as support for action-saturation claims." title="block2_morl_seasonal_variance_invers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2E1B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8. </w:t>
      </w:r>
      <w:r>
        <w:rPr>
          <w:rFonts w:ascii="Arial" w:hAnsi="Arial" w:eastAsia="Arial" w:cs="Arial"/>
          <w:color w:val="555555"/>
          <w:sz w:val="18"/>
          <w:szCs w:val="18"/>
        </w:rPr>
        <w:t>Post-N=5 seasonal variance diagnostic. The figure is retained as a falsification artifact rather than as support for action-saturation claims.</w:t>
      </w:r>
    </w:p>
    <w:p w14:paraId="581FFE2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§7.2  Finding: high seed variance, no single-seed superiority</w:t>
      </w:r>
    </w:p>
    <w:p w14:paraId="18C31407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Across N = 5 seeds at the 50/50 weight pair, ms ranges from 0.103 to 0.310 (mean 0.187, CV = 0.42). The 75/25 weight pair has even higher CV (0.61), driven by occasional outlier seeds that fail to converge to the comfort region. The single-seed canonical (ms = 0.099, seed 42) is the </w:t>
      </w:r>
      <w:r>
        <w:rPr>
          <w:rFonts w:ascii="Arial" w:hAnsi="Arial" w:eastAsia="Arial" w:cs="Arial"/>
          <w:b/>
          <w:bCs/>
          <w:sz w:val="20"/>
          <w:szCs w:val="20"/>
        </w:rPr>
        <w:t>best</w:t>
      </w:r>
      <w:r>
        <w:rPr>
          <w:rFonts w:ascii="Arial" w:hAnsi="Arial" w:eastAsia="Arial" w:cs="Arial"/>
          <w:sz w:val="20"/>
          <w:szCs w:val="20"/>
        </w:rPr>
        <w:t xml:space="preserve"> of five — not representative of the median MORL policy.</w:t>
      </w:r>
    </w:p>
    <w:p w14:paraId="136AAB4C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This falsifies the strong reading of MORL canonical results ("MORL produces ms ≈ 0.10 reliably") and supports the weaker but defensible reading ("MORL produces ms in [0.10, 0.31] depending on seed; we report the best single seed as the pre-registered canonical"). The N = 5 finding is logged in audit anchor 62dc859 and is referenced in §6.5 of the paper.</w:t>
      </w:r>
    </w:p>
    <w:p w14:paraId="387C99FA">
      <w:pPr>
        <w:pBdr>
          <w:bottom w:val="single" w:color="2E75B6" w:sz="4" w:space="1"/>
        </w:pBdr>
        <w:spacing w:before="200" w:after="200"/>
      </w:pPr>
    </w:p>
    <w:p w14:paraId="0B641FA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§8.  MORL Pareto sweep</w:t>
      </w:r>
    </w:p>
    <w:p w14:paraId="79068A2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§8.1  Weight pairs</w:t>
      </w:r>
    </w:p>
    <w:p w14:paraId="08214AFF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Pareto sweep evaluates five (comfort, energy) weight pairs on the same MORL 17D power-only backend: 0/100, 25/75, 50/50, 75/25, 100/0. For each pair, training is run to the same number of policy updates and evaluated on the yearly BOPTEST scenario set.</w:t>
      </w:r>
    </w:p>
    <w:p w14:paraId="4F12428F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8 — MORL Pareto front (seed 42, yearly evaluation). </w:t>
      </w:r>
      <w:r>
        <w:rPr>
          <w:rFonts w:ascii="Arial" w:hAnsi="Arial" w:eastAsia="Arial" w:cs="Arial"/>
          <w:sz w:val="18"/>
          <w:szCs w:val="18"/>
        </w:rPr>
        <w:t xml:space="preserve"> Green = strong (m_s &lt; 0.15); red = failure (m_s &gt; 0.5). From reports/morl_pareto_front_table.csv.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0"/>
        <w:gridCol w:w="1500"/>
        <w:gridCol w:w="1500"/>
        <w:gridCol w:w="1600"/>
        <w:gridCol w:w="1480"/>
      </w:tblGrid>
      <w:tr w14:paraId="268C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BE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Weight pair (comfort/energy)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A5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RMSE_T (°C)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F5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Violation 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E8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Energy (kWh)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6B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m_s</w:t>
            </w:r>
          </w:p>
        </w:tc>
      </w:tr>
      <w:tr w14:paraId="24F24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6E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0/100 (energy-only)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03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8.359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A0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86.76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D7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0.28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70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1.588</w:t>
            </w:r>
          </w:p>
        </w:tc>
      </w:tr>
      <w:tr w14:paraId="3447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B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25/75 (energy-weighted)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2C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0.912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E9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11.39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E7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219.98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E9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0.173</w:t>
            </w:r>
          </w:p>
        </w:tc>
      </w:tr>
      <w:tr w14:paraId="7AB6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FF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50/50 (neutral, seed 42)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D3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0.939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CA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12.92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AB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236.97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59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0.193</w:t>
            </w:r>
          </w:p>
        </w:tc>
      </w:tr>
      <w:tr w14:paraId="7088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B3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75/25 (practical, seed 42)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CF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D3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3.08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A2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249.53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27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0.057</w:t>
            </w:r>
          </w:p>
        </w:tc>
      </w:tr>
      <w:tr w14:paraId="4F3B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29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100/0 (comfort-only)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5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0.631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FD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1.49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65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260.57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0C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0.032</w:t>
            </w:r>
          </w:p>
        </w:tc>
      </w:tr>
      <w:tr w14:paraId="6CF8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17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80/20 (legacy canonical)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19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0.725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E8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4.87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CB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248.60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37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0.099</w:t>
            </w:r>
          </w:p>
        </w:tc>
      </w:tr>
    </w:tbl>
    <w:p w14:paraId="747FADB1">
      <w:pPr>
        <w:spacing w:before="180" w:after="80"/>
        <w:jc w:val="center"/>
      </w:pPr>
      <w:r>
        <w:drawing>
          <wp:inline distT="0" distB="0" distL="0" distR="0">
            <wp:extent cx="5334000" cy="2952750"/>
            <wp:effectExtent l="0" t="0" r="0" b="0"/>
            <wp:docPr id="8" name="block2_morl_pareto_energy_vs_ms.png" descr="Figure 9. MORL Pareto front. Non-canonical sweep points are seed42-only; the two canonical points are N=5 means with 95% CI error bars." title="block2_morl_pareto_energy_vs_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lock2_morl_pareto_energy_vs_ms.png" descr="Figure 9. MORL Pareto front. Non-canonical sweep points are seed42-only; the two canonical points are N=5 means with 95% CI error bars." title="block2_morl_pareto_energy_vs_m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FF10">
      <w:pPr>
        <w:spacing w:after="18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Figure 9. </w:t>
      </w:r>
      <w:r>
        <w:rPr>
          <w:rFonts w:ascii="Arial" w:hAnsi="Arial" w:eastAsia="Arial" w:cs="Arial"/>
          <w:color w:val="555555"/>
          <w:sz w:val="18"/>
          <w:szCs w:val="18"/>
        </w:rPr>
        <w:t>MORL Pareto front. Non-canonical sweep points are seed42-only; the two canonical points are N=5 means with 95% CI error bars.</w:t>
      </w:r>
    </w:p>
    <w:p w14:paraId="323D15A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§8.2  Interpretation</w:t>
      </w:r>
    </w:p>
    <w:p w14:paraId="7EA6185D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Pareto front (seed 42) shows: (a) the 0/100 (energy-only) policy collapses to a degenerate near-zero-power solution with 87 % violation — energy is minimised by simply not heating; (b) the 100/0 (comfort-only) policy is the best ms (0.032) and best RMSE (0.631 °C) but spends the most energy (260.6 kWh); (c) the **75/25 (practical-deployment) pair at seed 42** is the recommended compromise: ms = 0.057, violation = 3.08 %, energy = 249.5 kWh — clearly better than the 50/50 (ms = 0.193) and close to the 100/0 comfort-only endpoint at 4 % lower energy. (d) The **legacy 80/20 canonical** (ms = 0.099) sits between 75/25 and 50/50 and matches the historical canonical (m_s ≈ 0.10) reported in earlier MORL versions of this project. We pre-registered 50/50 as canonical for symmetry, but the empirical 75/25 dominates it on every metric.</w:t>
      </w:r>
    </w:p>
    <w:p w14:paraId="7111F436">
      <w:pPr>
        <w:spacing w:before="160" w:after="120"/>
        <w:jc w:val="both"/>
      </w:pPr>
      <w:r>
        <w:rPr>
          <w:rFonts w:ascii="Arial" w:hAnsi="Arial" w:eastAsia="Arial" w:cs="Arial"/>
          <w:b/>
          <w:bCs/>
          <w:sz w:val="20"/>
          <w:szCs w:val="20"/>
        </w:rPr>
        <w:t>Caveat — these are seed-42 values, not N=5 means.</w:t>
      </w:r>
      <w:r>
        <w:rPr>
          <w:rFonts w:ascii="Arial" w:hAnsi="Arial" w:eastAsia="Arial" w:cs="Arial"/>
          <w:sz w:val="20"/>
          <w:szCs w:val="20"/>
        </w:rPr>
        <w:t xml:space="preserve"> As §7.2 shows, the N=5 multi-seed mean for the 75/25 weight pair is m_s = 0.139 ± 0.085 (CV ≈ 0.61), so the seed-42 point reported here is the best of the five seeds, not the typical seed. The Pareto endpoints (0/100, 25/75, 100/0) are single-seed sweep points — the paper §6.5 figure includes both the seed-42 Pareto curve and the N=5 error bars for the pre-registered canonicals.</w:t>
      </w:r>
    </w:p>
    <w:p w14:paraId="52D9F92D">
      <w:pPr>
        <w:pBdr>
          <w:bottom w:val="single" w:color="2E75B6" w:sz="4" w:space="1"/>
        </w:pBdr>
        <w:spacing w:before="200" w:after="200"/>
      </w:pPr>
    </w:p>
    <w:p w14:paraId="676EAD1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§9.  PI baseline reference</w:t>
      </w:r>
    </w:p>
    <w:p w14:paraId="3923D2F9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BOPTEST built-in PI controller is included as a reproducible reference, not as a custom-tuned strong baseline. On the same 12-month yearly evaluation: mean comfort RMSE = 3.40 °C, mean MAE = 2.82 °C, mean violation = 63.6 %, mean monthly energy = 104.1 kWh, ms mean = 0.910. The PI baseline is **comfort-bad** (60 % violation is unacceptable) but **energy-good** (low kWh because it under-heats). The RL/MORL agents must beat PI on ms without dramatically exceeding PI energy use.</w:t>
      </w:r>
    </w:p>
    <w:p w14:paraId="705121D1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All Block 2 RL/MORL agents (pure v3 PPO, hybridl010, MORL 17D canonical) achieve ms well below 0.20 vs. PI's 0.910 — so the RL stack dominates the PI reference on comfort while using comparable or lower energy in absolute terms after correcting for the comfort/energy trade-off curve.</w:t>
      </w:r>
    </w:p>
    <w:p w14:paraId="0D3EA0A3">
      <w:pPr>
        <w:pBdr>
          <w:bottom w:val="single" w:color="2E75B6" w:sz="4" w:space="1"/>
        </w:pBdr>
        <w:spacing w:before="200" w:after="200"/>
      </w:pPr>
    </w:p>
    <w:p w14:paraId="374E22A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§10.  Transfer diagnostics — surrogate-vs-live closed-loop ms_gap</w:t>
      </w:r>
    </w:p>
    <w:p w14:paraId="27BC4FA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§10.1  Method</w:t>
      </w:r>
    </w:p>
    <w:p w14:paraId="0EC564BB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transfer diagnostic closes a remaining evidence gap: when a policy is trained inside a surrogate-driven loop, does it transfer to the BOPTEST RTE without surprise? We compute, for each candidate backend, the </w:t>
      </w:r>
      <w:r>
        <w:rPr>
          <w:rFonts w:ascii="Arial" w:hAnsi="Arial" w:eastAsia="Arial" w:cs="Arial"/>
          <w:b/>
          <w:bCs/>
          <w:sz w:val="20"/>
          <w:szCs w:val="20"/>
        </w:rPr>
        <w:t>m_s gap</w:t>
      </w:r>
      <w:r>
        <w:rPr>
          <w:rFonts w:ascii="Arial" w:hAnsi="Arial" w:eastAsia="Arial" w:cs="Arial"/>
          <w:sz w:val="20"/>
          <w:szCs w:val="20"/>
        </w:rPr>
        <w:t xml:space="preserve"> between the surrogate's predicted trajectory and the live-BOPTEST trajectory under the same policy and scenario, plus the </w:t>
      </w:r>
      <w:r>
        <w:rPr>
          <w:rFonts w:ascii="Arial" w:hAnsi="Arial" w:eastAsia="Arial" w:cs="Arial"/>
          <w:b/>
          <w:bCs/>
          <w:sz w:val="20"/>
          <w:szCs w:val="20"/>
        </w:rPr>
        <w:t>first divergence step</w:t>
      </w:r>
      <w:r>
        <w:rPr>
          <w:rFonts w:ascii="Arial" w:hAnsi="Arial" w:eastAsia="Arial" w:cs="Arial"/>
          <w:sz w:val="20"/>
          <w:szCs w:val="20"/>
        </w:rPr>
        <w:t xml:space="preserve"> (the earliest 15-minute step at which the surrogate and BOPTEST diverge by more than a threshold), plus the </w:t>
      </w:r>
      <w:r>
        <w:rPr>
          <w:rFonts w:ascii="Arial" w:hAnsi="Arial" w:eastAsia="Arial" w:cs="Arial"/>
          <w:b/>
          <w:bCs/>
          <w:sz w:val="20"/>
          <w:szCs w:val="20"/>
        </w:rPr>
        <w:t>top driver feature</w:t>
      </w:r>
      <w:r>
        <w:rPr>
          <w:rFonts w:ascii="Arial" w:hAnsi="Arial" w:eastAsia="Arial" w:cs="Arial"/>
          <w:sz w:val="20"/>
          <w:szCs w:val="20"/>
        </w:rPr>
        <w:t xml:space="preserve"> for the divergence.</w:t>
      </w:r>
    </w:p>
    <w:p w14:paraId="68163BC6">
      <w:pPr>
        <w:spacing w:before="80" w:after="8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Table 10 — Transfer diagnostics across three backend variants. </w:t>
      </w:r>
      <w:r>
        <w:rPr>
          <w:rFonts w:ascii="Arial" w:hAnsi="Arial" w:eastAsia="Arial" w:cs="Arial"/>
          <w:sz w:val="18"/>
          <w:szCs w:val="18"/>
        </w:rPr>
        <w:t xml:space="preserve"> From reports/hybrid_transfer_comparison.csv. ms_gap = surrogate_m_s − live_m_s (negative means surrogate is optimistic).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3"/>
        <w:gridCol w:w="2052"/>
        <w:gridCol w:w="1933"/>
        <w:gridCol w:w="1206"/>
        <w:gridCol w:w="1435"/>
        <w:gridCol w:w="1291"/>
      </w:tblGrid>
      <w:tr w14:paraId="39B8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EB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15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1D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ms_gap (surrogate − live)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39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Action gap (L2)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13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First divergence step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C7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Top driver feature</w:t>
            </w:r>
          </w:p>
        </w:tc>
      </w:tr>
      <w:tr w14:paraId="1D7F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99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pure_v3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3C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45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-0.1016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72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0.377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A2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9D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p_total_norm</w:t>
            </w:r>
          </w:p>
        </w:tc>
      </w:tr>
      <w:tr w14:paraId="4021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AE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pure_v3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C7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B7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-0.0682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DA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0.333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52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9B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p_total_norm</w:t>
            </w:r>
          </w:p>
        </w:tc>
      </w:tr>
      <w:tr w14:paraId="12012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DB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hybrid_l010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B0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59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-0.0234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80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0.473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01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0F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p_total_norm</w:t>
            </w:r>
          </w:p>
        </w:tc>
      </w:tr>
      <w:tr w14:paraId="79B08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57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hybrid_l010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AC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8A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-0.0214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AB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0.253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EC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A1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p_total_norm</w:t>
            </w:r>
          </w:p>
        </w:tc>
      </w:tr>
      <w:tr w14:paraId="1901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C1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direct_v35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46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peak_heat_window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09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-0.8862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0C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2.000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83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04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t_zone_norm</w:t>
            </w:r>
          </w:p>
        </w:tc>
      </w:tr>
      <w:tr w14:paraId="410D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09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direct_v35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AF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typical_heat_window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8A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-1.0144</w:t>
            </w:r>
          </w:p>
        </w:tc>
        <w:tc>
          <w:tcPr>
            <w:tcW w:w="1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1A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2.014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88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CC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t_zone_norm</w:t>
            </w:r>
          </w:p>
        </w:tc>
      </w:tr>
    </w:tbl>
    <w:p w14:paraId="522D4EA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§10.2  Findings</w:t>
      </w:r>
    </w:p>
    <w:p w14:paraId="30C24438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Direct_v35 has the largest ms_gap (|gap| ≈ 0.9–1.0) and the largest action-gap norm (2.0) — the surrogate-trained policy actually executes very different actions on the live RTE than it does in surrogate-rollout simulation. The driver feature is t_zone_norm, confirming that v3.5's sharper temperature dynamics produce policy actions that depend on small temperature differences not realised in live BOPTEST.</w:t>
      </w:r>
    </w:p>
    <w:p w14:paraId="1CAC5318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Pure_v3 has a moderate ms_gap (~0.07–0.10) driven by p_total_norm — the v3 surrogate under-estimates the live power draw, so the policy is mildly over-confident at deployment.</w:t>
      </w:r>
    </w:p>
    <w:p w14:paraId="1FAF173E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Hybrid_l010 has the smallest ms_gap (~0.02) and a larger first-divergence step on typical (step 16 vs. step 1 for the others) — meaning the policy stays close to its surrogate predictions for the first four hours before drifting. The disagreement regularizer has effectively narrowed the transfer gap.</w:t>
      </w:r>
    </w:p>
    <w:p w14:paraId="4562C1A1">
      <w:pPr>
        <w:pBdr>
          <w:bottom w:val="single" w:color="2E75B6" w:sz="4" w:space="1"/>
        </w:pBdr>
        <w:spacing w:before="200" w:after="200"/>
      </w:pPr>
    </w:p>
    <w:p w14:paraId="50F90FC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§11.  Synthesis — fidelity-vs-utility paradox and Block 3 prerequisites</w:t>
      </w:r>
    </w:p>
    <w:p w14:paraId="57E4F79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§11.1  The paradox restated</w:t>
      </w:r>
    </w:p>
    <w:p w14:paraId="759E27C6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Block 2 establishes the central claim of the paper in its purest form. Predictive fidelity is </w:t>
      </w:r>
      <w:r>
        <w:rPr>
          <w:rFonts w:ascii="Arial" w:hAnsi="Arial" w:eastAsia="Arial" w:cs="Arial"/>
          <w:b/>
          <w:bCs/>
          <w:sz w:val="20"/>
          <w:szCs w:val="20"/>
        </w:rPr>
        <w:t>necessary but not sufficient</w:t>
      </w:r>
      <w:r>
        <w:rPr>
          <w:rFonts w:ascii="Arial" w:hAnsi="Arial" w:eastAsia="Arial" w:cs="Arial"/>
          <w:sz w:val="20"/>
          <w:szCs w:val="20"/>
        </w:rPr>
        <w:t xml:space="preserve"> for control utility, and in the regime studied here it is also </w:t>
      </w:r>
      <w:r>
        <w:rPr>
          <w:rFonts w:ascii="Arial" w:hAnsi="Arial" w:eastAsia="Arial" w:cs="Arial"/>
          <w:b/>
          <w:bCs/>
          <w:sz w:val="20"/>
          <w:szCs w:val="20"/>
        </w:rPr>
        <w:t>not sufficient by itself</w:t>
      </w:r>
      <w:r>
        <w:rPr>
          <w:rFonts w:ascii="Arial" w:hAnsi="Arial" w:eastAsia="Arial" w:cs="Arial"/>
          <w:sz w:val="20"/>
          <w:szCs w:val="20"/>
        </w:rPr>
        <w:t xml:space="preserve">: the more accurate surrogate (v3.5, 24h RMSE 0.644 °C) produces a strictly worse PPO policy than the less accurate surrogate (v3, 24h RMSE 1.557 °C). </w:t>
      </w:r>
      <w:r>
        <w:rPr>
          <w:rFonts w:ascii="Arial" w:hAnsi="Arial" w:eastAsia="Arial" w:cs="Arial"/>
          <w:b/>
          <w:bCs/>
          <w:sz w:val="20"/>
          <w:szCs w:val="20"/>
        </w:rPr>
        <w:t>The mechanism is not directly measured in this project</w:t>
      </w:r>
      <w:r>
        <w:rPr>
          <w:rFonts w:ascii="Arial" w:hAnsi="Arial" w:eastAsia="Arial" w:cs="Arial"/>
          <w:sz w:val="20"/>
          <w:szCs w:val="20"/>
        </w:rPr>
        <w:t xml:space="preserve">; two consistent hypothesised explanations are (i) higher gradient-estimator variance under sharper surrogate predictions, and (ii) overfitting to sub-step physical structure that has no exploitation channel at the 15-minute control cadence. What Block 2 establishes empirically is the </w:t>
      </w:r>
      <w:r>
        <w:rPr>
          <w:rFonts w:ascii="Arial" w:hAnsi="Arial" w:eastAsia="Arial" w:cs="Arial"/>
          <w:b/>
          <w:bCs/>
          <w:sz w:val="20"/>
          <w:szCs w:val="20"/>
        </w:rPr>
        <w:t>direction</w:t>
      </w:r>
      <w:r>
        <w:rPr>
          <w:rFonts w:ascii="Arial" w:hAnsi="Arial" w:eastAsia="Arial" w:cs="Arial"/>
          <w:sz w:val="20"/>
          <w:szCs w:val="20"/>
        </w:rPr>
        <w:t xml:space="preserve"> of the paradox; the mechanism is left to Block 4.</w:t>
      </w:r>
    </w:p>
    <w:p w14:paraId="32B16C2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§11.2  Cross-family generalisation</w:t>
      </w:r>
    </w:p>
    <w:p w14:paraId="116357B9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same v3 + v3.5-as-soft-regularizer architecture works across three controller families:</w:t>
      </w:r>
    </w:p>
    <w:p w14:paraId="1D4EC6B0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Thermostatic PPO — best at lambda_temp_disagree = 0.10 (temperature censor on).</w:t>
      </w:r>
    </w:p>
    <w:p w14:paraId="633E75FC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HDRL — best at lambda_temp_disagree = 0.00 (temperature censor off, power censor only).</w:t>
      </w:r>
    </w:p>
    <w:p w14:paraId="6FC8D444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MORL 17D — best at lambda_temp_disagree = 0.00 (same as HDRL); 17D observation is critical.</w:t>
      </w:r>
    </w:p>
    <w:p w14:paraId="39587D1B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The pattern is: v3 is always the rollout dynamics; v3.5 is always a censor; what changes across controller families is which channels of the v3.5 prediction are used as censors. No single hybrid weight is optimal across families.</w:t>
      </w:r>
    </w:p>
    <w:p w14:paraId="0130920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§11.3  Pre-registration trail</w:t>
      </w:r>
    </w:p>
    <w:p w14:paraId="369C59C8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All Block 2 KPI numbers reported above are read from frozen CSV/JSON artifacts committed at one of the audit anchors listed below. The full chain (verified 2026-05-28 via `git log`):</w:t>
      </w:r>
    </w:p>
    <w:p w14:paraId="4899122E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**93df9b3** — pre-registration: seed45/46 falsification predictions for practical canonical. Records expected seed-45/46 outcomes BEFORE they were trained, making the N=5 extension falsifiable.</w:t>
      </w:r>
    </w:p>
    <w:p w14:paraId="597380A9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**62dc859** — post-N5 result: action-saturation hypothesis falsified. Post-N=5 result; m_s_mean = 0.187 ± 0.078, CV ≈ 0.42 (50/50).</w:t>
      </w:r>
    </w:p>
    <w:p w14:paraId="5A0E73ED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**1861e48** — Block 3 pre-registration: transferability testcase manifest. The Block 3 manifest committed BEFORE any Block 3 BOPTEST episode ran.</w:t>
      </w:r>
    </w:p>
    <w:p w14:paraId="0FF1E0C8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**2f9d596** — Block 3 audit: record pre-registration commit SHA. The audit commit that records the Block 3 pre-registration SHA inside the manifest field.</w:t>
      </w:r>
    </w:p>
    <w:p w14:paraId="0ABF0C94">
      <w:pPr>
        <w:pStyle w:val="16"/>
        <w:numPr>
          <w:ilvl w:val="0"/>
          <w:numId w:val="1"/>
        </w:numPr>
        <w:spacing w:before="60" w:after="60"/>
        <w:ind w:left="720" w:hanging="360"/>
        <w:jc w:val="both"/>
      </w:pPr>
      <w:r>
        <w:rPr>
          <w:rFonts w:ascii="Arial" w:hAnsi="Arial" w:eastAsia="Arial" w:cs="Arial"/>
          <w:sz w:val="20"/>
          <w:szCs w:val="20"/>
        </w:rPr>
        <w:t>**7ada793** — Block 3 audit: record close commit SHA. The Block 3 close commit; this is the end of the pre-registered chain, not its beginning.</w:t>
      </w:r>
    </w:p>
    <w:p w14:paraId="11B7F949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>No Block 2 KPI is re-computed in this document; every number here is read from a frozen CSV/JSON file already committed to the repository at one of the above anchors. This protects the pre-registration chain that underpins the Block 3 transferability claim.</w:t>
      </w:r>
    </w:p>
    <w:p w14:paraId="4A2404E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§11.4  Block 3 prerequisites</w:t>
      </w:r>
    </w:p>
    <w:p w14:paraId="4BE1ECC8">
      <w:pPr>
        <w:spacing w:before="120" w:after="120"/>
        <w:jc w:val="both"/>
      </w:pPr>
      <w:r>
        <w:rPr>
          <w:rFonts w:ascii="Arial" w:hAnsi="Arial" w:eastAsia="Arial" w:cs="Arial"/>
          <w:sz w:val="20"/>
          <w:szCs w:val="20"/>
        </w:rPr>
        <w:t xml:space="preserve">The Block 3 transferability study (papers §7) builds on three Block 2 artifacts: (i) the </w:t>
      </w:r>
      <w:r>
        <w:rPr>
          <w:rFonts w:ascii="Arial" w:hAnsi="Arial" w:eastAsia="Arial" w:cs="Arial"/>
          <w:b/>
          <w:bCs/>
          <w:sz w:val="20"/>
          <w:szCs w:val="20"/>
        </w:rPr>
        <w:t>hybrid_l010 policy checkpoint</w:t>
      </w:r>
      <w:r>
        <w:rPr>
          <w:rFonts w:ascii="Arial" w:hAnsi="Arial" w:eastAsia="Arial" w:cs="Arial"/>
          <w:sz w:val="20"/>
          <w:szCs w:val="20"/>
        </w:rPr>
        <w:t xml:space="preserve"> — used as the source policy for cross-testcase transfer; (ii) the </w:t>
      </w:r>
      <w:r>
        <w:rPr>
          <w:rFonts w:ascii="Arial" w:hAnsi="Arial" w:eastAsia="Arial" w:cs="Arial"/>
          <w:b/>
          <w:bCs/>
          <w:sz w:val="20"/>
          <w:szCs w:val="20"/>
        </w:rPr>
        <w:t>MORL canonical seed 42 / 75-25 weight pair policy</w:t>
      </w:r>
      <w:r>
        <w:rPr>
          <w:rFonts w:ascii="Arial" w:hAnsi="Arial" w:eastAsia="Arial" w:cs="Arial"/>
          <w:sz w:val="20"/>
          <w:szCs w:val="20"/>
        </w:rPr>
        <w:t xml:space="preserve"> — used as the second source for transfer; (iii) the </w:t>
      </w:r>
      <w:r>
        <w:rPr>
          <w:rFonts w:ascii="Arial" w:hAnsi="Arial" w:eastAsia="Arial" w:cs="Arial"/>
          <w:b/>
          <w:bCs/>
          <w:sz w:val="20"/>
          <w:szCs w:val="20"/>
        </w:rPr>
        <w:t>transfer-diagnostic methodology</w:t>
      </w:r>
      <w:r>
        <w:rPr>
          <w:rFonts w:ascii="Arial" w:hAnsi="Arial" w:eastAsia="Arial" w:cs="Arial"/>
          <w:sz w:val="20"/>
          <w:szCs w:val="20"/>
        </w:rPr>
        <w:t xml:space="preserve"> in §10 above, extended in Block 3 to the heat-pump and commercial-hydronic testcases. Block 2 is closed across the intended controller stack; the next active research step is no longer Block 2 tuning, it is Block 3 cross-case transfer.</w:t>
      </w:r>
    </w:p>
    <w:p w14:paraId="12C5209A">
      <w:pPr>
        <w:spacing w:before="160" w:after="0"/>
        <w:jc w:val="both"/>
      </w:pPr>
      <w:bookmarkStart w:id="0" w:name="_GoBack"/>
      <w:bookmarkEnd w:id="0"/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D9C70">
    <w:pPr>
      <w:jc w:val="center"/>
    </w:pPr>
    <w:r>
      <w:rPr>
        <w:rFonts w:ascii="Arial" w:hAnsi="Arial" w:eastAsia="Arial" w:cs="Arial"/>
        <w:color w:val="808080"/>
        <w:sz w:val="16"/>
        <w:szCs w:val="16"/>
      </w:rPr>
      <w:t xml:space="preserve">Block 2 Complete Results — Page </w:t>
    </w:r>
    <w:r>
      <w:rPr>
        <w:rFonts w:ascii="Arial" w:hAnsi="Arial" w:eastAsia="Arial" w:cs="Arial"/>
        <w:color w:val="808080"/>
        <w:sz w:val="16"/>
        <w:szCs w:val="16"/>
      </w:rPr>
      <w:fldChar w:fldCharType="begin"/>
    </w:r>
    <w:r>
      <w:rPr>
        <w:rFonts w:ascii="Arial" w:hAnsi="Arial" w:eastAsia="Arial" w:cs="Arial"/>
        <w:color w:val="808080"/>
        <w:sz w:val="16"/>
        <w:szCs w:val="16"/>
      </w:rPr>
      <w:instrText xml:space="preserve">PAGE</w:instrText>
    </w:r>
    <w:r>
      <w:rPr>
        <w:rFonts w:ascii="Arial" w:hAnsi="Arial" w:eastAsia="Arial" w:cs="Arial"/>
        <w:color w:val="808080"/>
        <w:sz w:val="16"/>
        <w:szCs w:val="16"/>
      </w:rPr>
      <w:fldChar w:fldCharType="separate"/>
    </w:r>
    <w:r>
      <w:rPr>
        <w:rFonts w:ascii="Arial" w:hAnsi="Arial" w:eastAsia="Arial" w:cs="Arial"/>
        <w:color w:val="808080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D130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0"/>
      <w:szCs w:val="20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2997</Words>
  <Characters>18077</Characters>
  <TotalTime>1</TotalTime>
  <ScaleCrop>false</ScaleCrop>
  <LinksUpToDate>false</LinksUpToDate>
  <CharactersWithSpaces>20801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2026-05-28T17:34:00Z</dcterms:created>
  <dc:creator>Un-named</dc:creator>
  <cp:lastModifiedBy>Алмаз Сапаргали</cp:lastModifiedBy>
  <dcterms:modified xsi:type="dcterms:W3CDTF">2026-06-01T06:41:52Z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eyJoZGlkIjoiOGM4MWJkNjgxYjk1YTVjMTFiZmZiYjZhMjgzN2U0ZmEiLCJ1c2VySWQiOiI4ODEzNDAxNDMyMDYwIn0=</vt:lpwstr>
  </property>
  <property fmtid="{D5CDD505-2E9C-101B-9397-08002B2CF9AE}" pid="3" name="KSOProductBuildVer">
    <vt:lpwstr>1049-12.1.0.26880</vt:lpwstr>
  </property>
  <property fmtid="{D5CDD505-2E9C-101B-9397-08002B2CF9AE}" pid="4" name="ICV">
    <vt:lpwstr>629A4D500347462EBE64BD16FB6200C7_12</vt:lpwstr>
  </property>
</Properties>
</file>