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r>
    </w:p>
    <w:p>
      <w:pPr>
        <w:jc w:val="center"/>
      </w:pPr>
      <w:r>
        <w:rPr>
          <w:b/>
          <w:sz w:val="34"/>
        </w:rPr>
        <w:t>A Calibrated Physical Twin as Soft Regularizer for HVAC Control</w:t>
      </w:r>
    </w:p>
    <w:p>
      <w:pPr>
        <w:jc w:val="center"/>
      </w:pPr>
      <w:r>
        <w:rPr>
          <w:i/>
        </w:rPr>
        <w:t>Almaz Sapargali</w:t>
      </w:r>
    </w:p>
    <w:p>
      <w:pPr>
        <w:jc w:val="center"/>
      </w:pPr>
      <w:r>
        <w:rPr>
          <w:i/>
          <w:color w:val="C01020"/>
        </w:rPr>
        <w:t>[TODO] Affiliation, address, country.</w:t>
      </w:r>
    </w:p>
    <w:p>
      <w:pPr>
        <w:jc w:val="center"/>
      </w:pPr>
      <w:r>
        <w:rPr>
          <w:i/>
          <w:color w:val="707070"/>
        </w:rPr>
        <w:t>Target journal: Results in Engineering (Elsevier, Q1)</w:t>
      </w:r>
    </w:p>
    <w:p>
      <w:pPr>
        <w:pStyle w:val="Heading1"/>
      </w:pPr>
      <w:r>
        <w:t>Abstract</w:t>
      </w:r>
    </w:p>
    <w:p>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pPr>
        <w:pStyle w:val="Heading2"/>
      </w:pPr>
      <w:r>
        <w:t>Motivation</w:t>
      </w:r>
    </w:p>
    <w:p>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pPr>
        <w:pStyle w:val="Heading2"/>
      </w:pPr>
      <w:r>
        <w:t>Gap</w:t>
      </w:r>
    </w:p>
    <w:p>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pPr>
        <w:pStyle w:val="Heading2"/>
      </w:pPr>
      <w:r>
        <w:t>Hypothesis and study design</w:t>
      </w:r>
    </w:p>
    <w:p>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pPr>
        <w:pStyle w:val="Heading2"/>
      </w:pPr>
      <w:r>
        <w:t>Contribution and results summary</w:t>
      </w:r>
    </w:p>
    <w:p>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pPr>
        <w:pStyle w:val="Heading2"/>
      </w:pPr>
      <w:r>
        <w:t>Contributions</w:t>
      </w:r>
    </w:p>
    <w:p>
      <w:r>
        <w:t>1. A comfort-oriented v3 surrogate for direct supply-temperature control and RL rollout generation.</w:t>
      </w:r>
    </w:p>
    <w:p>
      <w:r>
        <w:t>2. A physically informed v3.5 grey-box surrogate with explicit C_zon identified through Stage A/B/C inverse calibration.</w:t>
      </w:r>
    </w:p>
    <w:p>
      <w:r>
        <w:t>3. A hybrid backend where v3 supplies the smooth RL dynamics and calibrated v3.5 acts as a frozen physical disagreement regularizer.</w:t>
      </w:r>
    </w:p>
    <w:p>
      <w:r>
        <w:t>4. Controller-family-specific evidence: lambda_temp=0.10 for thermostatic PPO, lambda_temp=0.00 for HDRL and 17D MORL.</w:t>
      </w:r>
    </w:p>
    <w:p>
      <w:r>
        <w:t>5. A pre-registered transferability analysis across three hydronic BOPTEST testcases, showing uniform surrogate-side transfer under full Stage A/B/C recalibration and regime-dependent frozen-controller transfer.</w:t>
      </w:r>
    </w:p>
    <w:p>
      <w:r>
        <w:t>6. A reproducible Hou-and-Evins-style numerical audit with S1-S11 supplementary tables and real-data figures.</w:t>
      </w:r>
    </w:p>
    <w:p>
      <w:pPr>
        <w:pStyle w:val="Heading1"/>
      </w:pPr>
      <w:r>
        <w:t>2. Related Work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000"/>
        <w:gridCol w:w="1050"/>
        <w:gridCol w:w="1100"/>
        <w:gridCol w:w="1150"/>
        <w:gridCol w:w="1050"/>
        <w:gridCol w:w="1050"/>
        <w:gridCol w:w="1300"/>
        <w:gridCol w:w="2660"/>
      </w:tblGrid>
      <w:tr>
        <w:tc>
          <w:tcPr>
            <w:tcW w:w="1000" w:type="dxa"/>
            <w:shd w:fill="EAF2F8"/>
            <w:tcMar>
              <w:top w:w="80" w:type="dxa"/>
              <w:left w:w="90" w:type="dxa"/>
              <w:bottom w:w="80" w:type="dxa"/>
              <w:right w:w="90" w:type="dxa"/>
            </w:tcMar>
          </w:tcPr>
          <w:p>
            <w:r>
              <w:rPr>
                <w:b/>
                <w:sz w:val="10"/>
              </w:rPr>
              <w:t>Reference</w:t>
            </w:r>
          </w:p>
        </w:tc>
        <w:tc>
          <w:tcPr>
            <w:tcW w:w="1050" w:type="dxa"/>
            <w:shd w:fill="EAF2F8"/>
            <w:tcMar>
              <w:top w:w="80" w:type="dxa"/>
              <w:left w:w="90" w:type="dxa"/>
              <w:bottom w:w="80" w:type="dxa"/>
              <w:right w:w="90" w:type="dxa"/>
            </w:tcMar>
          </w:tcPr>
          <w:p>
            <w:r>
              <w:rPr>
                <w:b/>
                <w:sz w:val="10"/>
              </w:rPr>
              <w:t>Domain</w:t>
            </w:r>
          </w:p>
        </w:tc>
        <w:tc>
          <w:tcPr>
            <w:tcW w:w="1100" w:type="dxa"/>
            <w:shd w:fill="EAF2F8"/>
            <w:tcMar>
              <w:top w:w="80" w:type="dxa"/>
              <w:left w:w="90" w:type="dxa"/>
              <w:bottom w:w="80" w:type="dxa"/>
              <w:right w:w="90" w:type="dxa"/>
            </w:tcMar>
          </w:tcPr>
          <w:p>
            <w:r>
              <w:rPr>
                <w:b/>
                <w:sz w:val="10"/>
              </w:rPr>
              <w:t>Method</w:t>
            </w:r>
          </w:p>
        </w:tc>
        <w:tc>
          <w:tcPr>
            <w:tcW w:w="1150" w:type="dxa"/>
            <w:shd w:fill="EAF2F8"/>
            <w:tcMar>
              <w:top w:w="80" w:type="dxa"/>
              <w:left w:w="90" w:type="dxa"/>
              <w:bottom w:w="80" w:type="dxa"/>
              <w:right w:w="90" w:type="dxa"/>
            </w:tcMar>
          </w:tcPr>
          <w:p>
            <w:r>
              <w:rPr>
                <w:b/>
                <w:sz w:val="10"/>
              </w:rPr>
              <w:t>Training env.</w:t>
            </w:r>
          </w:p>
        </w:tc>
        <w:tc>
          <w:tcPr>
            <w:tcW w:w="1050" w:type="dxa"/>
            <w:shd w:fill="EAF2F8"/>
            <w:tcMar>
              <w:top w:w="80" w:type="dxa"/>
              <w:left w:w="90" w:type="dxa"/>
              <w:bottom w:w="80" w:type="dxa"/>
              <w:right w:w="90" w:type="dxa"/>
            </w:tcMar>
          </w:tcPr>
          <w:p>
            <w:r>
              <w:rPr>
                <w:b/>
                <w:sz w:val="10"/>
              </w:rPr>
              <w:t>Model type</w:t>
            </w:r>
          </w:p>
        </w:tc>
        <w:tc>
          <w:tcPr>
            <w:tcW w:w="1050" w:type="dxa"/>
            <w:shd w:fill="EAF2F8"/>
            <w:tcMar>
              <w:top w:w="80" w:type="dxa"/>
              <w:left w:w="90" w:type="dxa"/>
              <w:bottom w:w="80" w:type="dxa"/>
              <w:right w:w="90" w:type="dxa"/>
            </w:tcMar>
          </w:tcPr>
          <w:p>
            <w:r>
              <w:rPr>
                <w:b/>
                <w:sz w:val="10"/>
              </w:rPr>
              <w:t>Objective</w:t>
            </w:r>
          </w:p>
        </w:tc>
        <w:tc>
          <w:tcPr>
            <w:tcW w:w="1300" w:type="dxa"/>
            <w:shd w:fill="EAF2F8"/>
            <w:tcMar>
              <w:top w:w="80" w:type="dxa"/>
              <w:left w:w="90" w:type="dxa"/>
              <w:bottom w:w="80" w:type="dxa"/>
              <w:right w:w="90" w:type="dxa"/>
            </w:tcMar>
          </w:tcPr>
          <w:p>
            <w:r>
              <w:rPr>
                <w:b/>
                <w:sz w:val="10"/>
              </w:rPr>
              <w:t>Key limitation</w:t>
            </w:r>
          </w:p>
        </w:tc>
        <w:tc>
          <w:tcPr>
            <w:tcW w:w="2660" w:type="dxa"/>
            <w:shd w:fill="EAF2F8"/>
            <w:tcMar>
              <w:top w:w="80" w:type="dxa"/>
              <w:left w:w="90" w:type="dxa"/>
              <w:bottom w:w="80" w:type="dxa"/>
              <w:right w:w="90" w:type="dxa"/>
            </w:tcMar>
          </w:tcPr>
          <w:p>
            <w:r>
              <w:rPr>
                <w:b/>
                <w:sz w:val="10"/>
              </w:rPr>
              <w:t>How this paper differs</w:t>
            </w:r>
          </w:p>
        </w:tc>
      </w:tr>
      <w:tr>
        <w:tc>
          <w:tcPr>
            <w:tcW w:w="1000" w:type="dxa"/>
            <w:tcMar>
              <w:top w:w="80" w:type="dxa"/>
              <w:left w:w="90" w:type="dxa"/>
              <w:bottom w:w="80" w:type="dxa"/>
              <w:right w:w="90" w:type="dxa"/>
            </w:tcMar>
          </w:tcPr>
          <w:p>
            <w:r>
              <w:rPr>
                <w:sz w:val="10"/>
              </w:rPr>
              <w:t>Hou &amp; Evins [17]</w:t>
            </w:r>
          </w:p>
        </w:tc>
        <w:tc>
          <w:tcPr>
            <w:tcW w:w="1050" w:type="dxa"/>
            <w:tcMar>
              <w:top w:w="80" w:type="dxa"/>
              <w:left w:w="90" w:type="dxa"/>
              <w:bottom w:w="80" w:type="dxa"/>
              <w:right w:w="90" w:type="dxa"/>
            </w:tcMar>
          </w:tcPr>
          <w:p>
            <w:r>
              <w:rPr>
                <w:sz w:val="10"/>
              </w:rPr>
              <w:t>Surrogate validation</w:t>
            </w:r>
          </w:p>
        </w:tc>
        <w:tc>
          <w:tcPr>
            <w:tcW w:w="1100" w:type="dxa"/>
            <w:tcMar>
              <w:top w:w="80" w:type="dxa"/>
              <w:left w:w="90" w:type="dxa"/>
              <w:bottom w:w="80" w:type="dxa"/>
              <w:right w:w="90" w:type="dxa"/>
            </w:tcMar>
          </w:tcPr>
          <w:p>
            <w:r>
              <w:rPr>
                <w:sz w:val="10"/>
              </w:rPr>
              <w:t>Reporting protocol</w:t>
            </w:r>
          </w:p>
        </w:tc>
        <w:tc>
          <w:tcPr>
            <w:tcW w:w="1150" w:type="dxa"/>
            <w:tcMar>
              <w:top w:w="80" w:type="dxa"/>
              <w:left w:w="90" w:type="dxa"/>
              <w:bottom w:w="80" w:type="dxa"/>
              <w:right w:w="90" w:type="dxa"/>
            </w:tcMar>
          </w:tcPr>
          <w:p>
            <w:r>
              <w:rPr>
                <w:sz w:val="10"/>
              </w:rPr>
              <w:t>Offline traces</w:t>
            </w:r>
          </w:p>
        </w:tc>
        <w:tc>
          <w:tcPr>
            <w:tcW w:w="1050" w:type="dxa"/>
            <w:tcMar>
              <w:top w:w="80" w:type="dxa"/>
              <w:left w:w="90" w:type="dxa"/>
              <w:bottom w:w="80" w:type="dxa"/>
              <w:right w:w="90" w:type="dxa"/>
            </w:tcMar>
          </w:tcPr>
          <w:p>
            <w:r>
              <w:rPr>
                <w:sz w:val="10"/>
              </w:rPr>
              <w:t>NN surrogate</w:t>
            </w:r>
          </w:p>
        </w:tc>
        <w:tc>
          <w:tcPr>
            <w:tcW w:w="1050" w:type="dxa"/>
            <w:tcMar>
              <w:top w:w="80" w:type="dxa"/>
              <w:left w:w="90" w:type="dxa"/>
              <w:bottom w:w="80" w:type="dxa"/>
              <w:right w:w="90" w:type="dxa"/>
            </w:tcMar>
          </w:tcPr>
          <w:p>
            <w:r>
              <w:rPr>
                <w:sz w:val="10"/>
              </w:rPr>
              <w:t>Predictive validity</w:t>
            </w:r>
          </w:p>
        </w:tc>
        <w:tc>
          <w:tcPr>
            <w:tcW w:w="1300" w:type="dxa"/>
            <w:tcMar>
              <w:top w:w="80" w:type="dxa"/>
              <w:left w:w="90" w:type="dxa"/>
              <w:bottom w:w="80" w:type="dxa"/>
              <w:right w:w="90" w:type="dxa"/>
            </w:tcMar>
          </w:tcPr>
          <w:p>
            <w:r>
              <w:rPr>
                <w:sz w:val="10"/>
              </w:rPr>
              <w:t>No RL utility test</w:t>
            </w:r>
          </w:p>
        </w:tc>
        <w:tc>
          <w:tcPr>
            <w:tcW w:w="2660" w:type="dxa"/>
            <w:tcMar>
              <w:top w:w="80" w:type="dxa"/>
              <w:left w:w="90" w:type="dxa"/>
              <w:bottom w:w="80" w:type="dxa"/>
              <w:right w:w="90" w:type="dxa"/>
            </w:tcMar>
          </w:tcPr>
          <w:p>
            <w:r>
              <w:rPr>
                <w:sz w:val="10"/>
              </w:rPr>
              <w:t>Extends protocol to closed-loop RL and transfer.</w:t>
            </w:r>
          </w:p>
        </w:tc>
      </w:tr>
      <w:tr>
        <w:tc>
          <w:tcPr>
            <w:tcW w:w="1000" w:type="dxa"/>
            <w:tcMar>
              <w:top w:w="80" w:type="dxa"/>
              <w:left w:w="90" w:type="dxa"/>
              <w:bottom w:w="80" w:type="dxa"/>
              <w:right w:w="90" w:type="dxa"/>
            </w:tcMar>
          </w:tcPr>
          <w:p>
            <w:r>
              <w:rPr>
                <w:sz w:val="10"/>
              </w:rPr>
              <w:t>Gao et al. [18]</w:t>
            </w:r>
          </w:p>
        </w:tc>
        <w:tc>
          <w:tcPr>
            <w:tcW w:w="1050" w:type="dxa"/>
            <w:tcMar>
              <w:top w:w="80" w:type="dxa"/>
              <w:left w:w="90" w:type="dxa"/>
              <w:bottom w:w="80" w:type="dxa"/>
              <w:right w:w="90" w:type="dxa"/>
            </w:tcMar>
          </w:tcPr>
          <w:p>
            <w:r>
              <w:rPr>
                <w:sz w:val="10"/>
              </w:rPr>
              <w:t>HVAC DRL</w:t>
            </w:r>
          </w:p>
        </w:tc>
        <w:tc>
          <w:tcPr>
            <w:tcW w:w="1100" w:type="dxa"/>
            <w:tcMar>
              <w:top w:w="80" w:type="dxa"/>
              <w:left w:w="90" w:type="dxa"/>
              <w:bottom w:w="80" w:type="dxa"/>
              <w:right w:w="90" w:type="dxa"/>
            </w:tcMar>
          </w:tcPr>
          <w:p>
            <w:r>
              <w:rPr>
                <w:sz w:val="10"/>
              </w:rPr>
              <w:t>Predictive information</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GRU predictor</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Predictive signal assumed useful</w:t>
            </w:r>
          </w:p>
        </w:tc>
        <w:tc>
          <w:tcPr>
            <w:tcW w:w="2660" w:type="dxa"/>
            <w:tcMar>
              <w:top w:w="80" w:type="dxa"/>
              <w:left w:w="90" w:type="dxa"/>
              <w:bottom w:w="80" w:type="dxa"/>
              <w:right w:w="90" w:type="dxa"/>
            </w:tcMar>
          </w:tcPr>
          <w:p>
            <w:r>
              <w:rPr>
                <w:sz w:val="10"/>
              </w:rPr>
              <w:t>Shows predictive fidelity can hurt as rollout backend.</w:t>
            </w:r>
          </w:p>
        </w:tc>
      </w:tr>
      <w:tr>
        <w:tc>
          <w:tcPr>
            <w:tcW w:w="1000" w:type="dxa"/>
            <w:tcMar>
              <w:top w:w="80" w:type="dxa"/>
              <w:left w:w="90" w:type="dxa"/>
              <w:bottom w:w="80" w:type="dxa"/>
              <w:right w:w="90" w:type="dxa"/>
            </w:tcMar>
          </w:tcPr>
          <w:p>
            <w:r>
              <w:rPr>
                <w:sz w:val="10"/>
              </w:rPr>
              <w:t>Wang et al. [19]</w:t>
            </w:r>
          </w:p>
        </w:tc>
        <w:tc>
          <w:tcPr>
            <w:tcW w:w="1050" w:type="dxa"/>
            <w:tcMar>
              <w:top w:w="80" w:type="dxa"/>
              <w:left w:w="90" w:type="dxa"/>
              <w:bottom w:w="80" w:type="dxa"/>
              <w:right w:w="90" w:type="dxa"/>
            </w:tcMar>
          </w:tcPr>
          <w:p>
            <w:r>
              <w:rPr>
                <w:sz w:val="10"/>
              </w:rPr>
              <w:t>Safe DRL</w:t>
            </w:r>
          </w:p>
        </w:tc>
        <w:tc>
          <w:tcPr>
            <w:tcW w:w="1100" w:type="dxa"/>
            <w:tcMar>
              <w:top w:w="80" w:type="dxa"/>
              <w:left w:w="90" w:type="dxa"/>
              <w:bottom w:w="80" w:type="dxa"/>
              <w:right w:w="90" w:type="dxa"/>
            </w:tcMar>
          </w:tcPr>
          <w:p>
            <w:r>
              <w:rPr>
                <w:sz w:val="10"/>
              </w:rPr>
              <w:t>MPC filter</w:t>
            </w:r>
          </w:p>
        </w:tc>
        <w:tc>
          <w:tcPr>
            <w:tcW w:w="1150" w:type="dxa"/>
            <w:tcMar>
              <w:top w:w="80" w:type="dxa"/>
              <w:left w:w="90" w:type="dxa"/>
              <w:bottom w:w="80" w:type="dxa"/>
              <w:right w:w="90" w:type="dxa"/>
            </w:tcMar>
          </w:tcPr>
          <w:p>
            <w:r>
              <w:rPr>
                <w:sz w:val="10"/>
              </w:rPr>
              <w:t>Control loop</w:t>
            </w:r>
          </w:p>
        </w:tc>
        <w:tc>
          <w:tcPr>
            <w:tcW w:w="1050" w:type="dxa"/>
            <w:tcMar>
              <w:top w:w="80" w:type="dxa"/>
              <w:left w:w="90" w:type="dxa"/>
              <w:bottom w:w="80" w:type="dxa"/>
              <w:right w:w="90" w:type="dxa"/>
            </w:tcMar>
          </w:tcPr>
          <w:p>
            <w:r>
              <w:rPr>
                <w:sz w:val="10"/>
              </w:rPr>
              <w:t>Safety filter</w:t>
            </w:r>
          </w:p>
        </w:tc>
        <w:tc>
          <w:tcPr>
            <w:tcW w:w="1050" w:type="dxa"/>
            <w:tcMar>
              <w:top w:w="80" w:type="dxa"/>
              <w:left w:w="90" w:type="dxa"/>
              <w:bottom w:w="80" w:type="dxa"/>
              <w:right w:w="90" w:type="dxa"/>
            </w:tcMar>
          </w:tcPr>
          <w:p>
            <w:r>
              <w:rPr>
                <w:sz w:val="10"/>
              </w:rPr>
              <w:t>Safe actions</w:t>
            </w:r>
          </w:p>
        </w:tc>
        <w:tc>
          <w:tcPr>
            <w:tcW w:w="1300" w:type="dxa"/>
            <w:tcMar>
              <w:top w:w="80" w:type="dxa"/>
              <w:left w:w="90" w:type="dxa"/>
              <w:bottom w:w="80" w:type="dxa"/>
              <w:right w:w="90" w:type="dxa"/>
            </w:tcMar>
          </w:tcPr>
          <w:p>
            <w:r>
              <w:rPr>
                <w:sz w:val="10"/>
              </w:rPr>
              <w:t>Hard safety layer</w:t>
            </w:r>
          </w:p>
        </w:tc>
        <w:tc>
          <w:tcPr>
            <w:tcW w:w="2660" w:type="dxa"/>
            <w:tcMar>
              <w:top w:w="80" w:type="dxa"/>
              <w:left w:w="90" w:type="dxa"/>
              <w:bottom w:w="80" w:type="dxa"/>
              <w:right w:w="90" w:type="dxa"/>
            </w:tcMar>
          </w:tcPr>
          <w:p>
            <w:r>
              <w:rPr>
                <w:sz w:val="10"/>
              </w:rPr>
              <w:t>Tests soft physical regularization.</w:t>
            </w:r>
          </w:p>
        </w:tc>
      </w:tr>
      <w:tr>
        <w:tc>
          <w:tcPr>
            <w:tcW w:w="1000" w:type="dxa"/>
            <w:tcMar>
              <w:top w:w="80" w:type="dxa"/>
              <w:left w:w="90" w:type="dxa"/>
              <w:bottom w:w="80" w:type="dxa"/>
              <w:right w:w="90" w:type="dxa"/>
            </w:tcMar>
          </w:tcPr>
          <w:p>
            <w:r>
              <w:rPr>
                <w:sz w:val="10"/>
              </w:rPr>
              <w:t>Liao et al. [21]</w:t>
            </w:r>
          </w:p>
        </w:tc>
        <w:tc>
          <w:tcPr>
            <w:tcW w:w="1050" w:type="dxa"/>
            <w:tcMar>
              <w:top w:w="80" w:type="dxa"/>
              <w:left w:w="90" w:type="dxa"/>
              <w:bottom w:w="80" w:type="dxa"/>
              <w:right w:w="90" w:type="dxa"/>
            </w:tcMar>
          </w:tcPr>
          <w:p>
            <w:r>
              <w:rPr>
                <w:sz w:val="10"/>
              </w:rPr>
              <w:t>HDRL HVAC</w:t>
            </w:r>
          </w:p>
        </w:tc>
        <w:tc>
          <w:tcPr>
            <w:tcW w:w="1100" w:type="dxa"/>
            <w:tcMar>
              <w:top w:w="80" w:type="dxa"/>
              <w:left w:w="90" w:type="dxa"/>
              <w:bottom w:w="80" w:type="dxa"/>
              <w:right w:w="90" w:type="dxa"/>
            </w:tcMar>
          </w:tcPr>
          <w:p>
            <w:r>
              <w:rPr>
                <w:sz w:val="10"/>
              </w:rPr>
              <w:t>Hierarchical RL</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Controller hierarchy</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No surrogate-role audit</w:t>
            </w:r>
          </w:p>
        </w:tc>
        <w:tc>
          <w:tcPr>
            <w:tcW w:w="2660" w:type="dxa"/>
            <w:tcMar>
              <w:top w:w="80" w:type="dxa"/>
              <w:left w:w="90" w:type="dxa"/>
              <w:bottom w:w="80" w:type="dxa"/>
              <w:right w:w="90" w:type="dxa"/>
            </w:tcMar>
          </w:tcPr>
          <w:p>
            <w:r>
              <w:rPr>
                <w:sz w:val="10"/>
              </w:rPr>
              <w:t>Tests controller-family specificity.</w:t>
            </w:r>
          </w:p>
        </w:tc>
      </w:tr>
      <w:tr>
        <w:tc>
          <w:tcPr>
            <w:tcW w:w="1000" w:type="dxa"/>
            <w:tcMar>
              <w:top w:w="80" w:type="dxa"/>
              <w:left w:w="90" w:type="dxa"/>
              <w:bottom w:w="80" w:type="dxa"/>
              <w:right w:w="90" w:type="dxa"/>
            </w:tcMar>
          </w:tcPr>
          <w:p>
            <w:r>
              <w:rPr>
                <w:sz w:val="10"/>
              </w:rPr>
              <w:t>Coraci et al. [23]</w:t>
            </w:r>
          </w:p>
        </w:tc>
        <w:tc>
          <w:tcPr>
            <w:tcW w:w="1050" w:type="dxa"/>
            <w:tcMar>
              <w:top w:w="80" w:type="dxa"/>
              <w:left w:w="90" w:type="dxa"/>
              <w:bottom w:w="80" w:type="dxa"/>
              <w:right w:w="90" w:type="dxa"/>
            </w:tcMar>
          </w:tcPr>
          <w:p>
            <w:r>
              <w:rPr>
                <w:sz w:val="10"/>
              </w:rPr>
              <w:t>Transfer</w:t>
            </w:r>
          </w:p>
        </w:tc>
        <w:tc>
          <w:tcPr>
            <w:tcW w:w="1100" w:type="dxa"/>
            <w:tcMar>
              <w:top w:w="80" w:type="dxa"/>
              <w:left w:w="90" w:type="dxa"/>
              <w:bottom w:w="80" w:type="dxa"/>
              <w:right w:w="90" w:type="dxa"/>
            </w:tcMar>
          </w:tcPr>
          <w:p>
            <w:r>
              <w:rPr>
                <w:sz w:val="10"/>
              </w:rPr>
              <w:t>Online transfer</w:t>
            </w:r>
          </w:p>
        </w:tc>
        <w:tc>
          <w:tcPr>
            <w:tcW w:w="1150" w:type="dxa"/>
            <w:tcMar>
              <w:top w:w="80" w:type="dxa"/>
              <w:left w:w="90" w:type="dxa"/>
              <w:bottom w:w="80" w:type="dxa"/>
              <w:right w:w="90" w:type="dxa"/>
            </w:tcMar>
          </w:tcPr>
          <w:p>
            <w:r>
              <w:rPr>
                <w:sz w:val="10"/>
              </w:rPr>
              <w:t>Target adaptation</w:t>
            </w:r>
          </w:p>
        </w:tc>
        <w:tc>
          <w:tcPr>
            <w:tcW w:w="1050" w:type="dxa"/>
            <w:tcMar>
              <w:top w:w="80" w:type="dxa"/>
              <w:left w:w="90" w:type="dxa"/>
              <w:bottom w:w="80" w:type="dxa"/>
              <w:right w:w="90" w:type="dxa"/>
            </w:tcMar>
          </w:tcPr>
          <w:p>
            <w:r>
              <w:rPr>
                <w:sz w:val="10"/>
              </w:rPr>
              <w:t>Controller adaptation</w:t>
            </w:r>
          </w:p>
        </w:tc>
        <w:tc>
          <w:tcPr>
            <w:tcW w:w="1050" w:type="dxa"/>
            <w:tcMar>
              <w:top w:w="80" w:type="dxa"/>
              <w:left w:w="90" w:type="dxa"/>
              <w:bottom w:w="80" w:type="dxa"/>
              <w:right w:w="90" w:type="dxa"/>
            </w:tcMar>
          </w:tcPr>
          <w:p>
            <w:r>
              <w:rPr>
                <w:sz w:val="10"/>
              </w:rPr>
              <w:t>Deployment</w:t>
            </w:r>
          </w:p>
        </w:tc>
        <w:tc>
          <w:tcPr>
            <w:tcW w:w="1300" w:type="dxa"/>
            <w:tcMar>
              <w:top w:w="80" w:type="dxa"/>
              <w:left w:w="90" w:type="dxa"/>
              <w:bottom w:w="80" w:type="dxa"/>
              <w:right w:w="90" w:type="dxa"/>
            </w:tcMar>
          </w:tcPr>
          <w:p>
            <w:r>
              <w:rPr>
                <w:sz w:val="10"/>
              </w:rPr>
              <w:t>Allows policy adaptation</w:t>
            </w:r>
          </w:p>
        </w:tc>
        <w:tc>
          <w:tcPr>
            <w:tcW w:w="2660" w:type="dxa"/>
            <w:tcMar>
              <w:top w:w="80" w:type="dxa"/>
              <w:left w:w="90" w:type="dxa"/>
              <w:bottom w:w="80" w:type="dxa"/>
              <w:right w:w="90" w:type="dxa"/>
            </w:tcMar>
          </w:tcPr>
          <w:p>
            <w:r>
              <w:rPr>
                <w:sz w:val="10"/>
              </w:rPr>
              <w:t>Separates surrogate transfer from frozen-controller transfer.</w:t>
            </w:r>
          </w:p>
        </w:tc>
      </w:tr>
      <w:tr>
        <w:tc>
          <w:tcPr>
            <w:tcW w:w="1000" w:type="dxa"/>
            <w:tcMar>
              <w:top w:w="80" w:type="dxa"/>
              <w:left w:w="90" w:type="dxa"/>
              <w:bottom w:w="80" w:type="dxa"/>
              <w:right w:w="90" w:type="dxa"/>
            </w:tcMar>
          </w:tcPr>
          <w:p>
            <w:r>
              <w:rPr>
                <w:sz w:val="10"/>
              </w:rPr>
              <w:t>Offline RL survey [27]</w:t>
            </w:r>
          </w:p>
        </w:tc>
        <w:tc>
          <w:tcPr>
            <w:tcW w:w="1050" w:type="dxa"/>
            <w:tcMar>
              <w:top w:w="80" w:type="dxa"/>
              <w:left w:w="90" w:type="dxa"/>
              <w:bottom w:w="80" w:type="dxa"/>
              <w:right w:w="90" w:type="dxa"/>
            </w:tcMar>
          </w:tcPr>
          <w:p>
            <w:r>
              <w:rPr>
                <w:sz w:val="10"/>
              </w:rPr>
              <w:t>RL methodology</w:t>
            </w:r>
          </w:p>
        </w:tc>
        <w:tc>
          <w:tcPr>
            <w:tcW w:w="1100" w:type="dxa"/>
            <w:tcMar>
              <w:top w:w="80" w:type="dxa"/>
              <w:left w:w="90" w:type="dxa"/>
              <w:bottom w:w="80" w:type="dxa"/>
              <w:right w:w="90" w:type="dxa"/>
            </w:tcMar>
          </w:tcPr>
          <w:p>
            <w:r>
              <w:rPr>
                <w:sz w:val="10"/>
              </w:rPr>
              <w:t>Distribution shift</w:t>
            </w:r>
          </w:p>
        </w:tc>
        <w:tc>
          <w:tcPr>
            <w:tcW w:w="1150" w:type="dxa"/>
            <w:tcMar>
              <w:top w:w="80" w:type="dxa"/>
              <w:left w:w="90" w:type="dxa"/>
              <w:bottom w:w="80" w:type="dxa"/>
              <w:right w:w="90" w:type="dxa"/>
            </w:tcMar>
          </w:tcPr>
          <w:p>
            <w:r>
              <w:rPr>
                <w:sz w:val="10"/>
              </w:rPr>
              <w:t>Offline data</w:t>
            </w:r>
          </w:p>
        </w:tc>
        <w:tc>
          <w:tcPr>
            <w:tcW w:w="1050" w:type="dxa"/>
            <w:tcMar>
              <w:top w:w="80" w:type="dxa"/>
              <w:left w:w="90" w:type="dxa"/>
              <w:bottom w:w="80" w:type="dxa"/>
              <w:right w:w="90" w:type="dxa"/>
            </w:tcMar>
          </w:tcPr>
          <w:p>
            <w:r>
              <w:rPr>
                <w:sz w:val="10"/>
              </w:rPr>
              <w:t>Policy/data support</w:t>
            </w:r>
          </w:p>
        </w:tc>
        <w:tc>
          <w:tcPr>
            <w:tcW w:w="1050" w:type="dxa"/>
            <w:tcMar>
              <w:top w:w="80" w:type="dxa"/>
              <w:left w:w="90" w:type="dxa"/>
              <w:bottom w:w="80" w:type="dxa"/>
              <w:right w:w="90" w:type="dxa"/>
            </w:tcMar>
          </w:tcPr>
          <w:p>
            <w:r>
              <w:rPr>
                <w:sz w:val="10"/>
              </w:rPr>
              <w:t>OOD robustness</w:t>
            </w:r>
          </w:p>
        </w:tc>
        <w:tc>
          <w:tcPr>
            <w:tcW w:w="1300" w:type="dxa"/>
            <w:tcMar>
              <w:top w:w="80" w:type="dxa"/>
              <w:left w:w="90" w:type="dxa"/>
              <w:bottom w:w="80" w:type="dxa"/>
              <w:right w:w="90" w:type="dxa"/>
            </w:tcMar>
          </w:tcPr>
          <w:p>
            <w:r>
              <w:rPr>
                <w:sz w:val="10"/>
              </w:rPr>
              <w:t>Generic RL</w:t>
            </w:r>
          </w:p>
        </w:tc>
        <w:tc>
          <w:tcPr>
            <w:tcW w:w="2660" w:type="dxa"/>
            <w:tcMar>
              <w:top w:w="80" w:type="dxa"/>
              <w:left w:w="90" w:type="dxa"/>
              <w:bottom w:w="80" w:type="dxa"/>
              <w:right w:w="90" w:type="dxa"/>
            </w:tcMar>
          </w:tcPr>
          <w:p>
            <w:r>
              <w:rPr>
                <w:sz w:val="10"/>
              </w:rPr>
              <w:t>Shows surrogate-induced shift in HVAC control.</w:t>
            </w:r>
          </w:p>
        </w:tc>
      </w:tr>
    </w:tbl>
    <w:p>
      <w:r>
        <w:rPr>
          <w:i/>
          <w:sz w:val="18"/>
          <w:color w:val="555555"/>
        </w:rPr>
        <w:t>Table 1. Literature positioning and research gap. Detailed literature notes are reported in the supplementary material.</w:t>
      </w:r>
    </w:p>
    <w:p>
      <w:pPr>
        <w:pStyle w:val="Heading2"/>
      </w:pPr>
      <w:r>
        <w:t>2.1 Deep reinforcement learning for HVAC control</w:t>
      </w:r>
    </w:p>
    <w:p>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pPr>
        <w:pStyle w:val="Heading2"/>
      </w:pPr>
      <w:r>
        <w:t>2.2 Surrogate and digital twin models for building energy</w:t>
      </w:r>
    </w:p>
    <w:p>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pPr>
        <w:pStyle w:val="Heading2"/>
      </w:pPr>
      <w:r>
        <w:t>2.3 Physics-informed and safety-aware learning</w:t>
      </w:r>
    </w:p>
    <w:p>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pPr>
        <w:pStyle w:val="Heading2"/>
      </w:pPr>
      <w:r>
        <w:t>2.4 Multi-objective RL and Pareto analysis</w:t>
      </w:r>
    </w:p>
    <w:p>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pPr>
        <w:pStyle w:val="Heading2"/>
      </w:pPr>
      <w:r>
        <w:t>2.5 Transfer learning and cross-testcase generalization</w:t>
      </w:r>
    </w:p>
    <w:p>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pPr>
        <w:pStyle w:val="Heading2"/>
      </w:pPr>
      <w:r>
        <w:t>2.6 BOPTEST benchmarking</w:t>
      </w:r>
    </w:p>
    <w:p>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p>
    <w:p>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pPr>
        <w:pStyle w:val="Heading1"/>
      </w:pPr>
      <w:r>
        <w:t>3. Methodology</w:t>
      </w:r>
    </w:p>
    <w:p>
      <w:pPr>
        <w:jc w:val="center"/>
      </w:pPr>
      <w:r>
        <w:drawing>
          <wp:inline distT="0" distB="0" distL="0" distR="0">
            <wp:extent cx="6126480" cy="2468880"/>
            <wp:docPr id="1" name="engineering_fig01"/>
            <a:graphic xmlns:a="http://schemas.openxmlformats.org/drawingml/2006/main">
              <a:graphicData uri="http://schemas.openxmlformats.org/drawingml/2006/picture">
                <pic:pic xmlns:pic="http://schemas.openxmlformats.org/drawingml/2006/picture">
                  <pic:nvPicPr>
                    <pic:cNvPr id="0" name="engineering_fig01"/>
                    <pic:cNvPicPr/>
                  </pic:nvPicPr>
                  <pic:blipFill>
                    <a:blip r:embed="rId1500"/>
                    <a:stretch>
                      <a:fillRect/>
                    </a:stretch>
                  </pic:blipFill>
                  <pic:spPr>
                    <a:xfrm>
                      <a:off x="0" y="0"/>
                      <a:ext cx="6126480" cy="2468880"/>
                    </a:xfrm>
                    <a:prstGeom prst="rect">
                      <a:avLst/>
                    </a:prstGeom>
                  </pic:spPr>
                </pic:pic>
              </a:graphicData>
            </a:graphic>
          </wp:inline>
        </w:drawing>
      </w:r>
    </w:p>
    <w:p>
      <w:r>
        <w:rPr>
          <w:i/>
          <w:sz w:val="18"/>
          <w:color w:val="555555"/>
        </w:rPr>
        <w:t>Figure 1. Overall experimental pipeline. The study separates surrogate calibration, live controller validation, and transferability testing rather than treating digital-twin accuracy as a single scalar property.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50"/>
        <w:gridCol w:w="1350"/>
        <w:gridCol w:w="650"/>
        <w:gridCol w:w="950"/>
        <w:gridCol w:w="1200"/>
        <w:gridCol w:w="800"/>
        <w:gridCol w:w="1300"/>
        <w:gridCol w:w="950"/>
        <w:gridCol w:w="2010"/>
      </w:tblGrid>
      <w:tr>
        <w:tc>
          <w:tcPr>
            <w:tcW w:w="1150" w:type="dxa"/>
            <w:shd w:fill="EAF2F8"/>
            <w:tcMar>
              <w:top w:w="80" w:type="dxa"/>
              <w:left w:w="90" w:type="dxa"/>
              <w:bottom w:w="80" w:type="dxa"/>
              <w:right w:w="90" w:type="dxa"/>
            </w:tcMar>
          </w:tcPr>
          <w:p>
            <w:r>
              <w:rPr>
                <w:b/>
                <w:sz w:val="10"/>
              </w:rPr>
              <w:t>Surrogate/backend</w:t>
            </w:r>
          </w:p>
        </w:tc>
        <w:tc>
          <w:tcPr>
            <w:tcW w:w="1350" w:type="dxa"/>
            <w:shd w:fill="EAF2F8"/>
            <w:tcMar>
              <w:top w:w="80" w:type="dxa"/>
              <w:left w:w="90" w:type="dxa"/>
              <w:bottom w:w="80" w:type="dxa"/>
              <w:right w:w="90" w:type="dxa"/>
            </w:tcMar>
          </w:tcPr>
          <w:p>
            <w:r>
              <w:rPr>
                <w:b/>
                <w:sz w:val="10"/>
              </w:rPr>
              <w:t>Architecture</w:t>
            </w:r>
          </w:p>
        </w:tc>
        <w:tc>
          <w:tcPr>
            <w:tcW w:w="650" w:type="dxa"/>
            <w:shd w:fill="EAF2F8"/>
            <w:tcMar>
              <w:top w:w="80" w:type="dxa"/>
              <w:left w:w="90" w:type="dxa"/>
              <w:bottom w:w="80" w:type="dxa"/>
              <w:right w:w="90" w:type="dxa"/>
            </w:tcMar>
          </w:tcPr>
          <w:p>
            <w:r>
              <w:rPr>
                <w:b/>
                <w:sz w:val="10"/>
              </w:rPr>
              <w:t>Input dim</w:t>
            </w:r>
          </w:p>
        </w:tc>
        <w:tc>
          <w:tcPr>
            <w:tcW w:w="950" w:type="dxa"/>
            <w:shd w:fill="EAF2F8"/>
            <w:tcMar>
              <w:top w:w="80" w:type="dxa"/>
              <w:left w:w="90" w:type="dxa"/>
              <w:bottom w:w="80" w:type="dxa"/>
              <w:right w:w="90" w:type="dxa"/>
            </w:tcMar>
          </w:tcPr>
          <w:p>
            <w:r>
              <w:rPr>
                <w:b/>
                <w:sz w:val="10"/>
              </w:rPr>
              <w:t>Output</w:t>
            </w:r>
          </w:p>
        </w:tc>
        <w:tc>
          <w:tcPr>
            <w:tcW w:w="1200" w:type="dxa"/>
            <w:shd w:fill="EAF2F8"/>
            <w:tcMar>
              <w:top w:w="80" w:type="dxa"/>
              <w:left w:w="90" w:type="dxa"/>
              <w:bottom w:w="80" w:type="dxa"/>
              <w:right w:w="90" w:type="dxa"/>
            </w:tcMar>
          </w:tcPr>
          <w:p>
            <w:r>
              <w:rPr>
                <w:b/>
                <w:sz w:val="10"/>
              </w:rPr>
              <w:t>Physical structure</w:t>
            </w:r>
          </w:p>
        </w:tc>
        <w:tc>
          <w:tcPr>
            <w:tcW w:w="800" w:type="dxa"/>
            <w:shd w:fill="EAF2F8"/>
            <w:tcMar>
              <w:top w:w="80" w:type="dxa"/>
              <w:left w:w="90" w:type="dxa"/>
              <w:bottom w:w="80" w:type="dxa"/>
              <w:right w:w="90" w:type="dxa"/>
            </w:tcMar>
          </w:tcPr>
          <w:p>
            <w:r>
              <w:rPr>
                <w:b/>
                <w:sz w:val="10"/>
              </w:rPr>
              <w:t>Parameters</w:t>
            </w:r>
          </w:p>
        </w:tc>
        <w:tc>
          <w:tcPr>
            <w:tcW w:w="1300" w:type="dxa"/>
            <w:shd w:fill="EAF2F8"/>
            <w:tcMar>
              <w:top w:w="80" w:type="dxa"/>
              <w:left w:w="90" w:type="dxa"/>
              <w:bottom w:w="80" w:type="dxa"/>
              <w:right w:w="90" w:type="dxa"/>
            </w:tcMar>
          </w:tcPr>
          <w:p>
            <w:r>
              <w:rPr>
                <w:b/>
                <w:sz w:val="10"/>
              </w:rPr>
              <w:t>Training corpus</w:t>
            </w:r>
          </w:p>
        </w:tc>
        <w:tc>
          <w:tcPr>
            <w:tcW w:w="950" w:type="dxa"/>
            <w:shd w:fill="EAF2F8"/>
            <w:tcMar>
              <w:top w:w="80" w:type="dxa"/>
              <w:left w:w="90" w:type="dxa"/>
              <w:bottom w:w="80" w:type="dxa"/>
              <w:right w:w="90" w:type="dxa"/>
            </w:tcMar>
          </w:tcPr>
          <w:p>
            <w:r>
              <w:rPr>
                <w:b/>
                <w:sz w:val="10"/>
              </w:rPr>
              <w:t>Calibration</w:t>
            </w:r>
          </w:p>
        </w:tc>
        <w:tc>
          <w:tcPr>
            <w:tcW w:w="2010" w:type="dxa"/>
            <w:shd w:fill="EAF2F8"/>
            <w:tcMar>
              <w:top w:w="80" w:type="dxa"/>
              <w:left w:w="90" w:type="dxa"/>
              <w:bottom w:w="80" w:type="dxa"/>
              <w:right w:w="90" w:type="dxa"/>
            </w:tcMar>
          </w:tcPr>
          <w:p>
            <w:r>
              <w:rPr>
                <w:b/>
                <w:sz w:val="10"/>
              </w:rPr>
              <w:t>Role in RL</w:t>
            </w:r>
          </w:p>
        </w:tc>
      </w:tr>
      <w:tr>
        <w:tc>
          <w:tcPr>
            <w:tcW w:w="1150" w:type="dxa"/>
            <w:tcMar>
              <w:top w:w="80" w:type="dxa"/>
              <w:left w:w="90" w:type="dxa"/>
              <w:bottom w:w="80" w:type="dxa"/>
              <w:right w:w="90" w:type="dxa"/>
            </w:tcMar>
          </w:tcPr>
          <w:p>
            <w:r>
              <w:rPr>
                <w:sz w:val="10"/>
              </w:rPr>
              <w:t>v3</w:t>
            </w:r>
          </w:p>
        </w:tc>
        <w:tc>
          <w:tcPr>
            <w:tcW w:w="1350" w:type="dxa"/>
            <w:tcMar>
              <w:top w:w="80" w:type="dxa"/>
              <w:left w:w="90" w:type="dxa"/>
              <w:bottom w:w="80" w:type="dxa"/>
              <w:right w:w="90" w:type="dxa"/>
            </w:tcMar>
          </w:tcPr>
          <w:p>
            <w:r>
              <w:rPr>
                <w:sz w:val="10"/>
              </w:rPr>
              <w:t>Compact dual-head MLP</w:t>
            </w:r>
          </w:p>
        </w:tc>
        <w:tc>
          <w:tcPr>
            <w:tcW w:w="650" w:type="dxa"/>
            <w:tcMar>
              <w:top w:w="80" w:type="dxa"/>
              <w:left w:w="90" w:type="dxa"/>
              <w:bottom w:w="80" w:type="dxa"/>
              <w:right w:w="90" w:type="dxa"/>
            </w:tcMar>
          </w:tcPr>
          <w:p>
            <w:r>
              <w:rPr>
                <w:sz w:val="10"/>
              </w:rPr>
              <w:t>8</w:t>
            </w:r>
          </w:p>
        </w:tc>
        <w:tc>
          <w:tcPr>
            <w:tcW w:w="950" w:type="dxa"/>
            <w:tcMar>
              <w:top w:w="80" w:type="dxa"/>
              <w:left w:w="90" w:type="dxa"/>
              <w:bottom w:w="80" w:type="dxa"/>
              <w:right w:w="90" w:type="dxa"/>
            </w:tcMar>
          </w:tcPr>
          <w:p>
            <w:r>
              <w:rPr>
                <w:sz w:val="10"/>
              </w:rPr>
              <w:t>dT, HVAC power</w:t>
            </w:r>
          </w:p>
        </w:tc>
        <w:tc>
          <w:tcPr>
            <w:tcW w:w="1200" w:type="dxa"/>
            <w:tcMar>
              <w:top w:w="80" w:type="dxa"/>
              <w:left w:w="90" w:type="dxa"/>
              <w:bottom w:w="80" w:type="dxa"/>
              <w:right w:w="90" w:type="dxa"/>
            </w:tcMar>
          </w:tcPr>
          <w:p>
            <w:r>
              <w:rPr>
                <w:sz w:val="10"/>
              </w:rPr>
              <w:t>No explicit physics</w:t>
            </w:r>
          </w:p>
        </w:tc>
        <w:tc>
          <w:tcPr>
            <w:tcW w:w="800" w:type="dxa"/>
            <w:tcMar>
              <w:top w:w="80" w:type="dxa"/>
              <w:left w:w="90" w:type="dxa"/>
              <w:bottom w:w="80" w:type="dxa"/>
              <w:right w:w="90" w:type="dxa"/>
            </w:tcMar>
          </w:tcPr>
          <w:p>
            <w:r>
              <w:rPr>
                <w:sz w:val="10"/>
              </w:rPr>
              <w:t>8,482</w:t>
            </w:r>
          </w:p>
        </w:tc>
        <w:tc>
          <w:tcPr>
            <w:tcW w:w="1300" w:type="dxa"/>
            <w:tcMar>
              <w:top w:w="80" w:type="dxa"/>
              <w:left w:w="90" w:type="dxa"/>
              <w:bottom w:w="80" w:type="dxa"/>
              <w:right w:w="90" w:type="dxa"/>
            </w:tcMar>
          </w:tcPr>
          <w:p>
            <w:r>
              <w:rPr>
                <w:sz w:val="10"/>
              </w:rPr>
              <w:t>hourly + matched 15-min check</w:t>
            </w:r>
          </w:p>
        </w:tc>
        <w:tc>
          <w:tcPr>
            <w:tcW w:w="950" w:type="dxa"/>
            <w:tcMar>
              <w:top w:w="80" w:type="dxa"/>
              <w:left w:w="90" w:type="dxa"/>
              <w:bottom w:w="80" w:type="dxa"/>
              <w:right w:w="90" w:type="dxa"/>
            </w:tcMar>
          </w:tcPr>
          <w:p>
            <w:r>
              <w:rPr>
                <w:sz w:val="10"/>
              </w:rPr>
              <w:t>Supervised</w:t>
            </w:r>
          </w:p>
        </w:tc>
        <w:tc>
          <w:tcPr>
            <w:tcW w:w="2010" w:type="dxa"/>
            <w:tcMar>
              <w:top w:w="80" w:type="dxa"/>
              <w:left w:w="90" w:type="dxa"/>
              <w:bottom w:w="80" w:type="dxa"/>
              <w:right w:w="90" w:type="dxa"/>
            </w:tcMar>
          </w:tcPr>
          <w:p>
            <w:r>
              <w:rPr>
                <w:sz w:val="10"/>
              </w:rPr>
              <w:t>Primary rollout environment</w:t>
            </w:r>
          </w:p>
        </w:tc>
      </w:tr>
      <w:tr>
        <w:tc>
          <w:tcPr>
            <w:tcW w:w="1150" w:type="dxa"/>
            <w:tcMar>
              <w:top w:w="80" w:type="dxa"/>
              <w:left w:w="90" w:type="dxa"/>
              <w:bottom w:w="80" w:type="dxa"/>
              <w:right w:w="90" w:type="dxa"/>
            </w:tcMar>
          </w:tcPr>
          <w:p>
            <w:r>
              <w:rPr>
                <w:sz w:val="10"/>
              </w:rPr>
              <w:t>raw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C_zon backbone</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None</w:t>
            </w:r>
          </w:p>
        </w:tc>
        <w:tc>
          <w:tcPr>
            <w:tcW w:w="2010" w:type="dxa"/>
            <w:tcMar>
              <w:top w:w="80" w:type="dxa"/>
              <w:left w:w="90" w:type="dxa"/>
              <w:bottom w:w="80" w:type="dxa"/>
              <w:right w:w="90" w:type="dxa"/>
            </w:tcMar>
          </w:tcPr>
          <w:p>
            <w:r>
              <w:rPr>
                <w:sz w:val="10"/>
              </w:rPr>
              <w:t>Architecture-only negative baseline</w:t>
            </w:r>
          </w:p>
        </w:tc>
      </w:tr>
      <w:tr>
        <w:tc>
          <w:tcPr>
            <w:tcW w:w="1150" w:type="dxa"/>
            <w:tcMar>
              <w:top w:w="80" w:type="dxa"/>
              <w:left w:w="90" w:type="dxa"/>
              <w:bottom w:w="80" w:type="dxa"/>
              <w:right w:w="90" w:type="dxa"/>
            </w:tcMar>
          </w:tcPr>
          <w:p>
            <w:r>
              <w:rPr>
                <w:sz w:val="10"/>
              </w:rPr>
              <w:t>calibrated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identified C_zon</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Stage A/B/C</w:t>
            </w:r>
          </w:p>
        </w:tc>
        <w:tc>
          <w:tcPr>
            <w:tcW w:w="2010" w:type="dxa"/>
            <w:tcMar>
              <w:top w:w="80" w:type="dxa"/>
              <w:left w:w="90" w:type="dxa"/>
              <w:bottom w:w="80" w:type="dxa"/>
              <w:right w:w="90" w:type="dxa"/>
            </w:tcMar>
          </w:tcPr>
          <w:p>
            <w:r>
              <w:rPr>
                <w:sz w:val="10"/>
              </w:rPr>
              <w:t>Predictive twin and frozen teacher</w:t>
            </w:r>
          </w:p>
        </w:tc>
      </w:tr>
      <w:tr>
        <w:tc>
          <w:tcPr>
            <w:tcW w:w="1150" w:type="dxa"/>
            <w:tcMar>
              <w:top w:w="80" w:type="dxa"/>
              <w:left w:w="90" w:type="dxa"/>
              <w:bottom w:w="80" w:type="dxa"/>
              <w:right w:w="90" w:type="dxa"/>
            </w:tcMar>
          </w:tcPr>
          <w:p>
            <w:r>
              <w:rPr>
                <w:sz w:val="10"/>
              </w:rPr>
              <w:t>hybrid</w:t>
            </w:r>
          </w:p>
        </w:tc>
        <w:tc>
          <w:tcPr>
            <w:tcW w:w="1350" w:type="dxa"/>
            <w:tcMar>
              <w:top w:w="80" w:type="dxa"/>
              <w:left w:w="90" w:type="dxa"/>
              <w:bottom w:w="80" w:type="dxa"/>
              <w:right w:w="90" w:type="dxa"/>
            </w:tcMar>
          </w:tcPr>
          <w:p>
            <w:r>
              <w:rPr>
                <w:sz w:val="10"/>
              </w:rPr>
              <w:t>v3 rollout + frozen v3.5 teacher</w:t>
            </w:r>
          </w:p>
        </w:tc>
        <w:tc>
          <w:tcPr>
            <w:tcW w:w="650" w:type="dxa"/>
            <w:tcMar>
              <w:top w:w="80" w:type="dxa"/>
              <w:left w:w="90" w:type="dxa"/>
              <w:bottom w:w="80" w:type="dxa"/>
              <w:right w:w="90" w:type="dxa"/>
            </w:tcMar>
          </w:tcPr>
          <w:p>
            <w:r>
              <w:rPr>
                <w:sz w:val="10"/>
              </w:rPr>
              <w:t>policy obs</w:t>
            </w:r>
          </w:p>
        </w:tc>
        <w:tc>
          <w:tcPr>
            <w:tcW w:w="950" w:type="dxa"/>
            <w:tcMar>
              <w:top w:w="80" w:type="dxa"/>
              <w:left w:w="90" w:type="dxa"/>
              <w:bottom w:w="80" w:type="dxa"/>
              <w:right w:w="90" w:type="dxa"/>
            </w:tcMar>
          </w:tcPr>
          <w:p>
            <w:r>
              <w:rPr>
                <w:sz w:val="10"/>
              </w:rPr>
              <w:t>rollout + disagreement</w:t>
            </w:r>
          </w:p>
        </w:tc>
        <w:tc>
          <w:tcPr>
            <w:tcW w:w="1200" w:type="dxa"/>
            <w:tcMar>
              <w:top w:w="80" w:type="dxa"/>
              <w:left w:w="90" w:type="dxa"/>
              <w:bottom w:w="80" w:type="dxa"/>
              <w:right w:w="90" w:type="dxa"/>
            </w:tcMar>
          </w:tcPr>
          <w:p>
            <w:r>
              <w:rPr>
                <w:sz w:val="10"/>
              </w:rPr>
              <w:t>soft physical regularizer</w:t>
            </w:r>
          </w:p>
        </w:tc>
        <w:tc>
          <w:tcPr>
            <w:tcW w:w="800" w:type="dxa"/>
            <w:tcMar>
              <w:top w:w="80" w:type="dxa"/>
              <w:left w:w="90" w:type="dxa"/>
              <w:bottom w:w="80" w:type="dxa"/>
              <w:right w:w="90" w:type="dxa"/>
            </w:tcMar>
          </w:tcPr>
          <w:p>
            <w:r>
              <w:rPr>
                <w:sz w:val="10"/>
              </w:rPr>
              <w:t>v3 + v3.5</w:t>
            </w:r>
          </w:p>
        </w:tc>
        <w:tc>
          <w:tcPr>
            <w:tcW w:w="1300" w:type="dxa"/>
            <w:tcMar>
              <w:top w:w="80" w:type="dxa"/>
              <w:left w:w="90" w:type="dxa"/>
              <w:bottom w:w="80" w:type="dxa"/>
              <w:right w:w="90" w:type="dxa"/>
            </w:tcMar>
          </w:tcPr>
          <w:p>
            <w:r>
              <w:rPr>
                <w:sz w:val="10"/>
              </w:rPr>
              <w:t>same source corpus</w:t>
            </w:r>
          </w:p>
        </w:tc>
        <w:tc>
          <w:tcPr>
            <w:tcW w:w="950" w:type="dxa"/>
            <w:tcMar>
              <w:top w:w="80" w:type="dxa"/>
              <w:left w:w="90" w:type="dxa"/>
              <w:bottom w:w="80" w:type="dxa"/>
              <w:right w:w="90" w:type="dxa"/>
            </w:tcMar>
          </w:tcPr>
          <w:p>
            <w:r>
              <w:rPr>
                <w:sz w:val="10"/>
              </w:rPr>
              <w:t>lambda weights</w:t>
            </w:r>
          </w:p>
        </w:tc>
        <w:tc>
          <w:tcPr>
            <w:tcW w:w="2010" w:type="dxa"/>
            <w:tcMar>
              <w:top w:w="80" w:type="dxa"/>
              <w:left w:w="90" w:type="dxa"/>
              <w:bottom w:w="80" w:type="dxa"/>
              <w:right w:w="90" w:type="dxa"/>
            </w:tcMar>
          </w:tcPr>
          <w:p>
            <w:r>
              <w:rPr>
                <w:sz w:val="10"/>
              </w:rPr>
              <w:t>Canonical thermostatic backend</w:t>
            </w:r>
          </w:p>
        </w:tc>
      </w:tr>
    </w:tbl>
    <w:p>
      <w:r>
        <w:rPr>
          <w:i/>
          <w:sz w:val="18"/>
          <w:color w:val="555555"/>
        </w:rPr>
        <w:t>Table 2. Surrogate architectures and calibration summary.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50"/>
        <w:gridCol w:w="4550"/>
        <w:gridCol w:w="3260"/>
      </w:tblGrid>
      <w:tr>
        <w:tc>
          <w:tcPr>
            <w:tcW w:w="1550" w:type="dxa"/>
            <w:shd w:fill="EAF2F8"/>
            <w:tcMar>
              <w:top w:w="80" w:type="dxa"/>
              <w:left w:w="90" w:type="dxa"/>
              <w:bottom w:w="80" w:type="dxa"/>
              <w:right w:w="90" w:type="dxa"/>
            </w:tcMar>
          </w:tcPr>
          <w:p>
            <w:r>
              <w:rPr>
                <w:b/>
                <w:sz w:val="11"/>
              </w:rPr>
              <w:t>Component</w:t>
            </w:r>
          </w:p>
        </w:tc>
        <w:tc>
          <w:tcPr>
            <w:tcW w:w="4550" w:type="dxa"/>
            <w:shd w:fill="EAF2F8"/>
            <w:tcMar>
              <w:top w:w="80" w:type="dxa"/>
              <w:left w:w="90" w:type="dxa"/>
              <w:bottom w:w="80" w:type="dxa"/>
              <w:right w:w="90" w:type="dxa"/>
            </w:tcMar>
          </w:tcPr>
          <w:p>
            <w:r>
              <w:rPr>
                <w:b/>
                <w:sz w:val="11"/>
              </w:rPr>
              <w:t>Definition used in main experiments</w:t>
            </w:r>
          </w:p>
        </w:tc>
        <w:tc>
          <w:tcPr>
            <w:tcW w:w="3260" w:type="dxa"/>
            <w:shd w:fill="EAF2F8"/>
            <w:tcMar>
              <w:top w:w="80" w:type="dxa"/>
              <w:left w:w="90" w:type="dxa"/>
              <w:bottom w:w="80" w:type="dxa"/>
              <w:right w:w="90" w:type="dxa"/>
            </w:tcMar>
          </w:tcPr>
          <w:p>
            <w:r>
              <w:rPr>
                <w:b/>
                <w:sz w:val="11"/>
              </w:rPr>
              <w:t>Why it matters</w:t>
            </w:r>
          </w:p>
        </w:tc>
      </w:tr>
      <w:tr>
        <w:tc>
          <w:tcPr>
            <w:tcW w:w="1550" w:type="dxa"/>
            <w:tcMar>
              <w:top w:w="80" w:type="dxa"/>
              <w:left w:w="90" w:type="dxa"/>
              <w:bottom w:w="80" w:type="dxa"/>
              <w:right w:w="90" w:type="dxa"/>
            </w:tcMar>
          </w:tcPr>
          <w:p>
            <w:r>
              <w:rPr>
                <w:sz w:val="11"/>
              </w:rPr>
              <w:t>Observation</w:t>
            </w:r>
          </w:p>
        </w:tc>
        <w:tc>
          <w:tcPr>
            <w:tcW w:w="4550" w:type="dxa"/>
            <w:tcMar>
              <w:top w:w="80" w:type="dxa"/>
              <w:left w:w="90" w:type="dxa"/>
              <w:bottom w:w="80" w:type="dxa"/>
              <w:right w:w="90" w:type="dxa"/>
            </w:tcMar>
          </w:tcPr>
          <w:p>
            <w:r>
              <w:rPr>
                <w:sz w:val="11"/>
              </w:rPr>
              <w:t>17D TSup-style state: physical variables, cyclic time, ambient forecast, previous action/history</w:t>
            </w:r>
          </w:p>
        </w:tc>
        <w:tc>
          <w:tcPr>
            <w:tcW w:w="3260" w:type="dxa"/>
            <w:tcMar>
              <w:top w:w="80" w:type="dxa"/>
              <w:left w:w="90" w:type="dxa"/>
              <w:bottom w:w="80" w:type="dxa"/>
              <w:right w:w="90" w:type="dxa"/>
            </w:tcMar>
          </w:tcPr>
          <w:p>
            <w:r>
              <w:rPr>
                <w:sz w:val="11"/>
              </w:rPr>
              <w:t>MORL 5D failed; 17D recovers usable preference-conditioned control.</w:t>
            </w:r>
          </w:p>
        </w:tc>
      </w:tr>
      <w:tr>
        <w:tc>
          <w:tcPr>
            <w:tcW w:w="1550" w:type="dxa"/>
            <w:tcMar>
              <w:top w:w="80" w:type="dxa"/>
              <w:left w:w="90" w:type="dxa"/>
              <w:bottom w:w="80" w:type="dxa"/>
              <w:right w:w="90" w:type="dxa"/>
            </w:tcMar>
          </w:tcPr>
          <w:p>
            <w:r>
              <w:rPr>
                <w:sz w:val="11"/>
              </w:rPr>
              <w:t>Action</w:t>
            </w:r>
          </w:p>
        </w:tc>
        <w:tc>
          <w:tcPr>
            <w:tcW w:w="4550" w:type="dxa"/>
            <w:tcMar>
              <w:top w:w="80" w:type="dxa"/>
              <w:left w:w="90" w:type="dxa"/>
              <w:bottom w:w="80" w:type="dxa"/>
              <w:right w:w="90" w:type="dxa"/>
            </w:tcMar>
          </w:tcPr>
          <w:p>
            <w:r>
              <w:rPr>
                <w:sz w:val="11"/>
              </w:rPr>
              <w:t>Continuous normalized action mapped to supply-temperature command 18-35 C plus fan/intensity channel</w:t>
            </w:r>
          </w:p>
        </w:tc>
        <w:tc>
          <w:tcPr>
            <w:tcW w:w="3260" w:type="dxa"/>
            <w:tcMar>
              <w:top w:w="80" w:type="dxa"/>
              <w:left w:w="90" w:type="dxa"/>
              <w:bottom w:w="80" w:type="dxa"/>
              <w:right w:w="90" w:type="dxa"/>
            </w:tcMar>
          </w:tcPr>
          <w:p>
            <w:r>
              <w:rPr>
                <w:sz w:val="11"/>
              </w:rPr>
              <w:t>Keeps controller compatible with bestest_air source testcase.</w:t>
            </w:r>
          </w:p>
        </w:tc>
      </w:tr>
      <w:tr>
        <w:tc>
          <w:tcPr>
            <w:tcW w:w="1550" w:type="dxa"/>
            <w:tcMar>
              <w:top w:w="80" w:type="dxa"/>
              <w:left w:w="90" w:type="dxa"/>
              <w:bottom w:w="80" w:type="dxa"/>
              <w:right w:w="90" w:type="dxa"/>
            </w:tcMar>
          </w:tcPr>
          <w:p>
            <w:r>
              <w:rPr>
                <w:sz w:val="11"/>
              </w:rPr>
              <w:t>Reward</w:t>
            </w:r>
          </w:p>
        </w:tc>
        <w:tc>
          <w:tcPr>
            <w:tcW w:w="4550" w:type="dxa"/>
            <w:tcMar>
              <w:top w:w="80" w:type="dxa"/>
              <w:left w:w="90" w:type="dxa"/>
              <w:bottom w:w="80" w:type="dxa"/>
              <w:right w:w="90" w:type="dxa"/>
            </w:tcMar>
          </w:tcPr>
          <w:p>
            <w:r>
              <w:rPr>
                <w:sz w:val="11"/>
              </w:rPr>
              <w:t>Comfort + energy + smoothness; MORL scalarizes comfort/energy/safety weights</w:t>
            </w:r>
          </w:p>
        </w:tc>
        <w:tc>
          <w:tcPr>
            <w:tcW w:w="3260" w:type="dxa"/>
            <w:tcMar>
              <w:top w:w="80" w:type="dxa"/>
              <w:left w:w="90" w:type="dxa"/>
              <w:bottom w:w="80" w:type="dxa"/>
              <w:right w:w="90" w:type="dxa"/>
            </w:tcMar>
          </w:tcPr>
          <w:p>
            <w:r>
              <w:rPr>
                <w:sz w:val="11"/>
              </w:rPr>
              <w:t>Separates thermostatic, HDRL, and MORL objectives.</w:t>
            </w:r>
          </w:p>
        </w:tc>
      </w:tr>
      <w:tr>
        <w:tc>
          <w:tcPr>
            <w:tcW w:w="1550" w:type="dxa"/>
            <w:tcMar>
              <w:top w:w="80" w:type="dxa"/>
              <w:left w:w="90" w:type="dxa"/>
              <w:bottom w:w="80" w:type="dxa"/>
              <w:right w:w="90" w:type="dxa"/>
            </w:tcMar>
          </w:tcPr>
          <w:p>
            <w:r>
              <w:rPr>
                <w:sz w:val="11"/>
              </w:rPr>
              <w:t>Thermostatic PPO</w:t>
            </w:r>
          </w:p>
        </w:tc>
        <w:tc>
          <w:tcPr>
            <w:tcW w:w="4550" w:type="dxa"/>
            <w:tcMar>
              <w:top w:w="80" w:type="dxa"/>
              <w:left w:w="90" w:type="dxa"/>
              <w:bottom w:w="80" w:type="dxa"/>
              <w:right w:w="90" w:type="dxa"/>
            </w:tcMar>
          </w:tcPr>
          <w:p>
            <w:r>
              <w:rPr>
                <w:sz w:val="11"/>
              </w:rPr>
              <w:t>PPO final-policy live BOPTEST evaluation; lambda_temp sweep</w:t>
            </w:r>
          </w:p>
        </w:tc>
        <w:tc>
          <w:tcPr>
            <w:tcW w:w="3260" w:type="dxa"/>
            <w:tcMar>
              <w:top w:w="80" w:type="dxa"/>
              <w:left w:w="90" w:type="dxa"/>
              <w:bottom w:w="80" w:type="dxa"/>
              <w:right w:w="90" w:type="dxa"/>
            </w:tcMar>
          </w:tcPr>
          <w:p>
            <w:r>
              <w:rPr>
                <w:sz w:val="11"/>
              </w:rPr>
              <w:t>Primary positive hybrid result.</w:t>
            </w:r>
          </w:p>
        </w:tc>
      </w:tr>
      <w:tr>
        <w:tc>
          <w:tcPr>
            <w:tcW w:w="1550" w:type="dxa"/>
            <w:tcMar>
              <w:top w:w="80" w:type="dxa"/>
              <w:left w:w="90" w:type="dxa"/>
              <w:bottom w:w="80" w:type="dxa"/>
              <w:right w:w="90" w:type="dxa"/>
            </w:tcMar>
          </w:tcPr>
          <w:p>
            <w:r>
              <w:rPr>
                <w:sz w:val="11"/>
              </w:rPr>
              <w:t>HDRL</w:t>
            </w:r>
          </w:p>
        </w:tc>
        <w:tc>
          <w:tcPr>
            <w:tcW w:w="4550" w:type="dxa"/>
            <w:tcMar>
              <w:top w:w="80" w:type="dxa"/>
              <w:left w:w="90" w:type="dxa"/>
              <w:bottom w:w="80" w:type="dxa"/>
              <w:right w:w="90" w:type="dxa"/>
            </w:tcMar>
          </w:tcPr>
          <w:p>
            <w:r>
              <w:rPr>
                <w:sz w:val="11"/>
              </w:rPr>
              <w:t>Hierarchical PPO variant; lambda_temp sweep</w:t>
            </w:r>
          </w:p>
        </w:tc>
        <w:tc>
          <w:tcPr>
            <w:tcW w:w="3260" w:type="dxa"/>
            <w:tcMar>
              <w:top w:w="80" w:type="dxa"/>
              <w:left w:w="90" w:type="dxa"/>
              <w:bottom w:w="80" w:type="dxa"/>
              <w:right w:w="90" w:type="dxa"/>
            </w:tcMar>
          </w:tcPr>
          <w:p>
            <w:r>
              <w:rPr>
                <w:sz w:val="11"/>
              </w:rPr>
              <w:t>Tests controller-family specificity.</w:t>
            </w:r>
          </w:p>
        </w:tc>
      </w:tr>
      <w:tr>
        <w:tc>
          <w:tcPr>
            <w:tcW w:w="1550" w:type="dxa"/>
            <w:tcMar>
              <w:top w:w="80" w:type="dxa"/>
              <w:left w:w="90" w:type="dxa"/>
              <w:bottom w:w="80" w:type="dxa"/>
              <w:right w:w="90" w:type="dxa"/>
            </w:tcMar>
          </w:tcPr>
          <w:p>
            <w:r>
              <w:rPr>
                <w:sz w:val="11"/>
              </w:rPr>
              <w:t>MORL</w:t>
            </w:r>
          </w:p>
        </w:tc>
        <w:tc>
          <w:tcPr>
            <w:tcW w:w="4550" w:type="dxa"/>
            <w:tcMar>
              <w:top w:w="80" w:type="dxa"/>
              <w:left w:w="90" w:type="dxa"/>
              <w:bottom w:w="80" w:type="dxa"/>
              <w:right w:w="90" w:type="dxa"/>
            </w:tcMar>
          </w:tcPr>
          <w:p>
            <w:r>
              <w:rPr>
                <w:sz w:val="11"/>
              </w:rPr>
              <w:t>Preference-conditioned pretrain/finetune; canonical N=5 seeds</w:t>
            </w:r>
          </w:p>
        </w:tc>
        <w:tc>
          <w:tcPr>
            <w:tcW w:w="3260" w:type="dxa"/>
            <w:tcMar>
              <w:top w:w="80" w:type="dxa"/>
              <w:left w:w="90" w:type="dxa"/>
              <w:bottom w:w="80" w:type="dxa"/>
              <w:right w:w="90" w:type="dxa"/>
            </w:tcMar>
          </w:tcPr>
          <w:p>
            <w:r>
              <w:rPr>
                <w:sz w:val="11"/>
              </w:rPr>
              <w:t>Tests Pareto trade-offs and seed variance.</w:t>
            </w:r>
          </w:p>
        </w:tc>
      </w:tr>
    </w:tbl>
    <w:p>
      <w:r>
        <w:rPr>
          <w:i/>
          <w:sz w:val="18"/>
          <w:color w:val="555555"/>
        </w:rPr>
        <w:t>Table 4. Controller training configuration, observation/action interface, and reward definition.</w:t>
      </w:r>
    </w:p>
    <w:p>
      <w:pPr>
        <w:pStyle w:val="Heading2"/>
      </w:pPr>
      <w:r>
        <w:t>3.1 Problem formulation</w:t>
      </w:r>
    </w:p>
    <w:p>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r>
        <w:rPr>
          <w:i/>
        </w:rPr>
        <w:t>r_t = r_track(T_zone) + r_smooth(a_t-a_{t-1}) + r_power(P_t) - lambda_temp ||T_v3 - T_v3.5||^2 - lambda_power ||P_v3 - P_v3.5||^2</w:t>
      </w:r>
    </w:p>
    <w:p>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pPr>
        <w:pStyle w:val="Heading2"/>
      </w:pPr>
      <w:r>
        <w:t>3.2 Surrogate roles and model variants</w:t>
      </w:r>
    </w:p>
    <w:p>
      <w:pPr>
        <w:jc w:val="center"/>
      </w:pPr>
      <w:r>
        <w:drawing>
          <wp:inline distT="0" distB="0" distL="0" distR="0">
            <wp:extent cx="6126480" cy="2651760"/>
            <wp:docPr id="1" name="engineering_fig02"/>
            <a:graphic xmlns:a="http://schemas.openxmlformats.org/drawingml/2006/main">
              <a:graphicData uri="http://schemas.openxmlformats.org/drawingml/2006/picture">
                <pic:pic xmlns:pic="http://schemas.openxmlformats.org/drawingml/2006/picture">
                  <pic:nvPicPr>
                    <pic:cNvPr id="0" name="engineering_fig02"/>
                    <pic:cNvPicPr/>
                  </pic:nvPicPr>
                  <pic:blipFill>
                    <a:blip r:embed="rId1501"/>
                    <a:stretch>
                      <a:fillRect/>
                    </a:stretch>
                  </pic:blipFill>
                  <pic:spPr>
                    <a:xfrm>
                      <a:off x="0" y="0"/>
                      <a:ext cx="6126480" cy="2651760"/>
                    </a:xfrm>
                    <a:prstGeom prst="rect">
                      <a:avLst/>
                    </a:prstGeom>
                  </pic:spPr>
                </pic:pic>
              </a:graphicData>
            </a:graphic>
          </wp:inline>
        </w:drawing>
      </w:r>
    </w:p>
    <w:p>
      <w:r>
        <w:rPr>
          <w:i/>
          <w:sz w:val="18"/>
          <w:color w:val="555555"/>
        </w:rPr>
        <w:t>Figure 2. v3 / v3.5 / hybrid backend architecture. v3 is the smooth dual-head rollout surrogate; v3.5 is the calibrated physics-informed twin; the hybrid backend uses frozen-v3.5 disagreement as a soft physical censor.</w:t>
      </w:r>
    </w:p>
    <w:p>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pPr>
        <w:pStyle w:val="Heading2"/>
      </w:pPr>
      <w:r>
        <w:t>3.3 Control-oriented surrogate v3</w:t>
      </w:r>
    </w:p>
    <w:p>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pPr>
        <w:pStyle w:val="Heading2"/>
      </w:pPr>
      <w:r>
        <w:t>3.4 Physically informed surrogate v3.5 and Stage A/B/C calibration</w:t>
      </w:r>
    </w:p>
    <w:p>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pPr>
        <w:pStyle w:val="Heading2"/>
      </w:pPr>
      <w:r>
        <w:t>3.5 Hybrid backend and loss coupling</w:t>
      </w:r>
    </w:p>
    <w:p>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r>
        <w:rPr>
          <w:i/>
        </w:rPr>
        <w:t>L_total = L_PPO + lambda_temp ||T_v3 - T_v3.5||^2 + lambda_power ||P_v3 - P_v3.5||^2</w:t>
      </w:r>
    </w:p>
    <w:p>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pPr>
        <w:pStyle w:val="Heading2"/>
      </w:pPr>
      <w:r>
        <w:t>3.6 Controller families</w:t>
      </w:r>
    </w:p>
    <w:p>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pPr>
        <w:pStyle w:val="Heading2"/>
      </w:pPr>
      <w:r>
        <w:t>3.7 Transferability methodology</w:t>
      </w:r>
    </w:p>
    <w:p>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pPr>
        <w:pStyle w:val="Heading1"/>
      </w:pPr>
      <w:r>
        <w:t>4. Experimental Setup</w:t>
      </w:r>
    </w:p>
    <w:p>
      <w:pPr>
        <w:pStyle w:val="Heading2"/>
      </w:pPr>
      <w:r>
        <w:t>4.1 Testbeds and serving layer</w:t>
      </w:r>
    </w:p>
    <w:p>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pPr>
        <w:pStyle w:val="Heading2"/>
      </w:pPr>
      <w:r>
        <w:t>4.2 Data generation and preprocessing</w:t>
      </w:r>
    </w:p>
    <w:p>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pPr>
        <w:pStyle w:val="Heading2"/>
      </w:pPr>
      <w:r>
        <w:t>4.3 Training and calibration workflow</w:t>
      </w:r>
    </w:p>
    <w:p>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pPr>
        <w:pStyle w:val="Heading2"/>
      </w:pPr>
      <w:r>
        <w:t>4.4 Runtime characteristics</w:t>
      </w:r>
    </w:p>
    <w:p>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pPr>
        <w:pStyle w:val="Heading2"/>
      </w:pPr>
      <w:r>
        <w:t>4.5 Evaluation protocol and metrics</w:t>
      </w:r>
    </w:p>
    <w:p>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pPr>
        <w:pStyle w:val="Heading3"/>
      </w:pPr>
      <w:r>
        <w:t>Evaluation horizons: per-window versus yearly</w:t>
      </w:r>
    </w:p>
    <w:p>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pPr>
        <w:pStyle w:val="Heading2"/>
      </w:pPr>
      <w:r>
        <w:t>4.6 Statistical and audit protocol</w:t>
      </w:r>
    </w:p>
    <w:p>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pPr>
        <w:pStyle w:val="Heading2"/>
      </w:pPr>
      <w:r>
        <w:t>4.7 Reproducibility and audit trail</w:t>
      </w:r>
    </w:p>
    <w:p>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pPr>
        <w:pStyle w:val="Heading1"/>
      </w:pPr>
      <w:r>
        <w:t>5. Results I: Digital Twin Fidelity</w:t>
      </w:r>
    </w:p>
    <w:p>
      <w:pPr>
        <w:pStyle w:val="Heading2"/>
      </w:pPr>
      <w:r>
        <w:t>5.1 Block 1 objective and evidence boundary</w:t>
      </w:r>
    </w:p>
    <w:p>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pPr>
        <w:pStyle w:val="Heading2"/>
      </w:pPr>
      <w:r>
        <w:t>5.2 Stage A/B/C calibration result</w:t>
      </w:r>
    </w:p>
    <w:p>
      <w:pPr>
        <w:jc w:val="center"/>
      </w:pPr>
      <w:r>
        <w:drawing>
          <wp:inline distT="0" distB="0" distL="0" distR="0">
            <wp:extent cx="5852160" cy="2834640"/>
            <wp:docPr id="1" name="engineering_fig03"/>
            <a:graphic xmlns:a="http://schemas.openxmlformats.org/drawingml/2006/main">
              <a:graphicData uri="http://schemas.openxmlformats.org/drawingml/2006/picture">
                <pic:pic xmlns:pic="http://schemas.openxmlformats.org/drawingml/2006/picture">
                  <pic:nvPicPr>
                    <pic:cNvPr id="0" name="engineering_fig03"/>
                    <pic:cNvPicPr/>
                  </pic:nvPicPr>
                  <pic:blipFill>
                    <a:blip r:embed="rId1502"/>
                    <a:stretch>
                      <a:fillRect/>
                    </a:stretch>
                  </pic:blipFill>
                  <pic:spPr>
                    <a:xfrm>
                      <a:off x="0" y="0"/>
                      <a:ext cx="5852160" cy="2834640"/>
                    </a:xfrm>
                    <a:prstGeom prst="rect">
                      <a:avLst/>
                    </a:prstGeom>
                  </pic:spPr>
                </pic:pic>
              </a:graphicData>
            </a:graphic>
          </wp:inline>
        </w:drawing>
      </w:r>
    </w:p>
    <w:p>
      <w:r>
        <w:rPr>
          <w:i/>
          <w:sz w:val="18"/>
          <w:color w:val="555555"/>
        </w:rPr>
        <w:t>Figure 3. Multi-horizon rollout RMSE curves. The curves are generated from the real horizon_metrics.csv artifacts and show how recursive temperature error grows from 1h to 24h for v3, raw v3.5, and calibrated v3.5.</w:t>
      </w:r>
    </w:p>
    <w:p>
      <w:pPr>
        <w:jc w:val="center"/>
      </w:pPr>
      <w:r>
        <w:drawing>
          <wp:inline distT="0" distB="0" distL="0" distR="0">
            <wp:extent cx="5852160" cy="2743200"/>
            <wp:docPr id="1" name="engineering_fig04"/>
            <a:graphic xmlns:a="http://schemas.openxmlformats.org/drawingml/2006/main">
              <a:graphicData uri="http://schemas.openxmlformats.org/drawingml/2006/picture">
                <pic:pic xmlns:pic="http://schemas.openxmlformats.org/drawingml/2006/picture">
                  <pic:nvPicPr>
                    <pic:cNvPr id="0" name="engineering_fig04"/>
                    <pic:cNvPicPr/>
                  </pic:nvPicPr>
                  <pic:blipFill>
                    <a:blip r:embed="rId1503"/>
                    <a:stretch>
                      <a:fillRect/>
                    </a:stretch>
                  </pic:blipFill>
                  <pic:spPr>
                    <a:xfrm>
                      <a:off x="0" y="0"/>
                      <a:ext cx="5852160" cy="2743200"/>
                    </a:xfrm>
                    <a:prstGeom prst="rect">
                      <a:avLst/>
                    </a:prstGeom>
                  </pic:spPr>
                </pic:pic>
              </a:graphicData>
            </a:graphic>
          </wp:inline>
        </w:drawing>
      </w:r>
    </w:p>
    <w:p>
      <w:r>
        <w:rPr>
          <w:i/>
          <w:sz w:val="18"/>
          <w:color w:val="555555"/>
        </w:rPr>
        <w:t>Figure 4. Temperature residual distributions before and after calibration. Residual shape, not only mean RMSE, confirms that calibrated v3.5 reduces the spread of prediction errors.</w:t>
      </w:r>
    </w:p>
    <w:p>
      <w:pPr>
        <w:jc w:val="center"/>
      </w:pPr>
      <w:r>
        <w:drawing>
          <wp:inline distT="0" distB="0" distL="0" distR="0">
            <wp:extent cx="5852160" cy="2926080"/>
            <wp:docPr id="1" name="engineering_fig05"/>
            <a:graphic xmlns:a="http://schemas.openxmlformats.org/drawingml/2006/main">
              <a:graphicData uri="http://schemas.openxmlformats.org/drawingml/2006/picture">
                <pic:pic xmlns:pic="http://schemas.openxmlformats.org/drawingml/2006/picture">
                  <pic:nvPicPr>
                    <pic:cNvPr id="0" name="engineering_fig05"/>
                    <pic:cNvPicPr/>
                  </pic:nvPicPr>
                  <pic:blipFill>
                    <a:blip r:embed="rId1504"/>
                    <a:stretch>
                      <a:fillRect/>
                    </a:stretch>
                  </pic:blipFill>
                  <pic:spPr>
                    <a:xfrm>
                      <a:off x="0" y="0"/>
                      <a:ext cx="5852160" cy="2926080"/>
                    </a:xfrm>
                    <a:prstGeom prst="rect">
                      <a:avLst/>
                    </a:prstGeom>
                  </pic:spPr>
                </pic:pic>
              </a:graphicData>
            </a:graphic>
          </wp:inline>
        </w:drawing>
      </w:r>
    </w:p>
    <w:p>
      <w:r>
        <w:rPr>
          <w:i/>
          <w:sz w:val="18"/>
          <w:color w:val="555555"/>
        </w:rPr>
        <w:t>Figure 5. C_zon Stage-B identification and Stage-C residual-head diagnostics. The figure is generated from Stage-B and Stage-C calibration histories and documents physical-parameter convergence.</w:t>
      </w:r>
    </w:p>
    <w:p>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700"/>
        <w:gridCol w:w="1800"/>
        <w:gridCol w:w="1800"/>
        <w:gridCol w:w="1400"/>
        <w:gridCol w:w="2660"/>
      </w:tblGrid>
      <w:tr>
        <w:tc>
          <w:tcPr>
            <w:tcW w:w="1700" w:type="dxa"/>
            <w:shd w:fill="EAF2F8"/>
            <w:tcMar>
              <w:top w:w="80" w:type="dxa"/>
              <w:left w:w="90" w:type="dxa"/>
              <w:bottom w:w="80" w:type="dxa"/>
              <w:right w:w="90" w:type="dxa"/>
            </w:tcMar>
          </w:tcPr>
          <w:p>
            <w:r>
              <w:rPr>
                <w:b/>
                <w:sz w:val="11"/>
              </w:rPr>
              <w:t>Metric / variant</w:t>
            </w:r>
          </w:p>
        </w:tc>
        <w:tc>
          <w:tcPr>
            <w:tcW w:w="1800" w:type="dxa"/>
            <w:shd w:fill="EAF2F8"/>
            <w:tcMar>
              <w:top w:w="80" w:type="dxa"/>
              <w:left w:w="90" w:type="dxa"/>
              <w:bottom w:w="80" w:type="dxa"/>
              <w:right w:w="90" w:type="dxa"/>
            </w:tcMar>
          </w:tcPr>
          <w:p>
            <w:r>
              <w:rPr>
                <w:b/>
                <w:sz w:val="11"/>
              </w:rPr>
              <w:t>Raw or baseline</w:t>
            </w:r>
          </w:p>
        </w:tc>
        <w:tc>
          <w:tcPr>
            <w:tcW w:w="1800" w:type="dxa"/>
            <w:shd w:fill="EAF2F8"/>
            <w:tcMar>
              <w:top w:w="80" w:type="dxa"/>
              <w:left w:w="90" w:type="dxa"/>
              <w:bottom w:w="80" w:type="dxa"/>
              <w:right w:w="90" w:type="dxa"/>
            </w:tcMar>
          </w:tcPr>
          <w:p>
            <w:r>
              <w:rPr>
                <w:b/>
                <w:sz w:val="11"/>
              </w:rPr>
              <w:t>Calibrated / matched</w:t>
            </w:r>
          </w:p>
        </w:tc>
        <w:tc>
          <w:tcPr>
            <w:tcW w:w="1400" w:type="dxa"/>
            <w:shd w:fill="EAF2F8"/>
            <w:tcMar>
              <w:top w:w="80" w:type="dxa"/>
              <w:left w:w="90" w:type="dxa"/>
              <w:bottom w:w="80" w:type="dxa"/>
              <w:right w:w="90" w:type="dxa"/>
            </w:tcMar>
          </w:tcPr>
          <w:p>
            <w:r>
              <w:rPr>
                <w:b/>
                <w:sz w:val="11"/>
              </w:rPr>
              <w:t>Absolute change</w:t>
            </w:r>
          </w:p>
        </w:tc>
        <w:tc>
          <w:tcPr>
            <w:tcW w:w="2660" w:type="dxa"/>
            <w:shd w:fill="EAF2F8"/>
            <w:tcMar>
              <w:top w:w="80" w:type="dxa"/>
              <w:left w:w="90" w:type="dxa"/>
              <w:bottom w:w="80" w:type="dxa"/>
              <w:right w:w="90" w:type="dxa"/>
            </w:tcMar>
          </w:tcPr>
          <w:p>
            <w:r>
              <w:rPr>
                <w:b/>
                <w:sz w:val="11"/>
              </w:rPr>
              <w:t>Relative / interpretation</w:t>
            </w:r>
          </w:p>
        </w:tc>
      </w:tr>
      <w:tr>
        <w:tc>
          <w:tcPr>
            <w:tcW w:w="1700" w:type="dxa"/>
            <w:tcMar>
              <w:top w:w="80" w:type="dxa"/>
              <w:left w:w="90" w:type="dxa"/>
              <w:bottom w:w="80" w:type="dxa"/>
              <w:right w:w="90" w:type="dxa"/>
            </w:tcMar>
          </w:tcPr>
          <w:p>
            <w:r>
              <w:rPr>
                <w:sz w:val="11"/>
              </w:rPr>
              <w:t>1-step RMSE_T</w:t>
            </w:r>
          </w:p>
        </w:tc>
        <w:tc>
          <w:tcPr>
            <w:tcW w:w="1800" w:type="dxa"/>
            <w:tcMar>
              <w:top w:w="80" w:type="dxa"/>
              <w:left w:w="90" w:type="dxa"/>
              <w:bottom w:w="80" w:type="dxa"/>
              <w:right w:w="90" w:type="dxa"/>
            </w:tcMar>
          </w:tcPr>
          <w:p>
            <w:r>
              <w:rPr>
                <w:sz w:val="11"/>
              </w:rPr>
              <w:t>0.384 C</w:t>
            </w:r>
          </w:p>
        </w:tc>
        <w:tc>
          <w:tcPr>
            <w:tcW w:w="1800" w:type="dxa"/>
            <w:tcMar>
              <w:top w:w="80" w:type="dxa"/>
              <w:left w:w="90" w:type="dxa"/>
              <w:bottom w:w="80" w:type="dxa"/>
              <w:right w:w="90" w:type="dxa"/>
            </w:tcMar>
          </w:tcPr>
          <w:p>
            <w:r>
              <w:rPr>
                <w:sz w:val="11"/>
              </w:rPr>
              <w:t>0.235 C</w:t>
            </w:r>
          </w:p>
        </w:tc>
        <w:tc>
          <w:tcPr>
            <w:tcW w:w="1400" w:type="dxa"/>
            <w:tcMar>
              <w:top w:w="80" w:type="dxa"/>
              <w:left w:w="90" w:type="dxa"/>
              <w:bottom w:w="80" w:type="dxa"/>
              <w:right w:w="90" w:type="dxa"/>
            </w:tcMar>
          </w:tcPr>
          <w:p>
            <w:r>
              <w:rPr>
                <w:sz w:val="11"/>
              </w:rPr>
              <w:t>-0.149 C</w:t>
            </w:r>
          </w:p>
        </w:tc>
        <w:tc>
          <w:tcPr>
            <w:tcW w:w="2660" w:type="dxa"/>
            <w:tcMar>
              <w:top w:w="80" w:type="dxa"/>
              <w:left w:w="90" w:type="dxa"/>
              <w:bottom w:w="80" w:type="dxa"/>
              <w:right w:w="90" w:type="dxa"/>
            </w:tcMar>
          </w:tcPr>
          <w:p>
            <w:r>
              <w:rPr>
                <w:sz w:val="11"/>
              </w:rPr>
              <w:t>-38.9% after Stage A/B/C</w:t>
            </w:r>
          </w:p>
        </w:tc>
      </w:tr>
      <w:tr>
        <w:tc>
          <w:tcPr>
            <w:tcW w:w="1700" w:type="dxa"/>
            <w:tcMar>
              <w:top w:w="80" w:type="dxa"/>
              <w:left w:w="90" w:type="dxa"/>
              <w:bottom w:w="80" w:type="dxa"/>
              <w:right w:w="90" w:type="dxa"/>
            </w:tcMar>
          </w:tcPr>
          <w:p>
            <w:r>
              <w:rPr>
                <w:sz w:val="11"/>
              </w:rPr>
              <w:t>24h rollout RMSE_T</w:t>
            </w:r>
          </w:p>
        </w:tc>
        <w:tc>
          <w:tcPr>
            <w:tcW w:w="1800" w:type="dxa"/>
            <w:tcMar>
              <w:top w:w="80" w:type="dxa"/>
              <w:left w:w="90" w:type="dxa"/>
              <w:bottom w:w="80" w:type="dxa"/>
              <w:right w:w="90" w:type="dxa"/>
            </w:tcMar>
          </w:tcPr>
          <w:p>
            <w:r>
              <w:rPr>
                <w:sz w:val="11"/>
              </w:rPr>
              <w:t>1.466 C raw v3.5</w:t>
            </w:r>
          </w:p>
        </w:tc>
        <w:tc>
          <w:tcPr>
            <w:tcW w:w="1800" w:type="dxa"/>
            <w:tcMar>
              <w:top w:w="80" w:type="dxa"/>
              <w:left w:w="90" w:type="dxa"/>
              <w:bottom w:w="80" w:type="dxa"/>
              <w:right w:w="90" w:type="dxa"/>
            </w:tcMar>
          </w:tcPr>
          <w:p>
            <w:r>
              <w:rPr>
                <w:sz w:val="11"/>
              </w:rPr>
              <w:t>0.644 C calibrated v3.5</w:t>
            </w:r>
          </w:p>
        </w:tc>
        <w:tc>
          <w:tcPr>
            <w:tcW w:w="1400" w:type="dxa"/>
            <w:tcMar>
              <w:top w:w="80" w:type="dxa"/>
              <w:left w:w="90" w:type="dxa"/>
              <w:bottom w:w="80" w:type="dxa"/>
              <w:right w:w="90" w:type="dxa"/>
            </w:tcMar>
          </w:tcPr>
          <w:p>
            <w:r>
              <w:rPr>
                <w:sz w:val="11"/>
              </w:rPr>
              <w:t>-0.822 C</w:t>
            </w:r>
          </w:p>
        </w:tc>
        <w:tc>
          <w:tcPr>
            <w:tcW w:w="2660" w:type="dxa"/>
            <w:tcMar>
              <w:top w:w="80" w:type="dxa"/>
              <w:left w:w="90" w:type="dxa"/>
              <w:bottom w:w="80" w:type="dxa"/>
              <w:right w:w="90" w:type="dxa"/>
            </w:tcMar>
          </w:tcPr>
          <w:p>
            <w:r>
              <w:rPr>
                <w:sz w:val="11"/>
              </w:rPr>
              <w:t>-56.1% within v3.5 family</w:t>
            </w:r>
          </w:p>
        </w:tc>
      </w:tr>
      <w:tr>
        <w:tc>
          <w:tcPr>
            <w:tcW w:w="1700" w:type="dxa"/>
            <w:tcMar>
              <w:top w:w="80" w:type="dxa"/>
              <w:left w:w="90" w:type="dxa"/>
              <w:bottom w:w="80" w:type="dxa"/>
              <w:right w:w="90" w:type="dxa"/>
            </w:tcMar>
          </w:tcPr>
          <w:p>
            <w:r>
              <w:rPr>
                <w:sz w:val="11"/>
              </w:rPr>
              <w:t>Power MAE</w:t>
            </w:r>
          </w:p>
        </w:tc>
        <w:tc>
          <w:tcPr>
            <w:tcW w:w="1800" w:type="dxa"/>
            <w:tcMar>
              <w:top w:w="80" w:type="dxa"/>
              <w:left w:w="90" w:type="dxa"/>
              <w:bottom w:w="80" w:type="dxa"/>
              <w:right w:w="90" w:type="dxa"/>
            </w:tcMar>
          </w:tcPr>
          <w:p>
            <w:r>
              <w:rPr>
                <w:sz w:val="11"/>
              </w:rPr>
              <w:t>810 W</w:t>
            </w:r>
          </w:p>
        </w:tc>
        <w:tc>
          <w:tcPr>
            <w:tcW w:w="1800" w:type="dxa"/>
            <w:tcMar>
              <w:top w:w="80" w:type="dxa"/>
              <w:left w:w="90" w:type="dxa"/>
              <w:bottom w:w="80" w:type="dxa"/>
              <w:right w:w="90" w:type="dxa"/>
            </w:tcMar>
          </w:tcPr>
          <w:p>
            <w:r>
              <w:rPr>
                <w:sz w:val="11"/>
              </w:rPr>
              <w:t>482 W</w:t>
            </w:r>
          </w:p>
        </w:tc>
        <w:tc>
          <w:tcPr>
            <w:tcW w:w="1400" w:type="dxa"/>
            <w:tcMar>
              <w:top w:w="80" w:type="dxa"/>
              <w:left w:w="90" w:type="dxa"/>
              <w:bottom w:w="80" w:type="dxa"/>
              <w:right w:w="90" w:type="dxa"/>
            </w:tcMar>
          </w:tcPr>
          <w:p>
            <w:r>
              <w:rPr>
                <w:sz w:val="11"/>
              </w:rPr>
              <w:t>-328 W</w:t>
            </w:r>
          </w:p>
        </w:tc>
        <w:tc>
          <w:tcPr>
            <w:tcW w:w="2660" w:type="dxa"/>
            <w:tcMar>
              <w:top w:w="80" w:type="dxa"/>
              <w:left w:w="90" w:type="dxa"/>
              <w:bottom w:w="80" w:type="dxa"/>
              <w:right w:w="90" w:type="dxa"/>
            </w:tcMar>
          </w:tcPr>
          <w:p>
            <w:r>
              <w:rPr>
                <w:sz w:val="11"/>
              </w:rPr>
              <w:t>-40.5% after power-head refinement</w:t>
            </w:r>
          </w:p>
        </w:tc>
      </w:tr>
      <w:tr>
        <w:tc>
          <w:tcPr>
            <w:tcW w:w="1700" w:type="dxa"/>
            <w:tcMar>
              <w:top w:w="80" w:type="dxa"/>
              <w:left w:w="90" w:type="dxa"/>
              <w:bottom w:w="80" w:type="dxa"/>
              <w:right w:w="90" w:type="dxa"/>
            </w:tcMar>
          </w:tcPr>
          <w:p>
            <w:r>
              <w:rPr>
                <w:sz w:val="11"/>
              </w:rPr>
              <w:t>C_zon</w:t>
            </w:r>
          </w:p>
        </w:tc>
        <w:tc>
          <w:tcPr>
            <w:tcW w:w="1800" w:type="dxa"/>
            <w:tcMar>
              <w:top w:w="80" w:type="dxa"/>
              <w:left w:w="90" w:type="dxa"/>
              <w:bottom w:w="80" w:type="dxa"/>
              <w:right w:w="90" w:type="dxa"/>
            </w:tcMar>
          </w:tcPr>
          <w:p>
            <w:r>
              <w:rPr>
                <w:sz w:val="11"/>
              </w:rPr>
              <w:t>4.200e5 J/K prior</w:t>
            </w:r>
          </w:p>
        </w:tc>
        <w:tc>
          <w:tcPr>
            <w:tcW w:w="1800" w:type="dxa"/>
            <w:tcMar>
              <w:top w:w="80" w:type="dxa"/>
              <w:left w:w="90" w:type="dxa"/>
              <w:bottom w:w="80" w:type="dxa"/>
              <w:right w:w="90" w:type="dxa"/>
            </w:tcMar>
          </w:tcPr>
          <w:p>
            <w:r>
              <w:rPr>
                <w:sz w:val="11"/>
              </w:rPr>
              <w:t>4.413e5 J/K</w:t>
            </w:r>
          </w:p>
        </w:tc>
        <w:tc>
          <w:tcPr>
            <w:tcW w:w="1400" w:type="dxa"/>
            <w:tcMar>
              <w:top w:w="80" w:type="dxa"/>
              <w:left w:w="90" w:type="dxa"/>
              <w:bottom w:w="80" w:type="dxa"/>
              <w:right w:w="90" w:type="dxa"/>
            </w:tcMar>
          </w:tcPr>
          <w:p>
            <w:r>
              <w:rPr>
                <w:sz w:val="11"/>
              </w:rPr>
              <w:t>+2.13e4 J/K</w:t>
            </w:r>
          </w:p>
        </w:tc>
        <w:tc>
          <w:tcPr>
            <w:tcW w:w="2660" w:type="dxa"/>
            <w:tcMar>
              <w:top w:w="80" w:type="dxa"/>
              <w:left w:w="90" w:type="dxa"/>
              <w:bottom w:w="80" w:type="dxa"/>
              <w:right w:w="90" w:type="dxa"/>
            </w:tcMar>
          </w:tcPr>
          <w:p>
            <w:r>
              <w:rPr>
                <w:sz w:val="11"/>
              </w:rPr>
              <w:t>+5.1%; physically plausible update</w:t>
            </w:r>
          </w:p>
        </w:tc>
      </w:tr>
      <w:tr>
        <w:tc>
          <w:tcPr>
            <w:tcW w:w="1700" w:type="dxa"/>
            <w:tcMar>
              <w:top w:w="80" w:type="dxa"/>
              <w:left w:w="90" w:type="dxa"/>
              <w:bottom w:w="80" w:type="dxa"/>
              <w:right w:w="90" w:type="dxa"/>
            </w:tcMar>
          </w:tcPr>
          <w:p>
            <w:r>
              <w:rPr>
                <w:sz w:val="11"/>
              </w:rPr>
              <w:t>v3 hourly</w:t>
            </w:r>
          </w:p>
        </w:tc>
        <w:tc>
          <w:tcPr>
            <w:tcW w:w="1800" w:type="dxa"/>
            <w:tcMar>
              <w:top w:w="80" w:type="dxa"/>
              <w:left w:w="90" w:type="dxa"/>
              <w:bottom w:w="80" w:type="dxa"/>
              <w:right w:w="90" w:type="dxa"/>
            </w:tcMar>
          </w:tcPr>
          <w:p>
            <w:r>
              <w:rPr>
                <w:sz w:val="11"/>
              </w:rPr>
              <w:t>1.557 C</w:t>
            </w:r>
          </w:p>
        </w:tc>
        <w:tc>
          <w:tcPr>
            <w:tcW w:w="1800" w:type="dxa"/>
            <w:tcMar>
              <w:top w:w="80" w:type="dxa"/>
              <w:left w:w="90" w:type="dxa"/>
              <w:bottom w:w="80" w:type="dxa"/>
              <w:right w:w="90" w:type="dxa"/>
            </w:tcMar>
          </w:tcPr>
          <w:p>
            <w:r>
              <w:rPr>
                <w:sz w:val="11"/>
              </w:rPr>
              <w:t>0.876 C v3 15-min</w:t>
            </w:r>
          </w:p>
        </w:tc>
        <w:tc>
          <w:tcPr>
            <w:tcW w:w="1400" w:type="dxa"/>
            <w:tcMar>
              <w:top w:w="80" w:type="dxa"/>
              <w:left w:w="90" w:type="dxa"/>
              <w:bottom w:w="80" w:type="dxa"/>
              <w:right w:w="90" w:type="dxa"/>
            </w:tcMar>
          </w:tcPr>
          <w:p>
            <w:r>
              <w:rPr>
                <w:sz w:val="11"/>
              </w:rPr>
              <w:t>-0.681 C</w:t>
            </w:r>
          </w:p>
        </w:tc>
        <w:tc>
          <w:tcPr>
            <w:tcW w:w="2660" w:type="dxa"/>
            <w:tcMar>
              <w:top w:w="80" w:type="dxa"/>
              <w:left w:w="90" w:type="dxa"/>
              <w:bottom w:w="80" w:type="dxa"/>
              <w:right w:w="90" w:type="dxa"/>
            </w:tcMar>
          </w:tcPr>
          <w:p>
            <w:r>
              <w:rPr>
                <w:sz w:val="11"/>
              </w:rPr>
              <w:t>74.6% of v3-to-v3.5 gap is corpus shift</w:t>
            </w:r>
          </w:p>
        </w:tc>
      </w:tr>
      <w:tr>
        <w:tc>
          <w:tcPr>
            <w:tcW w:w="1700" w:type="dxa"/>
            <w:tcMar>
              <w:top w:w="80" w:type="dxa"/>
              <w:left w:w="90" w:type="dxa"/>
              <w:bottom w:w="80" w:type="dxa"/>
              <w:right w:w="90" w:type="dxa"/>
            </w:tcMar>
          </w:tcPr>
          <w:p>
            <w:r>
              <w:rPr>
                <w:sz w:val="11"/>
              </w:rPr>
              <w:t>v3 15-min to v3.5</w:t>
            </w:r>
          </w:p>
        </w:tc>
        <w:tc>
          <w:tcPr>
            <w:tcW w:w="1800" w:type="dxa"/>
            <w:tcMar>
              <w:top w:w="80" w:type="dxa"/>
              <w:left w:w="90" w:type="dxa"/>
              <w:bottom w:w="80" w:type="dxa"/>
              <w:right w:w="90" w:type="dxa"/>
            </w:tcMar>
          </w:tcPr>
          <w:p>
            <w:r>
              <w:rPr>
                <w:sz w:val="11"/>
              </w:rPr>
              <w:t>0.876 C</w:t>
            </w:r>
          </w:p>
        </w:tc>
        <w:tc>
          <w:tcPr>
            <w:tcW w:w="1800" w:type="dxa"/>
            <w:tcMar>
              <w:top w:w="80" w:type="dxa"/>
              <w:left w:w="90" w:type="dxa"/>
              <w:bottom w:w="80" w:type="dxa"/>
              <w:right w:w="90" w:type="dxa"/>
            </w:tcMar>
          </w:tcPr>
          <w:p>
            <w:r>
              <w:rPr>
                <w:sz w:val="11"/>
              </w:rPr>
              <w:t>0.644 C</w:t>
            </w:r>
          </w:p>
        </w:tc>
        <w:tc>
          <w:tcPr>
            <w:tcW w:w="1400" w:type="dxa"/>
            <w:tcMar>
              <w:top w:w="80" w:type="dxa"/>
              <w:left w:w="90" w:type="dxa"/>
              <w:bottom w:w="80" w:type="dxa"/>
              <w:right w:w="90" w:type="dxa"/>
            </w:tcMar>
          </w:tcPr>
          <w:p>
            <w:r>
              <w:rPr>
                <w:sz w:val="11"/>
              </w:rPr>
              <w:t>-0.232 C</w:t>
            </w:r>
          </w:p>
        </w:tc>
        <w:tc>
          <w:tcPr>
            <w:tcW w:w="2660" w:type="dxa"/>
            <w:tcMar>
              <w:top w:w="80" w:type="dxa"/>
              <w:left w:w="90" w:type="dxa"/>
              <w:bottom w:w="80" w:type="dxa"/>
              <w:right w:w="90" w:type="dxa"/>
            </w:tcMar>
          </w:tcPr>
          <w:p>
            <w:r>
              <w:rPr>
                <w:sz w:val="11"/>
              </w:rPr>
              <w:t>25.4% of gap is Stage A/B/C calibration</w:t>
            </w:r>
          </w:p>
        </w:tc>
      </w:tr>
    </w:tbl>
    <w:p>
      <w:r>
        <w:rPr>
          <w:i/>
          <w:sz w:val="18"/>
          <w:color w:val="555555"/>
        </w:rPr>
        <w:t>Table 3. Block 1 calibration and matched-corpus metrics. Full per-episode and residual diagnostics are in the supplementary material.</w:t>
      </w:r>
    </w:p>
    <w:p>
      <w:pPr>
        <w:pStyle w:val="Heading2"/>
      </w:pPr>
      <w:r>
        <w:t>5.3 Matched-corpus decomposition</w:t>
      </w:r>
    </w:p>
    <w:p>
      <w:pPr>
        <w:jc w:val="center"/>
      </w:pPr>
      <w:r>
        <w:drawing>
          <wp:inline distT="0" distB="0" distL="0" distR="0">
            <wp:extent cx="5669280" cy="2743200"/>
            <wp:docPr id="1" name="engineering_fig06"/>
            <a:graphic xmlns:a="http://schemas.openxmlformats.org/drawingml/2006/main">
              <a:graphicData uri="http://schemas.openxmlformats.org/drawingml/2006/picture">
                <pic:pic xmlns:pic="http://schemas.openxmlformats.org/drawingml/2006/picture">
                  <pic:nvPicPr>
                    <pic:cNvPr id="0" name="engineering_fig06"/>
                    <pic:cNvPicPr/>
                  </pic:nvPicPr>
                  <pic:blipFill>
                    <a:blip r:embed="rId1505"/>
                    <a:stretch>
                      <a:fillRect/>
                    </a:stretch>
                  </pic:blipFill>
                  <pic:spPr>
                    <a:xfrm>
                      <a:off x="0" y="0"/>
                      <a:ext cx="5669280" cy="2743200"/>
                    </a:xfrm>
                    <a:prstGeom prst="rect">
                      <a:avLst/>
                    </a:prstGeom>
                  </pic:spPr>
                </pic:pic>
              </a:graphicData>
            </a:graphic>
          </wp:inline>
        </w:drawing>
      </w:r>
    </w:p>
    <w:p>
      <w:r>
        <w:rPr>
          <w:i/>
          <w:sz w:val="18"/>
          <w:color w:val="555555"/>
        </w:rPr>
        <w:t>Figure 6. Matched-corpus predictive-fidelity decomposition. The plot separates the 15-minute corpus contribution from the additional Stage A/B/C calibration contribution.</w:t>
      </w:r>
    </w:p>
    <w:p>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pPr>
        <w:pStyle w:val="Heading2"/>
      </w:pPr>
      <w:r>
        <w:t>5.4 Fidelity-to-control gap</w:t>
      </w:r>
    </w:p>
    <w:p>
      <w:pPr>
        <w:jc w:val="center"/>
      </w:pPr>
      <w:r>
        <w:drawing>
          <wp:inline distT="0" distB="0" distL="0" distR="0">
            <wp:extent cx="5303520" cy="3108960"/>
            <wp:docPr id="1" name="engineering_fig07"/>
            <a:graphic xmlns:a="http://schemas.openxmlformats.org/drawingml/2006/main">
              <a:graphicData uri="http://schemas.openxmlformats.org/drawingml/2006/picture">
                <pic:pic xmlns:pic="http://schemas.openxmlformats.org/drawingml/2006/picture">
                  <pic:nvPicPr>
                    <pic:cNvPr id="0" name="engineering_fig07"/>
                    <pic:cNvPicPr/>
                  </pic:nvPicPr>
                  <pic:blipFill>
                    <a:blip r:embed="rId1506"/>
                    <a:stretch>
                      <a:fillRect/>
                    </a:stretch>
                  </pic:blipFill>
                  <pic:spPr>
                    <a:xfrm>
                      <a:off x="0" y="0"/>
                      <a:ext cx="5303520" cy="3108960"/>
                    </a:xfrm>
                    <a:prstGeom prst="rect">
                      <a:avLst/>
                    </a:prstGeom>
                  </pic:spPr>
                </pic:pic>
              </a:graphicData>
            </a:graphic>
          </wp:inline>
        </w:drawing>
      </w:r>
    </w:p>
    <w:p>
      <w:r>
        <w:rPr>
          <w:i/>
          <w:sz w:val="18"/>
          <w:color w:val="555555"/>
        </w:rPr>
        <w:t>Figure 7. Predictive fidelity vs live control utility. Calibrated v3.5 is the strongest offline predictor but the weakest direct RL rollout backend; hybrid role separation recovers live utility.</w:t>
      </w:r>
    </w:p>
    <w:p>
      <w:pPr>
        <w:jc w:val="center"/>
      </w:pPr>
      <w:r>
        <w:drawing>
          <wp:inline distT="0" distB="0" distL="0" distR="0">
            <wp:extent cx="5669280" cy="2743200"/>
            <wp:docPr id="1" name="engineering_fig08"/>
            <a:graphic xmlns:a="http://schemas.openxmlformats.org/drawingml/2006/main">
              <a:graphicData uri="http://schemas.openxmlformats.org/drawingml/2006/picture">
                <pic:pic xmlns:pic="http://schemas.openxmlformats.org/drawingml/2006/picture">
                  <pic:nvPicPr>
                    <pic:cNvPr id="0" name="engineering_fig08"/>
                    <pic:cNvPicPr/>
                  </pic:nvPicPr>
                  <pic:blipFill>
                    <a:blip r:embed="rId1507"/>
                    <a:stretch>
                      <a:fillRect/>
                    </a:stretch>
                  </pic:blipFill>
                  <pic:spPr>
                    <a:xfrm>
                      <a:off x="0" y="0"/>
                      <a:ext cx="5669280" cy="2743200"/>
                    </a:xfrm>
                    <a:prstGeom prst="rect">
                      <a:avLst/>
                    </a:prstGeom>
                  </pic:spPr>
                </pic:pic>
              </a:graphicData>
            </a:graphic>
          </wp:inline>
        </w:drawing>
      </w:r>
    </w:p>
    <w:p>
      <w:r>
        <w:rPr>
          <w:i/>
          <w:sz w:val="18"/>
          <w:color w:val="555555"/>
        </w:rPr>
        <w:t>Figure 8. Action distribution and bang-bang saturation diagnostic. Direct v3.5 PPO enters saturated action regimes that do not survive live BOPTEST validation.</w:t>
      </w:r>
    </w:p>
    <w:p>
      <w:pPr>
        <w:jc w:val="center"/>
      </w:pPr>
      <w:r>
        <w:drawing>
          <wp:inline distT="0" distB="0" distL="0" distR="0">
            <wp:extent cx="5669280" cy="2743200"/>
            <wp:docPr id="1" name="engineering_fig09"/>
            <a:graphic xmlns:a="http://schemas.openxmlformats.org/drawingml/2006/main">
              <a:graphicData uri="http://schemas.openxmlformats.org/drawingml/2006/picture">
                <pic:pic xmlns:pic="http://schemas.openxmlformats.org/drawingml/2006/picture">
                  <pic:nvPicPr>
                    <pic:cNvPr id="0" name="engineering_fig09"/>
                    <pic:cNvPicPr/>
                  </pic:nvPicPr>
                  <pic:blipFill>
                    <a:blip r:embed="rId1508"/>
                    <a:stretch>
                      <a:fillRect/>
                    </a:stretch>
                  </pic:blipFill>
                  <pic:spPr>
                    <a:xfrm>
                      <a:off x="0" y="0"/>
                      <a:ext cx="5669280" cy="2743200"/>
                    </a:xfrm>
                    <a:prstGeom prst="rect">
                      <a:avLst/>
                    </a:prstGeom>
                  </pic:spPr>
                </pic:pic>
              </a:graphicData>
            </a:graphic>
          </wp:inline>
        </w:drawing>
      </w:r>
    </w:p>
    <w:p>
      <w:r>
        <w:rPr>
          <w:i/>
          <w:sz w:val="18"/>
          <w:color w:val="555555"/>
        </w:rPr>
        <w:t>Figure 9. Transfer-gap diagnostics. The figure compares live/surrogate m_s gap, action-gap norm, and divergence behaviour across pure v3, direct v3.5, and hybrid backends.</w:t>
      </w:r>
    </w:p>
    <w:p>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pPr>
        <w:pStyle w:val="Heading1"/>
      </w:pPr>
      <w:r>
        <w:t>6. Results II: Control Performance</w:t>
      </w:r>
    </w:p>
    <w:p>
      <w:pPr>
        <w:pStyle w:val="Heading2"/>
      </w:pPr>
      <w:r>
        <w:t>6.1 Block 2 objective and controller families</w:t>
      </w:r>
    </w:p>
    <w:p>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pPr>
        <w:pStyle w:val="Heading2"/>
      </w:pPr>
      <w:r>
        <w:t>6.2 Thermostatic PPO and HDRL</w:t>
      </w:r>
    </w:p>
    <w:p>
      <w:pPr>
        <w:jc w:val="center"/>
      </w:pPr>
      <w:r>
        <w:drawing>
          <wp:inline distT="0" distB="0" distL="0" distR="0">
            <wp:extent cx="6126480" cy="3840480"/>
            <wp:docPr id="1" name="engineering_fig10"/>
            <a:graphic xmlns:a="http://schemas.openxmlformats.org/drawingml/2006/main">
              <a:graphicData uri="http://schemas.openxmlformats.org/drawingml/2006/picture">
                <pic:pic xmlns:pic="http://schemas.openxmlformats.org/drawingml/2006/picture">
                  <pic:nvPicPr>
                    <pic:cNvPr id="0" name="engineering_fig10"/>
                    <pic:cNvPicPr/>
                  </pic:nvPicPr>
                  <pic:blipFill>
                    <a:blip r:embed="rId1509"/>
                    <a:stretch>
                      <a:fillRect/>
                    </a:stretch>
                  </pic:blipFill>
                  <pic:spPr>
                    <a:xfrm>
                      <a:off x="0" y="0"/>
                      <a:ext cx="6126480" cy="3840480"/>
                    </a:xfrm>
                    <a:prstGeom prst="rect">
                      <a:avLst/>
                    </a:prstGeom>
                  </pic:spPr>
                </pic:pic>
              </a:graphicData>
            </a:graphic>
          </wp:inline>
        </w:drawing>
      </w:r>
    </w:p>
    <w:p>
      <w:r>
        <w:rPr>
          <w:i/>
          <w:sz w:val="18"/>
          <w:color w:val="555555"/>
        </w:rPr>
        <w:t>Figure 10. Live BOPTEST KPI comparison. Pure v3 PPO, direct-v3.5 PPO, and hybrid_l010 PPO are compared on m_s, violation percentage, RMSE_T, and energy for peak and typical heat windows.</w:t>
      </w:r>
    </w:p>
    <w:p>
      <w:pPr>
        <w:jc w:val="center"/>
      </w:pPr>
      <w:r>
        <w:drawing>
          <wp:inline distT="0" distB="0" distL="0" distR="0">
            <wp:extent cx="6126480" cy="2286000"/>
            <wp:docPr id="1" name="engineering_fig11"/>
            <a:graphic xmlns:a="http://schemas.openxmlformats.org/drawingml/2006/main">
              <a:graphicData uri="http://schemas.openxmlformats.org/drawingml/2006/picture">
                <pic:pic xmlns:pic="http://schemas.openxmlformats.org/drawingml/2006/picture">
                  <pic:nvPicPr>
                    <pic:cNvPr id="0" name="engineering_fig11"/>
                    <pic:cNvPicPr/>
                  </pic:nvPicPr>
                  <pic:blipFill>
                    <a:blip r:embed="rId1510"/>
                    <a:stretch>
                      <a:fillRect/>
                    </a:stretch>
                  </pic:blipFill>
                  <pic:spPr>
                    <a:xfrm>
                      <a:off x="0" y="0"/>
                      <a:ext cx="6126480" cy="2286000"/>
                    </a:xfrm>
                    <a:prstGeom prst="rect">
                      <a:avLst/>
                    </a:prstGeom>
                  </pic:spPr>
                </pic:pic>
              </a:graphicData>
            </a:graphic>
          </wp:inline>
        </w:drawing>
      </w:r>
    </w:p>
    <w:p>
      <w:r>
        <w:rPr>
          <w:i/>
          <w:sz w:val="18"/>
          <w:color w:val="555555"/>
        </w:rPr>
        <w:t>Figure 11. HDRL lambda_temp sensitivity. The best HDRL setting is lambda_temp = 0.00; the thermostatic-optimal lambda_temp = 0.10 over-regularizes the hierarchy.</w:t>
      </w:r>
    </w:p>
    <w:p>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pPr>
        <w:pStyle w:val="Heading2"/>
      </w:pPr>
      <w:r>
        <w:t>6.3 MORL, observation interface and seed variance</w:t>
      </w:r>
    </w:p>
    <w:p>
      <w:pPr>
        <w:jc w:val="center"/>
      </w:pPr>
      <w:r>
        <w:drawing>
          <wp:inline distT="0" distB="0" distL="0" distR="0">
            <wp:extent cx="5303520" cy="3200400"/>
            <wp:docPr id="1" name="engineering_fig12"/>
            <a:graphic xmlns:a="http://schemas.openxmlformats.org/drawingml/2006/main">
              <a:graphicData uri="http://schemas.openxmlformats.org/drawingml/2006/picture">
                <pic:pic xmlns:pic="http://schemas.openxmlformats.org/drawingml/2006/picture">
                  <pic:nvPicPr>
                    <pic:cNvPr id="0" name="engineering_fig12"/>
                    <pic:cNvPicPr/>
                  </pic:nvPicPr>
                  <pic:blipFill>
                    <a:blip r:embed="rId1511"/>
                    <a:stretch>
                      <a:fillRect/>
                    </a:stretch>
                  </pic:blipFill>
                  <pic:spPr>
                    <a:xfrm>
                      <a:off x="0" y="0"/>
                      <a:ext cx="5303520" cy="3200400"/>
                    </a:xfrm>
                    <a:prstGeom prst="rect">
                      <a:avLst/>
                    </a:prstGeom>
                  </pic:spPr>
                </pic:pic>
              </a:graphicData>
            </a:graphic>
          </wp:inline>
        </w:drawing>
      </w:r>
    </w:p>
    <w:p>
      <w:r>
        <w:rPr>
          <w:i/>
          <w:sz w:val="18"/>
          <w:color w:val="555555"/>
        </w:rPr>
        <w:t>Figure 12. MORL comfort-energy Pareto front with canonical seed-variance information. Energy-only scalarization collapses, comfort-only has the lowest m_s, and practical 75/25 remains seed-sensitive.</w:t>
      </w:r>
    </w:p>
    <w:p>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1650"/>
        <w:gridCol w:w="3050"/>
        <w:gridCol w:w="1550"/>
        <w:gridCol w:w="1610"/>
      </w:tblGrid>
      <w:tr>
        <w:tc>
          <w:tcPr>
            <w:tcW w:w="1500" w:type="dxa"/>
            <w:shd w:fill="EAF2F8"/>
            <w:tcMar>
              <w:top w:w="80" w:type="dxa"/>
              <w:left w:w="90" w:type="dxa"/>
              <w:bottom w:w="80" w:type="dxa"/>
              <w:right w:w="90" w:type="dxa"/>
            </w:tcMar>
          </w:tcPr>
          <w:p>
            <w:r>
              <w:rPr>
                <w:b/>
                <w:sz w:val="11"/>
              </w:rPr>
              <w:t>Family / policy</w:t>
            </w:r>
          </w:p>
        </w:tc>
        <w:tc>
          <w:tcPr>
            <w:tcW w:w="1650" w:type="dxa"/>
            <w:shd w:fill="EAF2F8"/>
            <w:tcMar>
              <w:top w:w="80" w:type="dxa"/>
              <w:left w:w="90" w:type="dxa"/>
              <w:bottom w:w="80" w:type="dxa"/>
              <w:right w:w="90" w:type="dxa"/>
            </w:tcMar>
          </w:tcPr>
          <w:p>
            <w:r>
              <w:rPr>
                <w:b/>
                <w:sz w:val="11"/>
              </w:rPr>
              <w:t>Best backend or variant</w:t>
            </w:r>
          </w:p>
        </w:tc>
        <w:tc>
          <w:tcPr>
            <w:tcW w:w="3050" w:type="dxa"/>
            <w:shd w:fill="EAF2F8"/>
            <w:tcMar>
              <w:top w:w="80" w:type="dxa"/>
              <w:left w:w="90" w:type="dxa"/>
              <w:bottom w:w="80" w:type="dxa"/>
              <w:right w:w="90" w:type="dxa"/>
            </w:tcMar>
          </w:tcPr>
          <w:p>
            <w:r>
              <w:rPr>
                <w:b/>
                <w:sz w:val="11"/>
              </w:rPr>
              <w:t>Primary result</w:t>
            </w:r>
          </w:p>
        </w:tc>
        <w:tc>
          <w:tcPr>
            <w:tcW w:w="1550" w:type="dxa"/>
            <w:shd w:fill="EAF2F8"/>
            <w:tcMar>
              <w:top w:w="80" w:type="dxa"/>
              <w:left w:w="90" w:type="dxa"/>
              <w:bottom w:w="80" w:type="dxa"/>
              <w:right w:w="90" w:type="dxa"/>
            </w:tcMar>
          </w:tcPr>
          <w:p>
            <w:r>
              <w:rPr>
                <w:b/>
                <w:sz w:val="11"/>
              </w:rPr>
              <w:t>m_s / variance</w:t>
            </w:r>
          </w:p>
        </w:tc>
        <w:tc>
          <w:tcPr>
            <w:tcW w:w="1610" w:type="dxa"/>
            <w:shd w:fill="EAF2F8"/>
            <w:tcMar>
              <w:top w:w="80" w:type="dxa"/>
              <w:left w:w="90" w:type="dxa"/>
              <w:bottom w:w="80" w:type="dxa"/>
              <w:right w:w="90" w:type="dxa"/>
            </w:tcMar>
          </w:tcPr>
          <w:p>
            <w:r>
              <w:rPr>
                <w:b/>
                <w:sz w:val="11"/>
              </w:rPr>
              <w:t>Verdict</w:t>
            </w:r>
          </w:p>
        </w:tc>
      </w:tr>
      <w:tr>
        <w:tc>
          <w:tcPr>
            <w:tcW w:w="1500" w:type="dxa"/>
            <w:tcMar>
              <w:top w:w="80" w:type="dxa"/>
              <w:left w:w="90" w:type="dxa"/>
              <w:bottom w:w="80" w:type="dxa"/>
              <w:right w:w="90" w:type="dxa"/>
            </w:tcMar>
          </w:tcPr>
          <w:p>
            <w:r>
              <w:rPr>
                <w:sz w:val="11"/>
              </w:rPr>
              <w:t>Thermostatic PPO</w:t>
            </w:r>
          </w:p>
        </w:tc>
        <w:tc>
          <w:tcPr>
            <w:tcW w:w="1650" w:type="dxa"/>
            <w:tcMar>
              <w:top w:w="80" w:type="dxa"/>
              <w:left w:w="90" w:type="dxa"/>
              <w:bottom w:w="80" w:type="dxa"/>
              <w:right w:w="90" w:type="dxa"/>
            </w:tcMar>
          </w:tcPr>
          <w:p>
            <w:r>
              <w:rPr>
                <w:sz w:val="11"/>
              </w:rPr>
              <w:t>hybrid_l010</w:t>
            </w:r>
          </w:p>
        </w:tc>
        <w:tc>
          <w:tcPr>
            <w:tcW w:w="3050" w:type="dxa"/>
            <w:tcMar>
              <w:top w:w="80" w:type="dxa"/>
              <w:left w:w="90" w:type="dxa"/>
              <w:bottom w:w="80" w:type="dxa"/>
              <w:right w:w="90" w:type="dxa"/>
            </w:tcMar>
          </w:tcPr>
          <w:p>
            <w:r>
              <w:rPr>
                <w:sz w:val="11"/>
              </w:rPr>
              <w:t>Peak/typical RMSE 0.633 / 0.612 C</w:t>
            </w:r>
          </w:p>
        </w:tc>
        <w:tc>
          <w:tcPr>
            <w:tcW w:w="1550" w:type="dxa"/>
            <w:tcMar>
              <w:top w:w="80" w:type="dxa"/>
              <w:left w:w="90" w:type="dxa"/>
              <w:bottom w:w="80" w:type="dxa"/>
              <w:right w:w="90" w:type="dxa"/>
            </w:tcMar>
          </w:tcPr>
          <w:p>
            <w:r>
              <w:rPr>
                <w:sz w:val="11"/>
              </w:rPr>
              <w:t>m_s 0.0866 / 0.0411</w:t>
            </w:r>
          </w:p>
        </w:tc>
        <w:tc>
          <w:tcPr>
            <w:tcW w:w="1610" w:type="dxa"/>
            <w:tcMar>
              <w:top w:w="80" w:type="dxa"/>
              <w:left w:w="90" w:type="dxa"/>
              <w:bottom w:w="80" w:type="dxa"/>
              <w:right w:w="90" w:type="dxa"/>
            </w:tcMar>
          </w:tcPr>
          <w:p>
            <w:r>
              <w:rPr>
                <w:sz w:val="11"/>
              </w:rPr>
              <w:t>Hybrid regularization supported</w:t>
            </w:r>
          </w:p>
        </w:tc>
      </w:tr>
      <w:tr>
        <w:tc>
          <w:tcPr>
            <w:tcW w:w="1500" w:type="dxa"/>
            <w:tcMar>
              <w:top w:w="80" w:type="dxa"/>
              <w:left w:w="90" w:type="dxa"/>
              <w:bottom w:w="80" w:type="dxa"/>
              <w:right w:w="90" w:type="dxa"/>
            </w:tcMar>
          </w:tcPr>
          <w:p>
            <w:r>
              <w:rPr>
                <w:sz w:val="11"/>
              </w:rPr>
              <w:t>Direct v3.5 PPO</w:t>
            </w:r>
          </w:p>
        </w:tc>
        <w:tc>
          <w:tcPr>
            <w:tcW w:w="1650" w:type="dxa"/>
            <w:tcMar>
              <w:top w:w="80" w:type="dxa"/>
              <w:left w:w="90" w:type="dxa"/>
              <w:bottom w:w="80" w:type="dxa"/>
              <w:right w:w="90" w:type="dxa"/>
            </w:tcMar>
          </w:tcPr>
          <w:p>
            <w:r>
              <w:rPr>
                <w:sz w:val="11"/>
              </w:rPr>
              <w:t>standalone calibrated v3.5</w:t>
            </w:r>
          </w:p>
        </w:tc>
        <w:tc>
          <w:tcPr>
            <w:tcW w:w="3050" w:type="dxa"/>
            <w:tcMar>
              <w:top w:w="80" w:type="dxa"/>
              <w:left w:w="90" w:type="dxa"/>
              <w:bottom w:w="80" w:type="dxa"/>
              <w:right w:w="90" w:type="dxa"/>
            </w:tcMar>
          </w:tcPr>
          <w:p>
            <w:r>
              <w:rPr>
                <w:sz w:val="11"/>
              </w:rPr>
              <w:t>Live RMSE 4.32 / 4.40 C</w:t>
            </w:r>
          </w:p>
        </w:tc>
        <w:tc>
          <w:tcPr>
            <w:tcW w:w="1550" w:type="dxa"/>
            <w:tcMar>
              <w:top w:w="80" w:type="dxa"/>
              <w:left w:w="90" w:type="dxa"/>
              <w:bottom w:w="80" w:type="dxa"/>
              <w:right w:w="90" w:type="dxa"/>
            </w:tcMar>
          </w:tcPr>
          <w:p>
            <w:r>
              <w:rPr>
                <w:sz w:val="11"/>
              </w:rPr>
              <w:t>m_s &gt; 1.0</w:t>
            </w:r>
          </w:p>
        </w:tc>
        <w:tc>
          <w:tcPr>
            <w:tcW w:w="1610" w:type="dxa"/>
            <w:tcMar>
              <w:top w:w="80" w:type="dxa"/>
              <w:left w:w="90" w:type="dxa"/>
              <w:bottom w:w="80" w:type="dxa"/>
              <w:right w:w="90" w:type="dxa"/>
            </w:tcMar>
          </w:tcPr>
          <w:p>
            <w:r>
              <w:rPr>
                <w:sz w:val="11"/>
              </w:rPr>
              <w:t>Negative control</w:t>
            </w:r>
          </w:p>
        </w:tc>
      </w:tr>
      <w:tr>
        <w:tc>
          <w:tcPr>
            <w:tcW w:w="1500" w:type="dxa"/>
            <w:tcMar>
              <w:top w:w="80" w:type="dxa"/>
              <w:left w:w="90" w:type="dxa"/>
              <w:bottom w:w="80" w:type="dxa"/>
              <w:right w:w="90" w:type="dxa"/>
            </w:tcMar>
          </w:tcPr>
          <w:p>
            <w:r>
              <w:rPr>
                <w:sz w:val="11"/>
              </w:rPr>
              <w:t>HDRL</w:t>
            </w:r>
          </w:p>
        </w:tc>
        <w:tc>
          <w:tcPr>
            <w:tcW w:w="1650" w:type="dxa"/>
            <w:tcMar>
              <w:top w:w="80" w:type="dxa"/>
              <w:left w:w="90" w:type="dxa"/>
              <w:bottom w:w="80" w:type="dxa"/>
              <w:right w:w="90" w:type="dxa"/>
            </w:tcMar>
          </w:tcPr>
          <w:p>
            <w:r>
              <w:rPr>
                <w:sz w:val="11"/>
              </w:rPr>
              <w:t>lambda_temp=0</w:t>
            </w:r>
          </w:p>
        </w:tc>
        <w:tc>
          <w:tcPr>
            <w:tcW w:w="3050" w:type="dxa"/>
            <w:tcMar>
              <w:top w:w="80" w:type="dxa"/>
              <w:left w:w="90" w:type="dxa"/>
              <w:bottom w:w="80" w:type="dxa"/>
              <w:right w:w="90" w:type="dxa"/>
            </w:tcMar>
          </w:tcPr>
          <w:p>
            <w:r>
              <w:rPr>
                <w:sz w:val="11"/>
              </w:rPr>
              <w:t>Temperature regularizer hurts hierarchy</w:t>
            </w:r>
          </w:p>
        </w:tc>
        <w:tc>
          <w:tcPr>
            <w:tcW w:w="1550" w:type="dxa"/>
            <w:tcMar>
              <w:top w:w="80" w:type="dxa"/>
              <w:left w:w="90" w:type="dxa"/>
              <w:bottom w:w="80" w:type="dxa"/>
              <w:right w:w="90" w:type="dxa"/>
            </w:tcMar>
          </w:tcPr>
          <w:p>
            <w:r>
              <w:rPr>
                <w:sz w:val="11"/>
              </w:rPr>
              <w:t>best at lambda=0</w:t>
            </w:r>
          </w:p>
        </w:tc>
        <w:tc>
          <w:tcPr>
            <w:tcW w:w="1610" w:type="dxa"/>
            <w:tcMar>
              <w:top w:w="80" w:type="dxa"/>
              <w:left w:w="90" w:type="dxa"/>
              <w:bottom w:w="80" w:type="dxa"/>
              <w:right w:w="90" w:type="dxa"/>
            </w:tcMar>
          </w:tcPr>
          <w:p>
            <w:r>
              <w:rPr>
                <w:sz w:val="11"/>
              </w:rPr>
              <w:t>Controller-family specificity</w:t>
            </w:r>
          </w:p>
        </w:tc>
      </w:tr>
      <w:tr>
        <w:tc>
          <w:tcPr>
            <w:tcW w:w="1500" w:type="dxa"/>
            <w:tcMar>
              <w:top w:w="80" w:type="dxa"/>
              <w:left w:w="90" w:type="dxa"/>
              <w:bottom w:w="80" w:type="dxa"/>
              <w:right w:w="90" w:type="dxa"/>
            </w:tcMar>
          </w:tcPr>
          <w:p>
            <w:r>
              <w:rPr>
                <w:sz w:val="11"/>
              </w:rPr>
              <w:t>MORL 17D</w:t>
            </w:r>
          </w:p>
        </w:tc>
        <w:tc>
          <w:tcPr>
            <w:tcW w:w="1650" w:type="dxa"/>
            <w:tcMar>
              <w:top w:w="80" w:type="dxa"/>
              <w:left w:w="90" w:type="dxa"/>
              <w:bottom w:w="80" w:type="dxa"/>
              <w:right w:w="90" w:type="dxa"/>
            </w:tcMar>
          </w:tcPr>
          <w:p>
            <w:r>
              <w:rPr>
                <w:sz w:val="11"/>
              </w:rPr>
              <w:t>power-only hybrid</w:t>
            </w:r>
          </w:p>
        </w:tc>
        <w:tc>
          <w:tcPr>
            <w:tcW w:w="3050" w:type="dxa"/>
            <w:tcMar>
              <w:top w:w="80" w:type="dxa"/>
              <w:left w:w="90" w:type="dxa"/>
              <w:bottom w:w="80" w:type="dxa"/>
              <w:right w:w="90" w:type="dxa"/>
            </w:tcMar>
          </w:tcPr>
          <w:p>
            <w:r>
              <w:rPr>
                <w:sz w:val="11"/>
              </w:rPr>
              <w:t>Pareto sweep usable after 17D interface</w:t>
            </w:r>
          </w:p>
        </w:tc>
        <w:tc>
          <w:tcPr>
            <w:tcW w:w="1550" w:type="dxa"/>
            <w:tcMar>
              <w:top w:w="80" w:type="dxa"/>
              <w:left w:w="90" w:type="dxa"/>
              <w:bottom w:w="80" w:type="dxa"/>
              <w:right w:w="90" w:type="dxa"/>
            </w:tcMar>
          </w:tcPr>
          <w:p>
            <w:r>
              <w:rPr>
                <w:sz w:val="11"/>
              </w:rPr>
              <w:t>canonical N=5 high variance</w:t>
            </w:r>
          </w:p>
        </w:tc>
        <w:tc>
          <w:tcPr>
            <w:tcW w:w="1610" w:type="dxa"/>
            <w:tcMar>
              <w:top w:w="80" w:type="dxa"/>
              <w:left w:w="90" w:type="dxa"/>
              <w:bottom w:w="80" w:type="dxa"/>
              <w:right w:w="90" w:type="dxa"/>
            </w:tcMar>
          </w:tcPr>
          <w:p>
            <w:r>
              <w:rPr>
                <w:sz w:val="11"/>
              </w:rPr>
              <w:t>Promising but not stable</w:t>
            </w:r>
          </w:p>
        </w:tc>
      </w:tr>
      <w:tr>
        <w:tc>
          <w:tcPr>
            <w:tcW w:w="1500" w:type="dxa"/>
            <w:tcMar>
              <w:top w:w="80" w:type="dxa"/>
              <w:left w:w="90" w:type="dxa"/>
              <w:bottom w:w="80" w:type="dxa"/>
              <w:right w:w="90" w:type="dxa"/>
            </w:tcMar>
          </w:tcPr>
          <w:p>
            <w:r>
              <w:rPr>
                <w:sz w:val="11"/>
              </w:rPr>
              <w:t>MORL N=5 test</w:t>
            </w:r>
          </w:p>
        </w:tc>
        <w:tc>
          <w:tcPr>
            <w:tcW w:w="1650" w:type="dxa"/>
            <w:tcMar>
              <w:top w:w="80" w:type="dxa"/>
              <w:left w:w="90" w:type="dxa"/>
              <w:bottom w:w="80" w:type="dxa"/>
              <w:right w:w="90" w:type="dxa"/>
            </w:tcMar>
          </w:tcPr>
          <w:p>
            <w:r>
              <w:rPr>
                <w:sz w:val="11"/>
              </w:rPr>
              <w:t>neutral/practical canonicals</w:t>
            </w:r>
          </w:p>
        </w:tc>
        <w:tc>
          <w:tcPr>
            <w:tcW w:w="3050" w:type="dxa"/>
            <w:tcMar>
              <w:top w:w="80" w:type="dxa"/>
              <w:left w:w="90" w:type="dxa"/>
              <w:bottom w:w="80" w:type="dxa"/>
              <w:right w:w="90" w:type="dxa"/>
            </w:tcMar>
          </w:tcPr>
          <w:p>
            <w:r>
              <w:rPr>
                <w:sz w:val="11"/>
              </w:rPr>
              <w:t>Replay deterministic; action-saturation hypothesis falsified</w:t>
            </w:r>
          </w:p>
        </w:tc>
        <w:tc>
          <w:tcPr>
            <w:tcW w:w="1550" w:type="dxa"/>
            <w:tcMar>
              <w:top w:w="80" w:type="dxa"/>
              <w:left w:w="90" w:type="dxa"/>
              <w:bottom w:w="80" w:type="dxa"/>
              <w:right w:w="90" w:type="dxa"/>
            </w:tcMar>
          </w:tcPr>
          <w:p>
            <w:r>
              <w:rPr>
                <w:sz w:val="11"/>
              </w:rPr>
              <w:t>sigma/mean &gt; threshold</w:t>
            </w:r>
          </w:p>
        </w:tc>
        <w:tc>
          <w:tcPr>
            <w:tcW w:w="1610" w:type="dxa"/>
            <w:tcMar>
              <w:top w:w="80" w:type="dxa"/>
              <w:left w:w="90" w:type="dxa"/>
              <w:bottom w:w="80" w:type="dxa"/>
              <w:right w:w="90" w:type="dxa"/>
            </w:tcMar>
          </w:tcPr>
          <w:p>
            <w:r>
              <w:rPr>
                <w:sz w:val="11"/>
              </w:rPr>
              <w:t>Report with limitations</w:t>
            </w:r>
          </w:p>
        </w:tc>
      </w:tr>
    </w:tbl>
    <w:p>
      <w:r>
        <w:rPr>
          <w:i/>
          <w:sz w:val="18"/>
          <w:color w:val="555555"/>
        </w:rPr>
        <w:t>Table 5. Block 2 controller-family and MORL summary. Detailed lambda sweeps, per-seed tables and monthly diagnostics are in the supplementary material.</w:t>
      </w:r>
    </w:p>
    <w:p>
      <w:pPr>
        <w:pStyle w:val="Heading2"/>
      </w:pPr>
      <w:r>
        <w:t>6.4 Seasonal variance heatmap interpretation</w:t>
      </w:r>
    </w:p>
    <w:p>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pPr>
        <w:pStyle w:val="Heading1"/>
      </w:pPr>
      <w:r>
        <w:t>7. Results III: Transferability and Generalization</w:t>
      </w:r>
    </w:p>
    <w:p>
      <w:pPr>
        <w:pStyle w:val="Heading2"/>
      </w:pPr>
      <w:r>
        <w:t>7.1 Block 3 objective and transfer protocol</w:t>
      </w:r>
    </w:p>
    <w:p>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pPr>
        <w:pStyle w:val="Heading2"/>
      </w:pPr>
      <w:r>
        <w:t>7.2 Controller-side transfer</w:t>
      </w:r>
    </w:p>
    <w:p>
      <w:pPr>
        <w:jc w:val="center"/>
      </w:pPr>
      <w:r>
        <w:drawing>
          <wp:inline distT="0" distB="0" distL="0" distR="0">
            <wp:extent cx="6126480" cy="2834640"/>
            <wp:docPr id="1" name="engineering_fig13"/>
            <a:graphic xmlns:a="http://schemas.openxmlformats.org/drawingml/2006/main">
              <a:graphicData uri="http://schemas.openxmlformats.org/drawingml/2006/picture">
                <pic:pic xmlns:pic="http://schemas.openxmlformats.org/drawingml/2006/picture">
                  <pic:nvPicPr>
                    <pic:cNvPr id="0" name="engineering_fig13"/>
                    <pic:cNvPicPr/>
                  </pic:nvPicPr>
                  <pic:blipFill>
                    <a:blip r:embed="rId1512"/>
                    <a:stretch>
                      <a:fillRect/>
                    </a:stretch>
                  </pic:blipFill>
                  <pic:spPr>
                    <a:xfrm>
                      <a:off x="0" y="0"/>
                      <a:ext cx="6126480" cy="2834640"/>
                    </a:xfrm>
                    <a:prstGeom prst="rect">
                      <a:avLst/>
                    </a:prstGeom>
                  </pic:spPr>
                </pic:pic>
              </a:graphicData>
            </a:graphic>
          </wp:inline>
        </w:drawing>
      </w:r>
    </w:p>
    <w:p>
      <w:r>
        <w:rPr>
          <w:i/>
          <w:sz w:val="18"/>
          <w:color w:val="555555"/>
        </w:rPr>
        <w:t>Figure 13. Block 3 threshold-normalized transfer and energy penalty. Residential hydronic cases fail the m_s threshold; the commercial case passes the threshold but pays a +35.3% energy penalty.</w:t>
      </w:r>
    </w:p>
    <w:p>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pPr>
        <w:pStyle w:val="Heading2"/>
      </w:pPr>
      <w:r>
        <w:t>7.3 Surrogate-side transfer</w:t>
      </w:r>
    </w:p>
    <w:p>
      <w:pPr>
        <w:jc w:val="center"/>
      </w:pPr>
      <w:r>
        <w:drawing>
          <wp:inline distT="0" distB="0" distL="0" distR="0">
            <wp:extent cx="5303520" cy="2926080"/>
            <wp:docPr id="1" name="engineering_fig14"/>
            <a:graphic xmlns:a="http://schemas.openxmlformats.org/drawingml/2006/main">
              <a:graphicData uri="http://schemas.openxmlformats.org/drawingml/2006/picture">
                <pic:pic xmlns:pic="http://schemas.openxmlformats.org/drawingml/2006/picture">
                  <pic:nvPicPr>
                    <pic:cNvPr id="0" name="engineering_fig14"/>
                    <pic:cNvPicPr/>
                  </pic:nvPicPr>
                  <pic:blipFill>
                    <a:blip r:embed="rId1513"/>
                    <a:stretch>
                      <a:fillRect/>
                    </a:stretch>
                  </pic:blipFill>
                  <pic:spPr>
                    <a:xfrm>
                      <a:off x="0" y="0"/>
                      <a:ext cx="5303520" cy="2926080"/>
                    </a:xfrm>
                    <a:prstGeom prst="rect">
                      <a:avLst/>
                    </a:prstGeom>
                  </pic:spPr>
                </pic:pic>
              </a:graphicData>
            </a:graphic>
          </wp:inline>
        </w:drawing>
      </w:r>
    </w:p>
    <w:p>
      <w:r>
        <w:rPr>
          <w:i/>
          <w:sz w:val="18"/>
          <w:color w:val="555555"/>
        </w:rPr>
        <w:t>Figure 14. Hydronic-family C_zon consistency with hypothesis interval. Full Stage A/B/C re-identifies hydronic target capacitance near 1.92 x the bestest_air value across all three target cases.</w:t>
      </w:r>
    </w:p>
    <w:p>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550"/>
        <w:gridCol w:w="550"/>
        <w:gridCol w:w="650"/>
        <w:gridCol w:w="650"/>
        <w:gridCol w:w="850"/>
        <w:gridCol w:w="850"/>
        <w:gridCol w:w="850"/>
        <w:gridCol w:w="2960"/>
      </w:tblGrid>
      <w:tr>
        <w:tc>
          <w:tcPr>
            <w:tcW w:w="1500" w:type="dxa"/>
            <w:shd w:fill="EAF2F8"/>
            <w:tcMar>
              <w:top w:w="80" w:type="dxa"/>
              <w:left w:w="90" w:type="dxa"/>
              <w:bottom w:w="80" w:type="dxa"/>
              <w:right w:w="90" w:type="dxa"/>
            </w:tcMar>
          </w:tcPr>
          <w:p>
            <w:r>
              <w:rPr>
                <w:b/>
                <w:sz w:val="10"/>
              </w:rPr>
              <w:t>Testcase</w:t>
            </w:r>
          </w:p>
        </w:tc>
        <w:tc>
          <w:tcPr>
            <w:tcW w:w="550" w:type="dxa"/>
            <w:shd w:fill="EAF2F8"/>
            <w:tcMar>
              <w:top w:w="80" w:type="dxa"/>
              <w:left w:w="90" w:type="dxa"/>
              <w:bottom w:w="80" w:type="dxa"/>
              <w:right w:w="90" w:type="dxa"/>
            </w:tcMar>
          </w:tcPr>
          <w:p>
            <w:r>
              <w:rPr>
                <w:b/>
                <w:sz w:val="10"/>
              </w:rPr>
              <w:t>None</w:t>
            </w:r>
          </w:p>
        </w:tc>
        <w:tc>
          <w:tcPr>
            <w:tcW w:w="550" w:type="dxa"/>
            <w:shd w:fill="EAF2F8"/>
            <w:tcMar>
              <w:top w:w="80" w:type="dxa"/>
              <w:left w:w="90" w:type="dxa"/>
              <w:bottom w:w="80" w:type="dxa"/>
              <w:right w:w="90" w:type="dxa"/>
            </w:tcMar>
          </w:tcPr>
          <w:p>
            <w:r>
              <w:rPr>
                <w:b/>
                <w:sz w:val="10"/>
              </w:rPr>
              <w:t>Full</w:t>
            </w:r>
          </w:p>
        </w:tc>
        <w:tc>
          <w:tcPr>
            <w:tcW w:w="650" w:type="dxa"/>
            <w:shd w:fill="EAF2F8"/>
            <w:tcMar>
              <w:top w:w="80" w:type="dxa"/>
              <w:left w:w="90" w:type="dxa"/>
              <w:bottom w:w="80" w:type="dxa"/>
              <w:right w:w="90" w:type="dxa"/>
            </w:tcMar>
          </w:tcPr>
          <w:p>
            <w:r>
              <w:rPr>
                <w:b/>
                <w:sz w:val="10"/>
              </w:rPr>
              <w:t>m_s RL</w:t>
            </w:r>
          </w:p>
        </w:tc>
        <w:tc>
          <w:tcPr>
            <w:tcW w:w="650" w:type="dxa"/>
            <w:shd w:fill="EAF2F8"/>
            <w:tcMar>
              <w:top w:w="80" w:type="dxa"/>
              <w:left w:w="90" w:type="dxa"/>
              <w:bottom w:w="80" w:type="dxa"/>
              <w:right w:w="90" w:type="dxa"/>
            </w:tcMar>
          </w:tcPr>
          <w:p>
            <w:r>
              <w:rPr>
                <w:b/>
                <w:sz w:val="10"/>
              </w:rPr>
              <w:t>m_s PI</w:t>
            </w:r>
          </w:p>
        </w:tc>
        <w:tc>
          <w:tcPr>
            <w:tcW w:w="850" w:type="dxa"/>
            <w:shd w:fill="EAF2F8"/>
            <w:tcMar>
              <w:top w:w="80" w:type="dxa"/>
              <w:left w:w="90" w:type="dxa"/>
              <w:bottom w:w="80" w:type="dxa"/>
              <w:right w:w="90" w:type="dxa"/>
            </w:tcMar>
          </w:tcPr>
          <w:p>
            <w:r>
              <w:rPr>
                <w:b/>
                <w:sz w:val="10"/>
              </w:rPr>
              <w:t>Energy delta</w:t>
            </w:r>
          </w:p>
        </w:tc>
        <w:tc>
          <w:tcPr>
            <w:tcW w:w="850" w:type="dxa"/>
            <w:shd w:fill="EAF2F8"/>
            <w:tcMar>
              <w:top w:w="80" w:type="dxa"/>
              <w:left w:w="90" w:type="dxa"/>
              <w:bottom w:w="80" w:type="dxa"/>
              <w:right w:w="90" w:type="dxa"/>
            </w:tcMar>
          </w:tcPr>
          <w:p>
            <w:r>
              <w:rPr>
                <w:b/>
                <w:sz w:val="10"/>
              </w:rPr>
              <w:t>Full RMSE gain</w:t>
            </w:r>
          </w:p>
        </w:tc>
        <w:tc>
          <w:tcPr>
            <w:tcW w:w="850" w:type="dxa"/>
            <w:shd w:fill="EAF2F8"/>
            <w:tcMar>
              <w:top w:w="80" w:type="dxa"/>
              <w:left w:w="90" w:type="dxa"/>
              <w:bottom w:w="80" w:type="dxa"/>
              <w:right w:w="90" w:type="dxa"/>
            </w:tcMar>
          </w:tcPr>
          <w:p>
            <w:r>
              <w:rPr>
                <w:b/>
                <w:sz w:val="10"/>
              </w:rPr>
              <w:t>C_zon ratio</w:t>
            </w:r>
          </w:p>
        </w:tc>
        <w:tc>
          <w:tcPr>
            <w:tcW w:w="2960" w:type="dxa"/>
            <w:shd w:fill="EAF2F8"/>
            <w:tcMar>
              <w:top w:w="80" w:type="dxa"/>
              <w:left w:w="90" w:type="dxa"/>
              <w:bottom w:w="80" w:type="dxa"/>
              <w:right w:w="90" w:type="dxa"/>
            </w:tcMar>
          </w:tcPr>
          <w:p>
            <w:r>
              <w:rPr>
                <w:b/>
                <w:sz w:val="10"/>
              </w:rPr>
              <w:t>Interpretation</w:t>
            </w:r>
          </w:p>
        </w:tc>
      </w:tr>
      <w:tr>
        <w:tc>
          <w:tcPr>
            <w:tcW w:w="1500" w:type="dxa"/>
            <w:tcMar>
              <w:top w:w="80" w:type="dxa"/>
              <w:left w:w="90" w:type="dxa"/>
              <w:bottom w:w="80" w:type="dxa"/>
              <w:right w:w="90" w:type="dxa"/>
            </w:tcMar>
          </w:tcPr>
          <w:p>
            <w:r>
              <w:rPr>
                <w:sz w:val="10"/>
              </w:rPr>
              <w:t>bestest_hydronic_heat_pump</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0.665</w:t>
            </w:r>
          </w:p>
        </w:tc>
        <w:tc>
          <w:tcPr>
            <w:tcW w:w="650" w:type="dxa"/>
            <w:tcMar>
              <w:top w:w="80" w:type="dxa"/>
              <w:left w:w="90" w:type="dxa"/>
              <w:bottom w:w="80" w:type="dxa"/>
              <w:right w:w="90" w:type="dxa"/>
            </w:tcMar>
          </w:tcPr>
          <w:p>
            <w:r>
              <w:rPr>
                <w:sz w:val="10"/>
              </w:rPr>
              <w:t>0.464</w:t>
            </w:r>
          </w:p>
        </w:tc>
        <w:tc>
          <w:tcPr>
            <w:tcW w:w="850" w:type="dxa"/>
            <w:tcMar>
              <w:top w:w="80" w:type="dxa"/>
              <w:left w:w="90" w:type="dxa"/>
              <w:bottom w:w="80" w:type="dxa"/>
              <w:right w:w="90" w:type="dxa"/>
            </w:tcMar>
          </w:tcPr>
          <w:p>
            <w:r>
              <w:rPr>
                <w:sz w:val="10"/>
              </w:rPr>
              <w:t>-7.3%</w:t>
            </w:r>
          </w:p>
        </w:tc>
        <w:tc>
          <w:tcPr>
            <w:tcW w:w="850" w:type="dxa"/>
            <w:tcMar>
              <w:top w:w="80" w:type="dxa"/>
              <w:left w:w="90" w:type="dxa"/>
              <w:bottom w:w="80" w:type="dxa"/>
              <w:right w:w="90" w:type="dxa"/>
            </w:tcMar>
          </w:tcPr>
          <w:p>
            <w:r>
              <w:rPr>
                <w:sz w:val="10"/>
              </w:rPr>
              <w:t>60.2%</w:t>
            </w:r>
          </w:p>
        </w:tc>
        <w:tc>
          <w:tcPr>
            <w:tcW w:w="850" w:type="dxa"/>
            <w:tcMar>
              <w:top w:w="80" w:type="dxa"/>
              <w:left w:w="90" w:type="dxa"/>
              <w:bottom w:w="80" w:type="dxa"/>
              <w:right w:w="90" w:type="dxa"/>
            </w:tcMar>
          </w:tcPr>
          <w:p>
            <w:r>
              <w:rPr>
                <w:sz w:val="10"/>
              </w:rPr>
              <w:t>1.89x</w:t>
            </w:r>
          </w:p>
        </w:tc>
        <w:tc>
          <w:tcPr>
            <w:tcW w:w="2960" w:type="dxa"/>
            <w:tcMar>
              <w:top w:w="80" w:type="dxa"/>
              <w:left w:w="90" w:type="dxa"/>
              <w:bottom w:w="80" w:type="dxa"/>
              <w:right w:w="90" w:type="dxa"/>
            </w:tcMar>
          </w:tcPr>
          <w:p>
            <w:r>
              <w:rPr>
                <w:sz w:val="10"/>
              </w:rPr>
              <w:t>Residential hydronic heat-pump transfer fails on controller safety but succeeds on full surrogate recalibration.</w:t>
            </w:r>
          </w:p>
        </w:tc>
      </w:tr>
      <w:tr>
        <w:tc>
          <w:tcPr>
            <w:tcW w:w="1500" w:type="dxa"/>
            <w:tcMar>
              <w:top w:w="80" w:type="dxa"/>
              <w:left w:w="90" w:type="dxa"/>
              <w:bottom w:w="80" w:type="dxa"/>
              <w:right w:w="90" w:type="dxa"/>
            </w:tcMar>
          </w:tcPr>
          <w:p>
            <w:r>
              <w:rPr>
                <w:sz w:val="10"/>
              </w:rPr>
              <w:t>bestest_hydronic</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0.976</w:t>
            </w:r>
          </w:p>
        </w:tc>
        <w:tc>
          <w:tcPr>
            <w:tcW w:w="650" w:type="dxa"/>
            <w:tcMar>
              <w:top w:w="80" w:type="dxa"/>
              <w:left w:w="90" w:type="dxa"/>
              <w:bottom w:w="80" w:type="dxa"/>
              <w:right w:w="90" w:type="dxa"/>
            </w:tcMar>
          </w:tcPr>
          <w:p>
            <w:r>
              <w:rPr>
                <w:sz w:val="10"/>
              </w:rPr>
              <w:t>0.750</w:t>
            </w:r>
          </w:p>
        </w:tc>
        <w:tc>
          <w:tcPr>
            <w:tcW w:w="850" w:type="dxa"/>
            <w:tcMar>
              <w:top w:w="80" w:type="dxa"/>
              <w:left w:w="90" w:type="dxa"/>
              <w:bottom w:w="80" w:type="dxa"/>
              <w:right w:w="90" w:type="dxa"/>
            </w:tcMar>
          </w:tcPr>
          <w:p>
            <w:r>
              <w:rPr>
                <w:sz w:val="10"/>
              </w:rPr>
              <w:t>-5.8%</w:t>
            </w:r>
          </w:p>
        </w:tc>
        <w:tc>
          <w:tcPr>
            <w:tcW w:w="850" w:type="dxa"/>
            <w:tcMar>
              <w:top w:w="80" w:type="dxa"/>
              <w:left w:w="90" w:type="dxa"/>
              <w:bottom w:w="80" w:type="dxa"/>
              <w:right w:w="90" w:type="dxa"/>
            </w:tcMar>
          </w:tcPr>
          <w:p>
            <w:r>
              <w:rPr>
                <w:sz w:val="10"/>
              </w:rPr>
              <w:t>87.4%</w:t>
            </w:r>
          </w:p>
        </w:tc>
        <w:tc>
          <w:tcPr>
            <w:tcW w:w="850" w:type="dxa"/>
            <w:tcMar>
              <w:top w:w="80" w:type="dxa"/>
              <w:left w:w="90" w:type="dxa"/>
              <w:bottom w:w="80" w:type="dxa"/>
              <w:right w:w="90" w:type="dxa"/>
            </w:tcMar>
          </w:tcPr>
          <w:p>
            <w:r>
              <w:rPr>
                <w:sz w:val="10"/>
              </w:rPr>
              <w:t>1.95x</w:t>
            </w:r>
          </w:p>
        </w:tc>
        <w:tc>
          <w:tcPr>
            <w:tcW w:w="2960" w:type="dxa"/>
            <w:tcMar>
              <w:top w:w="80" w:type="dxa"/>
              <w:left w:w="90" w:type="dxa"/>
              <w:bottom w:w="80" w:type="dxa"/>
              <w:right w:w="90" w:type="dxa"/>
            </w:tcMar>
          </w:tcPr>
          <w:p>
            <w:r>
              <w:rPr>
                <w:sz w:val="10"/>
              </w:rPr>
              <w:t>Residential hydronic transfer replicates controller-side FAIL and surrogate-side PASS.</w:t>
            </w:r>
          </w:p>
        </w:tc>
      </w:tr>
      <w:tr>
        <w:tc>
          <w:tcPr>
            <w:tcW w:w="1500" w:type="dxa"/>
            <w:tcMar>
              <w:top w:w="80" w:type="dxa"/>
              <w:left w:w="90" w:type="dxa"/>
              <w:bottom w:w="80" w:type="dxa"/>
              <w:right w:w="90" w:type="dxa"/>
            </w:tcMar>
          </w:tcPr>
          <w:p>
            <w:r>
              <w:rPr>
                <w:sz w:val="10"/>
              </w:rPr>
              <w:t>singlezone_commercial_hydronic</w:t>
            </w:r>
          </w:p>
        </w:tc>
        <w:tc>
          <w:tcPr>
            <w:tcW w:w="550" w:type="dxa"/>
            <w:tcMar>
              <w:top w:w="80" w:type="dxa"/>
              <w:left w:w="90" w:type="dxa"/>
              <w:bottom w:w="80" w:type="dxa"/>
              <w:right w:w="90" w:type="dxa"/>
            </w:tcMar>
          </w:tcPr>
          <w:p>
            <w:r>
              <w:rPr>
                <w:sz w:val="10"/>
              </w:rPr>
              <w:t>PASS</w:t>
            </w:r>
          </w:p>
        </w:tc>
        <w:tc>
          <w:tcPr>
            <w:tcW w:w="550" w:type="dxa"/>
            <w:tcMar>
              <w:top w:w="80" w:type="dxa"/>
              <w:left w:w="90" w:type="dxa"/>
              <w:bottom w:w="80" w:type="dxa"/>
              <w:right w:w="90" w:type="dxa"/>
            </w:tcMar>
          </w:tcPr>
          <w:p>
            <w:r>
              <w:rPr>
                <w:sz w:val="10"/>
              </w:rPr>
              <w:t>PASS</w:t>
            </w:r>
          </w:p>
        </w:tc>
        <w:tc>
          <w:tcPr>
            <w:tcW w:w="650" w:type="dxa"/>
            <w:tcMar>
              <w:top w:w="80" w:type="dxa"/>
              <w:left w:w="90" w:type="dxa"/>
              <w:bottom w:w="80" w:type="dxa"/>
              <w:right w:w="90" w:type="dxa"/>
            </w:tcMar>
          </w:tcPr>
          <w:p>
            <w:r>
              <w:rPr>
                <w:sz w:val="10"/>
              </w:rPr>
              <w:t>0.431</w:t>
            </w:r>
          </w:p>
        </w:tc>
        <w:tc>
          <w:tcPr>
            <w:tcW w:w="650" w:type="dxa"/>
            <w:tcMar>
              <w:top w:w="80" w:type="dxa"/>
              <w:left w:w="90" w:type="dxa"/>
              <w:bottom w:w="80" w:type="dxa"/>
              <w:right w:w="90" w:type="dxa"/>
            </w:tcMar>
          </w:tcPr>
          <w:p>
            <w:r>
              <w:rPr>
                <w:sz w:val="10"/>
              </w:rPr>
              <w:t>0.628</w:t>
            </w:r>
          </w:p>
        </w:tc>
        <w:tc>
          <w:tcPr>
            <w:tcW w:w="850" w:type="dxa"/>
            <w:tcMar>
              <w:top w:w="80" w:type="dxa"/>
              <w:left w:w="90" w:type="dxa"/>
              <w:bottom w:w="80" w:type="dxa"/>
              <w:right w:w="90" w:type="dxa"/>
            </w:tcMar>
          </w:tcPr>
          <w:p>
            <w:r>
              <w:rPr>
                <w:sz w:val="10"/>
              </w:rPr>
              <w:t>35.3%</w:t>
            </w:r>
          </w:p>
        </w:tc>
        <w:tc>
          <w:tcPr>
            <w:tcW w:w="850" w:type="dxa"/>
            <w:tcMar>
              <w:top w:w="80" w:type="dxa"/>
              <w:left w:w="90" w:type="dxa"/>
              <w:bottom w:w="80" w:type="dxa"/>
              <w:right w:w="90" w:type="dxa"/>
            </w:tcMar>
          </w:tcPr>
          <w:p>
            <w:r>
              <w:rPr>
                <w:sz w:val="10"/>
              </w:rPr>
              <w:t>87.8%</w:t>
            </w:r>
          </w:p>
        </w:tc>
        <w:tc>
          <w:tcPr>
            <w:tcW w:w="850" w:type="dxa"/>
            <w:tcMar>
              <w:top w:w="80" w:type="dxa"/>
              <w:left w:w="90" w:type="dxa"/>
              <w:bottom w:w="80" w:type="dxa"/>
              <w:right w:w="90" w:type="dxa"/>
            </w:tcMar>
          </w:tcPr>
          <w:p>
            <w:r>
              <w:rPr>
                <w:sz w:val="10"/>
              </w:rPr>
              <w:t>1.91x</w:t>
            </w:r>
          </w:p>
        </w:tc>
        <w:tc>
          <w:tcPr>
            <w:tcW w:w="2960" w:type="dxa"/>
            <w:tcMar>
              <w:top w:w="80" w:type="dxa"/>
              <w:left w:w="90" w:type="dxa"/>
              <w:bottom w:w="80" w:type="dxa"/>
              <w:right w:w="90" w:type="dxa"/>
            </w:tcMar>
          </w:tcPr>
          <w:p>
            <w:r>
              <w:rPr>
                <w:sz w:val="10"/>
              </w:rPr>
              <w:t>Commercial stretch falsifies expected controller FAIL: safety passes but energy increases substantially; surrogate-side PASS and C_zon ratio remains near 1.9x.</w:t>
            </w:r>
          </w:p>
        </w:tc>
      </w:tr>
    </w:tbl>
    <w:p>
      <w:r>
        <w:rPr>
          <w:i/>
          <w:sz w:val="18"/>
          <w:color w:val="555555"/>
        </w:rPr>
        <w:t>Table 6. Block 3 transfer matrix, combining adapters, controller verdicts, surrogate gains, and C_zon re-identification.</w:t>
      </w:r>
    </w:p>
    <w:p>
      <w:pPr>
        <w:pStyle w:val="Heading2"/>
      </w:pPr>
      <w:r>
        <w:t>7.4 Component-level transferability conclusion</w:t>
      </w:r>
    </w:p>
    <w:p>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pPr>
        <w:pStyle w:val="Heading1"/>
      </w:pPr>
      <w:r>
        <w:t>8. Discussion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250"/>
        <w:gridCol w:w="2400"/>
        <w:gridCol w:w="2200"/>
        <w:gridCol w:w="1250"/>
        <w:gridCol w:w="2260"/>
      </w:tblGrid>
      <w:tr>
        <w:tc>
          <w:tcPr>
            <w:tcW w:w="1250" w:type="dxa"/>
            <w:shd w:fill="EAF2F8"/>
            <w:tcMar>
              <w:top w:w="80" w:type="dxa"/>
              <w:left w:w="90" w:type="dxa"/>
              <w:bottom w:w="80" w:type="dxa"/>
              <w:right w:w="90" w:type="dxa"/>
            </w:tcMar>
          </w:tcPr>
          <w:p>
            <w:r>
              <w:rPr>
                <w:b/>
                <w:sz w:val="10"/>
              </w:rPr>
              <w:t>Hypothesis</w:t>
            </w:r>
          </w:p>
        </w:tc>
        <w:tc>
          <w:tcPr>
            <w:tcW w:w="2400" w:type="dxa"/>
            <w:shd w:fill="EAF2F8"/>
            <w:tcMar>
              <w:top w:w="80" w:type="dxa"/>
              <w:left w:w="90" w:type="dxa"/>
              <w:bottom w:w="80" w:type="dxa"/>
              <w:right w:w="90" w:type="dxa"/>
            </w:tcMar>
          </w:tcPr>
          <w:p>
            <w:r>
              <w:rPr>
                <w:b/>
                <w:sz w:val="10"/>
              </w:rPr>
              <w:t>Pre-registered claim</w:t>
            </w:r>
          </w:p>
        </w:tc>
        <w:tc>
          <w:tcPr>
            <w:tcW w:w="2200" w:type="dxa"/>
            <w:shd w:fill="EAF2F8"/>
            <w:tcMar>
              <w:top w:w="80" w:type="dxa"/>
              <w:left w:w="90" w:type="dxa"/>
              <w:bottom w:w="80" w:type="dxa"/>
              <w:right w:w="90" w:type="dxa"/>
            </w:tcMar>
          </w:tcPr>
          <w:p>
            <w:r>
              <w:rPr>
                <w:b/>
                <w:sz w:val="10"/>
              </w:rPr>
              <w:t>Operational criterion</w:t>
            </w:r>
          </w:p>
        </w:tc>
        <w:tc>
          <w:tcPr>
            <w:tcW w:w="1250" w:type="dxa"/>
            <w:shd w:fill="EAF2F8"/>
            <w:tcMar>
              <w:top w:w="80" w:type="dxa"/>
              <w:left w:w="90" w:type="dxa"/>
              <w:bottom w:w="80" w:type="dxa"/>
              <w:right w:w="90" w:type="dxa"/>
            </w:tcMar>
          </w:tcPr>
          <w:p>
            <w:r>
              <w:rPr>
                <w:b/>
                <w:sz w:val="10"/>
              </w:rPr>
              <w:t>Verdict</w:t>
            </w:r>
          </w:p>
        </w:tc>
        <w:tc>
          <w:tcPr>
            <w:tcW w:w="2260" w:type="dxa"/>
            <w:shd w:fill="EAF2F8"/>
            <w:tcMar>
              <w:top w:w="80" w:type="dxa"/>
              <w:left w:w="90" w:type="dxa"/>
              <w:bottom w:w="80" w:type="dxa"/>
              <w:right w:w="90" w:type="dxa"/>
            </w:tcMar>
          </w:tcPr>
          <w:p>
            <w:r>
              <w:rPr>
                <w:b/>
                <w:sz w:val="10"/>
              </w:rPr>
              <w:t>Evidence</w:t>
            </w:r>
          </w:p>
        </w:tc>
      </w:tr>
      <w:tr>
        <w:tc>
          <w:tcPr>
            <w:tcW w:w="1250" w:type="dxa"/>
            <w:tcMar>
              <w:top w:w="80" w:type="dxa"/>
              <w:left w:w="90" w:type="dxa"/>
              <w:bottom w:w="80" w:type="dxa"/>
              <w:right w:w="90" w:type="dxa"/>
            </w:tcMar>
          </w:tcPr>
          <w:p>
            <w:r>
              <w:rPr>
                <w:sz w:val="10"/>
              </w:rPr>
              <w:t>H1 strong</w:t>
            </w:r>
          </w:p>
        </w:tc>
        <w:tc>
          <w:tcPr>
            <w:tcW w:w="2400" w:type="dxa"/>
            <w:tcMar>
              <w:top w:w="80" w:type="dxa"/>
              <w:left w:w="90" w:type="dxa"/>
              <w:bottom w:w="80" w:type="dxa"/>
              <w:right w:w="90" w:type="dxa"/>
            </w:tcMar>
          </w:tcPr>
          <w:p>
            <w:r>
              <w:rPr>
                <w:sz w:val="10"/>
              </w:rPr>
              <w:t>Frozen recipe transfers directly</w:t>
            </w:r>
          </w:p>
        </w:tc>
        <w:tc>
          <w:tcPr>
            <w:tcW w:w="2200" w:type="dxa"/>
            <w:tcMar>
              <w:top w:w="80" w:type="dxa"/>
              <w:left w:w="90" w:type="dxa"/>
              <w:bottom w:w="80" w:type="dxa"/>
              <w:right w:w="90" w:type="dxa"/>
            </w:tcMar>
          </w:tcPr>
          <w:p>
            <w:r>
              <w:rPr>
                <w:sz w:val="10"/>
              </w:rPr>
              <w:t>mode=none PASS on &gt;=2/3 without severe KPI penalty</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Residential hydronic cases fail; commercial passes m_s but +35.3% energy.</w:t>
            </w:r>
          </w:p>
        </w:tc>
      </w:tr>
      <w:tr>
        <w:tc>
          <w:tcPr>
            <w:tcW w:w="1250" w:type="dxa"/>
            <w:tcMar>
              <w:top w:w="80" w:type="dxa"/>
              <w:left w:w="90" w:type="dxa"/>
              <w:bottom w:w="80" w:type="dxa"/>
              <w:right w:w="90" w:type="dxa"/>
            </w:tcMar>
          </w:tcPr>
          <w:p>
            <w:r>
              <w:rPr>
                <w:sz w:val="10"/>
              </w:rPr>
              <w:t>H2 medium</w:t>
            </w:r>
          </w:p>
        </w:tc>
        <w:tc>
          <w:tcPr>
            <w:tcW w:w="2400" w:type="dxa"/>
            <w:tcMar>
              <w:top w:w="80" w:type="dxa"/>
              <w:left w:w="90" w:type="dxa"/>
              <w:bottom w:w="80" w:type="dxa"/>
              <w:right w:w="90" w:type="dxa"/>
            </w:tcMar>
          </w:tcPr>
          <w:p>
            <w:r>
              <w:rPr>
                <w:sz w:val="10"/>
              </w:rPr>
              <w:t>Partial surrogate recalibration is sufficient</w:t>
            </w:r>
          </w:p>
        </w:tc>
        <w:tc>
          <w:tcPr>
            <w:tcW w:w="2200" w:type="dxa"/>
            <w:tcMar>
              <w:top w:w="80" w:type="dxa"/>
              <w:left w:w="90" w:type="dxa"/>
              <w:bottom w:w="80" w:type="dxa"/>
              <w:right w:w="90" w:type="dxa"/>
            </w:tcMar>
          </w:tcPr>
          <w:p>
            <w:r>
              <w:rPr>
                <w:sz w:val="10"/>
              </w:rPr>
              <w:t>Stage C only improves controller verdict</w:t>
            </w:r>
          </w:p>
        </w:tc>
        <w:tc>
          <w:tcPr>
            <w:tcW w:w="1250" w:type="dxa"/>
            <w:tcMar>
              <w:top w:w="80" w:type="dxa"/>
              <w:left w:w="90" w:type="dxa"/>
              <w:bottom w:w="80" w:type="dxa"/>
              <w:right w:w="90" w:type="dxa"/>
            </w:tcMar>
          </w:tcPr>
          <w:p>
            <w:r>
              <w:rPr>
                <w:sz w:val="10"/>
              </w:rPr>
              <w:t>Falsified structurally</w:t>
            </w:r>
          </w:p>
        </w:tc>
        <w:tc>
          <w:tcPr>
            <w:tcW w:w="2260" w:type="dxa"/>
            <w:tcMar>
              <w:top w:w="80" w:type="dxa"/>
              <w:left w:w="90" w:type="dxa"/>
              <w:bottom w:w="80" w:type="dxa"/>
              <w:right w:w="90" w:type="dxa"/>
            </w:tcMar>
          </w:tcPr>
          <w:p>
            <w:r>
              <w:rPr>
                <w:sz w:val="10"/>
              </w:rPr>
              <w:t>Controller frozen, so live KPI cannot change from none.</w:t>
            </w:r>
          </w:p>
        </w:tc>
      </w:tr>
      <w:tr>
        <w:tc>
          <w:tcPr>
            <w:tcW w:w="1250" w:type="dxa"/>
            <w:tcMar>
              <w:top w:w="80" w:type="dxa"/>
              <w:left w:w="90" w:type="dxa"/>
              <w:bottom w:w="80" w:type="dxa"/>
              <w:right w:w="90" w:type="dxa"/>
            </w:tcMar>
          </w:tcPr>
          <w:p>
            <w:r>
              <w:rPr>
                <w:sz w:val="10"/>
              </w:rPr>
              <w:t>H3 weak surrogate side</w:t>
            </w:r>
          </w:p>
        </w:tc>
        <w:tc>
          <w:tcPr>
            <w:tcW w:w="2400" w:type="dxa"/>
            <w:tcMar>
              <w:top w:w="80" w:type="dxa"/>
              <w:left w:w="90" w:type="dxa"/>
              <w:bottom w:w="80" w:type="dxa"/>
              <w:right w:w="90" w:type="dxa"/>
            </w:tcMar>
          </w:tcPr>
          <w:p>
            <w:r>
              <w:rPr>
                <w:sz w:val="10"/>
              </w:rPr>
              <w:t>Full recalibration gives useful target twin</w:t>
            </w:r>
          </w:p>
        </w:tc>
        <w:tc>
          <w:tcPr>
            <w:tcW w:w="2200" w:type="dxa"/>
            <w:tcMar>
              <w:top w:w="80" w:type="dxa"/>
              <w:left w:w="90" w:type="dxa"/>
              <w:bottom w:w="80" w:type="dxa"/>
              <w:right w:w="90" w:type="dxa"/>
            </w:tcMar>
          </w:tcPr>
          <w:p>
            <w:r>
              <w:rPr>
                <w:sz w:val="10"/>
              </w:rPr>
              <w:t>RMSE_T improves under full Stage A/B/C</w:t>
            </w:r>
          </w:p>
        </w:tc>
        <w:tc>
          <w:tcPr>
            <w:tcW w:w="1250" w:type="dxa"/>
            <w:tcMar>
              <w:top w:w="80" w:type="dxa"/>
              <w:left w:w="90" w:type="dxa"/>
              <w:bottom w:w="80" w:type="dxa"/>
              <w:right w:w="90" w:type="dxa"/>
            </w:tcMar>
          </w:tcPr>
          <w:p>
            <w:r>
              <w:rPr>
                <w:sz w:val="10"/>
              </w:rPr>
              <w:t>Supported</w:t>
            </w:r>
          </w:p>
        </w:tc>
        <w:tc>
          <w:tcPr>
            <w:tcW w:w="2260" w:type="dxa"/>
            <w:tcMar>
              <w:top w:w="80" w:type="dxa"/>
              <w:left w:w="90" w:type="dxa"/>
              <w:bottom w:w="80" w:type="dxa"/>
              <w:right w:w="90" w:type="dxa"/>
            </w:tcMar>
          </w:tcPr>
          <w:p>
            <w:r>
              <w:rPr>
                <w:sz w:val="10"/>
              </w:rPr>
              <w:t>60.2-87.8% RMSE_T improvement across N=3.</w:t>
            </w:r>
          </w:p>
        </w:tc>
      </w:tr>
      <w:tr>
        <w:tc>
          <w:tcPr>
            <w:tcW w:w="1250" w:type="dxa"/>
            <w:tcMar>
              <w:top w:w="80" w:type="dxa"/>
              <w:left w:w="90" w:type="dxa"/>
              <w:bottom w:w="80" w:type="dxa"/>
              <w:right w:w="90" w:type="dxa"/>
            </w:tcMar>
          </w:tcPr>
          <w:p>
            <w:r>
              <w:rPr>
                <w:sz w:val="10"/>
              </w:rPr>
              <w:t>H3 weak controller side</w:t>
            </w:r>
          </w:p>
        </w:tc>
        <w:tc>
          <w:tcPr>
            <w:tcW w:w="2400" w:type="dxa"/>
            <w:tcMar>
              <w:top w:w="80" w:type="dxa"/>
              <w:left w:w="90" w:type="dxa"/>
              <w:bottom w:w="80" w:type="dxa"/>
              <w:right w:w="90" w:type="dxa"/>
            </w:tcMar>
          </w:tcPr>
          <w:p>
            <w:r>
              <w:rPr>
                <w:sz w:val="10"/>
              </w:rPr>
              <w:t>Full surrogate recalibration rescues frozen controller</w:t>
            </w:r>
          </w:p>
        </w:tc>
        <w:tc>
          <w:tcPr>
            <w:tcW w:w="2200" w:type="dxa"/>
            <w:tcMar>
              <w:top w:w="80" w:type="dxa"/>
              <w:left w:w="90" w:type="dxa"/>
              <w:bottom w:w="80" w:type="dxa"/>
              <w:right w:w="90" w:type="dxa"/>
            </w:tcMar>
          </w:tcPr>
          <w:p>
            <w:r>
              <w:rPr>
                <w:sz w:val="10"/>
              </w:rPr>
              <w:t>Controller PASS after full</w:t>
            </w:r>
          </w:p>
        </w:tc>
        <w:tc>
          <w:tcPr>
            <w:tcW w:w="1250" w:type="dxa"/>
            <w:tcMar>
              <w:top w:w="80" w:type="dxa"/>
              <w:left w:w="90" w:type="dxa"/>
              <w:bottom w:w="80" w:type="dxa"/>
              <w:right w:w="90" w:type="dxa"/>
            </w:tcMar>
          </w:tcPr>
          <w:p>
            <w:r>
              <w:rPr>
                <w:sz w:val="10"/>
              </w:rPr>
              <w:t>Falsified/split</w:t>
            </w:r>
          </w:p>
        </w:tc>
        <w:tc>
          <w:tcPr>
            <w:tcW w:w="2260" w:type="dxa"/>
            <w:tcMar>
              <w:top w:w="80" w:type="dxa"/>
              <w:left w:w="90" w:type="dxa"/>
              <w:bottom w:w="80" w:type="dxa"/>
              <w:right w:w="90" w:type="dxa"/>
            </w:tcMar>
          </w:tcPr>
          <w:p>
            <w:r>
              <w:rPr>
                <w:sz w:val="10"/>
              </w:rPr>
              <w:t>Surrogate succeeds, controller remains regime-dependent.</w:t>
            </w:r>
          </w:p>
        </w:tc>
      </w:tr>
      <w:tr>
        <w:tc>
          <w:tcPr>
            <w:tcW w:w="1250" w:type="dxa"/>
            <w:tcMar>
              <w:top w:w="80" w:type="dxa"/>
              <w:left w:w="90" w:type="dxa"/>
              <w:bottom w:w="80" w:type="dxa"/>
              <w:right w:w="90" w:type="dxa"/>
            </w:tcMar>
          </w:tcPr>
          <w:p>
            <w:r>
              <w:rPr>
                <w:sz w:val="10"/>
              </w:rPr>
              <w:t>MORL action-saturation</w:t>
            </w:r>
          </w:p>
        </w:tc>
        <w:tc>
          <w:tcPr>
            <w:tcW w:w="2400" w:type="dxa"/>
            <w:tcMar>
              <w:top w:w="80" w:type="dxa"/>
              <w:left w:w="90" w:type="dxa"/>
              <w:bottom w:w="80" w:type="dxa"/>
              <w:right w:w="90" w:type="dxa"/>
            </w:tcMar>
          </w:tcPr>
          <w:p>
            <w:r>
              <w:rPr>
                <w:sz w:val="10"/>
              </w:rPr>
              <w:t>N=3 seasonal inversion persists at N=5</w:t>
            </w:r>
          </w:p>
        </w:tc>
        <w:tc>
          <w:tcPr>
            <w:tcW w:w="2200" w:type="dxa"/>
            <w:tcMar>
              <w:top w:w="80" w:type="dxa"/>
              <w:left w:w="90" w:type="dxa"/>
              <w:bottom w:w="80" w:type="dxa"/>
              <w:right w:w="90" w:type="dxa"/>
            </w:tcMar>
          </w:tcPr>
          <w:p>
            <w:r>
              <w:rPr>
                <w:sz w:val="10"/>
              </w:rPr>
              <w:t>Feb sigma &lt;0.005 and winter ratio &gt;20x</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Feb sigma rose and inversion collapsed at N=5.</w:t>
            </w:r>
          </w:p>
        </w:tc>
      </w:tr>
    </w:tbl>
    <w:p>
      <w:r>
        <w:rPr>
          <w:i/>
          <w:sz w:val="18"/>
          <w:color w:val="555555"/>
        </w:rPr>
        <w:t>Table 7. Hypothesis closure table. The audit trail maps each claim to the pre-registered protocol and post-result append-only records.</w:t>
      </w:r>
    </w:p>
    <w:p>
      <w:pPr>
        <w:pStyle w:val="Heading2"/>
      </w:pPr>
      <w:r>
        <w:t>8.1 Predictive validity versus RL training utility</w:t>
      </w:r>
    </w:p>
    <w:p>
      <w:r>
        <w:t xml:space="preserve">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pPr>
        <w:pStyle w:val="Heading2"/>
      </w:pPr>
      <w:r>
        <w:t>8.2 Controller-family specificity</w:t>
      </w:r>
    </w:p>
    <w:p>
      <w:r>
        <w:t xml:space="preserve">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pPr>
        <w:pStyle w:val="Heading2"/>
      </w:pPr>
      <w:r>
        <w:t>8.3 Transferability boundary</w:t>
      </w:r>
    </w:p>
    <w:p>
      <w:r>
        <w:t xml:space="preserve">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pPr>
        <w:pStyle w:val="Heading2"/>
      </w:pPr>
      <w:r>
        <w:t>8.4 Step-size disclosure and pre-registration discipline</w:t>
      </w:r>
    </w:p>
    <w:p>
      <w:r>
        <w:t xml:space="preserve">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pPr>
        <w:pStyle w:val="Heading2"/>
      </w:pPr>
      <w:r>
        <w:t>8.5 Positioning relative to related work</w:t>
      </w:r>
    </w:p>
    <w:p>
      <w:r>
        <w:t xml:space="preserve">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pPr>
        <w:pStyle w:val="Heading2"/>
      </w:pPr>
      <w:r>
        <w:t>8.6 Threats to validity</w:t>
      </w:r>
    </w:p>
    <w:p>
      <w:r>
        <w:t xml:space="preserve">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pPr>
        <w:pStyle w:val="Heading1"/>
      </w:pPr>
      <w:r>
        <w:t>9. Conclusion</w:t>
      </w:r>
    </w:p>
    <w:p>
      <w:r>
        <w:t xml:space="preserve">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r>
        <w:t xml:space="preserve">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r>
        <w:t xml:space="preserve">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r>
        <w:t xml:space="preserve">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pPr>
        <w:pStyle w:val="Heading1"/>
      </w:pPr>
      <w:r>
        <w:t>Data availability</w:t>
      </w:r>
    </w:p>
    <w:p>
      <w:r>
        <w:t>All numerical values are sourced from CSV artifacts under reports/ and outputs/. The figure-source manifest is reports/article_real_figures_manifest.csv.</w:t>
      </w:r>
    </w:p>
    <w:p>
      <w:r>
        <w:br w:type="page"/>
      </w:r>
    </w:p>
    <w:p>
      <w:pPr>
        <w:pStyle w:val="Heading1"/>
      </w:pPr>
      <w:r>
        <w:t>Supplementary Material: Hou and Evins Numerical Artifacts</w:t>
      </w:r>
    </w:p>
    <w:p>
      <w:r>
        <w:t>The following tables summarize the eleven article-facing numerical artifacts adapted from the Hou-and-Evins surrogate reporting protocol [17]. The complete machine-readable versions remain in reports/hou_evins_*.csv.</w:t>
      </w:r>
    </w:p>
    <w:p>
      <w:pPr>
        <w:pStyle w:val="Heading2"/>
      </w:pPr>
      <w:r>
        <w:t>S1. Sample generation (reports/hou_evins_sample_generation_table.csv)</w:t>
      </w:r>
    </w:p>
    <w:p>
      <w:pPr>
        <w:pStyle w:val="Heading2"/>
      </w:pPr>
      <w:r>
        <w:t>S2. Sample-size justification (reports/hou_evins_sample_size_justification_table.csv)</w:t>
      </w:r>
    </w:p>
    <w:p>
      <w:pPr>
        <w:pStyle w:val="Heading2"/>
      </w:pPr>
      <w:r>
        <w:t>S3. Split representativeness (reports/hou_evins_split_representativeness_table.csv)</w:t>
      </w:r>
    </w:p>
    <w:p>
      <w:pPr>
        <w:pStyle w:val="Heading2"/>
      </w:pPr>
      <w:r>
        <w:t>S4. Stage A processing (reports/hou_evins_stage_a_processing_table.csv)</w:t>
      </w:r>
    </w:p>
    <w:p>
      <w:pPr>
        <w:pStyle w:val="Heading2"/>
      </w:pPr>
      <w:r>
        <w:t>S5. Feature significance and encoding (reports/hou_evins_feature_justification_table.csv)</w:t>
      </w:r>
    </w:p>
    <w:p>
      <w:pPr>
        <w:pStyle w:val="Heading2"/>
      </w:pPr>
      <w:r>
        <w:t>S6. Scaling (reports/hou_evins_scaling_table.csv)</w:t>
      </w:r>
    </w:p>
    <w:p>
      <w:pPr>
        <w:pStyle w:val="Heading2"/>
      </w:pPr>
      <w:r>
        <w:t>S7. Input independence (reports/hou_evins_input_independence_table.csv)</w:t>
      </w:r>
    </w:p>
    <w:p>
      <w:pPr>
        <w:pStyle w:val="Heading2"/>
      </w:pPr>
      <w:r>
        <w:t>S8. Training hyperparameters (reports/hou_evins_training_hyperparams_table.csv)</w:t>
      </w:r>
    </w:p>
    <w:p>
      <w:pPr>
        <w:pStyle w:val="Heading2"/>
      </w:pPr>
      <w:r>
        <w:t>S9. Architecture justification (reports/hou_evins_architecture_justification_table.csv)</w:t>
      </w:r>
    </w:p>
    <w:p>
      <w:pPr>
        <w:pStyle w:val="Heading2"/>
      </w:pPr>
      <w:r>
        <w:t>S10. Targeted sensitivity (reports/hou_evins_targeted_sensitivity_table.csv)</w:t>
      </w:r>
    </w:p>
    <w:p>
      <w:pPr>
        <w:pStyle w:val="Heading2"/>
      </w:pPr>
      <w:r>
        <w:t>S11. Predictive validity (reports/hou_evins_predictive_validity_table.csv)</w:t>
      </w:r>
    </w:p>
    <w:p>
      <w:pPr>
        <w:pStyle w:val="Heading1"/>
      </w:pPr>
      <w:r>
        <w:t>References</w:t>
      </w:r>
    </w:p>
    <w:p>
      <w:r>
        <w:rPr>
          <w:sz w:val="18"/>
        </w:rPr>
        <w:t>[1] Zhang S, Ma M, Zhou N, Yan J. GLOBUS: Global building renovation potential by 2070. arXiv preprint arXiv:2406.04133, 2024.</w:t>
      </w:r>
    </w:p>
    <w:p>
      <w:r>
        <w:rPr>
          <w:sz w:val="18"/>
        </w:rPr>
        <w:t>[2] Arroyo J, Spiessens F, Helsen L. Comparison of optimal control techniques for building energy management. Frontiers in Built Environment. 2022;8:849754. doi:10.3389/fbuil.2022.849754.</w:t>
      </w:r>
    </w:p>
    <w:p>
      <w:r>
        <w:rPr>
          <w:sz w:val="18"/>
        </w:rPr>
        <w:t>[3] Arroyo J, Spiessens F, Helsen L. Identification of multi-zone grey-box building models for use in model predictive control. Journal of Building Performance Simulation. 2020;13(4):472-486. doi:10.1080/19401493.2020.1770861.</w:t>
      </w:r>
    </w:p>
    <w:p>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r>
        <w:rPr>
          <w:sz w:val="18"/>
        </w:rPr>
        <w:t>[5] Arroyo J, Manna C, Spiessens F, Helsen L. An OpenAI-Gym environment for the Building Optimization Testing Framework. Proceedings of the 17th IBPSA Conference; 2021 Sep 1-3; Bruges, Belgium.</w:t>
      </w:r>
    </w:p>
    <w:p>
      <w:r>
        <w:rPr>
          <w:sz w:val="18"/>
        </w:rPr>
        <w:t>[6] Wang D, Zheng W, Wang Z, Wang Y, Pang X, Wang W. Comparison of reinforcement learning and model predictive control for building energy system optimization. Applied Thermal Engineering. 2023;228:120430. doi:10.1016/j.applthermaleng.2023.120430.</w:t>
      </w:r>
    </w:p>
    <w:p>
      <w:r>
        <w:rPr>
          <w:sz w:val="18"/>
        </w:rPr>
        <w:t>[7] Arroyo J, Manna C, Spiessens F, Helsen L. Reinforced model predictive control for building energy management. Applied Energy. 2022;309:118346. doi:10.1016/j.apenergy.2021.118346.</w:t>
      </w:r>
    </w:p>
    <w:p>
      <w:r>
        <w:rPr>
          <w:sz w:val="18"/>
        </w:rPr>
        <w:t>[8] Drgona J, Tuor AR, Chandan V, Vrabie DL. Physics-constrained deep learning of multi-zone building thermal dynamics. arXiv preprint arXiv:2011.05987, 2020.</w:t>
      </w:r>
    </w:p>
    <w:p>
      <w:r>
        <w:rPr>
          <w:sz w:val="18"/>
        </w:rPr>
        <w:t>[9] Jiang Z, Lee YM. Deep transfer learning for thermal dynamics modeling in smart buildings. arXiv preprint arXiv:1911.03318, 2019.</w:t>
      </w:r>
    </w:p>
    <w:p>
      <w:r>
        <w:rPr>
          <w:sz w:val="18"/>
        </w:rPr>
        <w:t>[10] Xu S, Wang Y, Wang Y, O'Neill Z, Zhu Q. One for many: transfer learning for building HVAC control. arXiv preprint arXiv:2008.03625, 2020.</w:t>
      </w:r>
    </w:p>
    <w:p>
      <w:r>
        <w:rPr>
          <w:sz w:val="18"/>
        </w:rPr>
        <w:t>[11] Fierro G, Prakash AK, Blum D, Bender J, Paulson E, Wetter M. Notes paper: enabling building application development with simulated digital twins. BuildSys '22; 2022 Nov 9-10; Boston, MA, USA. doi:10.1145/3563357.3564060.</w:t>
      </w:r>
    </w:p>
    <w:p>
      <w:r>
        <w:rPr>
          <w:sz w:val="18"/>
        </w:rPr>
        <w:t>[12] Mostafavi S, Song C, Sharma A, Goyal R, Brito A. Benchmarking model predictive control algorithms in Building Optimization Testing Framework. arXiv preprint arXiv:2301.13447, 2023.</w:t>
      </w:r>
    </w:p>
    <w:p>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r>
        <w:rPr>
          <w:sz w:val="18"/>
        </w:rPr>
        <w:t>[14] Bekal GU, Ghareeb A, Pujari A. Continual reinforcement learning for HVAC systems control: integrating hypernetworks and transfer learning. arXiv preprint arXiv:2503.19212, 2025.</w:t>
      </w:r>
    </w:p>
    <w:p>
      <w:r>
        <w:rPr>
          <w:sz w:val="18"/>
        </w:rPr>
        <w:t>[15] Ruiz de Vargas JM, Raisch F, Nagy Z, Pinson P, Goebel C. Counter-Dyna: data-efficient RL-based HVAC control using counterfactual building models. arXiv preprint arXiv:2605.04555, 2026.</w:t>
      </w:r>
    </w:p>
    <w:p>
      <w:r>
        <w:rPr>
          <w:sz w:val="18"/>
        </w:rPr>
        <w:t>[16] Al Sayed K et al. Reinforcement learning for HVAC control in intelligent buildings: a technical and conceptual review. Journal of Building Engineering. 2024;95:110085.</w:t>
      </w:r>
    </w:p>
    <w:p>
      <w:r>
        <w:rPr>
          <w:sz w:val="18"/>
        </w:rPr>
        <w:t>[17] Hou J, Evins R. A protocol for developing and evaluating neural network-based surrogate models and its application to building energy prediction. Renewable and Sustainable Energy Reviews. 2024;193:114283.</w:t>
      </w:r>
    </w:p>
    <w:p>
      <w:r>
        <w:rPr>
          <w:sz w:val="18"/>
        </w:rPr>
        <w:t>[18] Gao H et al. Successful application of predictive information in deep reinforcement learning control: a case study based on an office building HVAC system. Energy. 2024;291:130344.</w:t>
      </w:r>
    </w:p>
    <w:p>
      <w:r>
        <w:rPr>
          <w:sz w:val="18"/>
        </w:rPr>
        <w:t>[19] Wang Z et al. Safe deep reinforcement learning for building energy management. Applied Energy. 2025;377:124328.</w:t>
      </w:r>
    </w:p>
    <w:p>
      <w:r>
        <w:rPr>
          <w:sz w:val="18"/>
        </w:rPr>
        <w:t>[20] Hedayat Z, Ziarati SR, Manganelli M. A physics-informed reinforcement learning framework for HVAC optimization: thermodynamically-constrained DDPG with uncertainty-aware safety verification. 2025.</w:t>
      </w:r>
    </w:p>
    <w:p>
      <w:r>
        <w:rPr>
          <w:sz w:val="18"/>
        </w:rPr>
        <w:t>[21] Liao B et al. Year-round operational optimization of HVAC systems using hierarchical deep reinforcement learning with multi-objective reward mechanisms. Applied Energy. 2025;390:125816.</w:t>
      </w:r>
    </w:p>
    <w:p>
      <w:r>
        <w:rPr>
          <w:sz w:val="18"/>
        </w:rPr>
        <w:t>[22] Roijers DM, Vamplew P, Whiteson S, Dazeley R. A survey of multi-objective sequential decision-making. Journal of Artificial Intelligence Research. 2013;48:67-113.</w:t>
      </w:r>
    </w:p>
    <w:p>
      <w:r>
        <w:rPr>
          <w:sz w:val="18"/>
        </w:rPr>
        <w:t>[23] Coraci D et al. A scalable approach for real-world implementation of DRL controllers in buildings based on online transfer learning: the HiLo case study. Energy and Buildings. 2025;329:115254.</w:t>
      </w:r>
    </w:p>
    <w:p>
      <w:r>
        <w:rPr>
          <w:sz w:val="18"/>
        </w:rPr>
        <w:t>[24] Hou J et al. Multi-source transfer learning method for enhancing the deployment of deep reinforcement learning in multi-zone building HVAC control. Energy and Buildings. 2024;322:114696.</w:t>
      </w:r>
    </w:p>
    <w:p>
      <w:r>
        <w:rPr>
          <w:sz w:val="18"/>
        </w:rPr>
        <w:t>[25] Kadamala P et al. Enhancing HVAC control systems through transfer learning with deep reinforcement learning agents. Smart Energy. 2024;13:100131.</w:t>
      </w:r>
    </w:p>
    <w:p>
      <w:r>
        <w:rPr>
          <w:sz w:val="18"/>
        </w:rPr>
        <w:t>[26] Coraci D et al. An innovative heterogeneous transfer learning framework to enhance the scalability of deep reinforcement learning controllers for building energy management. Building Simulation. 2024;17:739-770.</w:t>
      </w:r>
    </w:p>
    <w:p>
      <w:r>
        <w:rPr>
          <w:sz w:val="18"/>
        </w:rPr>
        <w:t>[27] Samani MR et al. Distribution shift, generalization and OOD challenge in offline reinforcement learning: a comprehensive survey. Neural Computing and Applications. 2026.</w:t>
      </w:r>
    </w:p>
    <w:p>
      <w:r>
        <w:rPr>
          <w:sz w:val="18"/>
        </w:rPr>
        <w:t>[28] Savino M et al. Deploying deep reinforcement learning for low-level HVAC control in multi-zone buildings: a comparative study with ASHRAE G36 sequences. Energy and Buildings. 2025;348:116456.</w:t>
      </w:r>
    </w:p>
    <w:p>
      <w:r>
        <w:rPr>
          <w:sz w:val="18"/>
        </w:rPr>
        <w:t>[29] Sun Y et al. Individual room air-conditioning control in high-insulation residential building during winter: a deep reinforcement learning-based control model for reducing energy consumption. Energy and Buildings. 2024;323:114799.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Relationship Id="rId1500" Type="http://schemas.openxmlformats.org/officeDocument/2006/relationships/image" Target="media/final17_fig01_overall_study_architecture.png" /><Relationship Id="rId1501" Type="http://schemas.openxmlformats.org/officeDocument/2006/relationships/image" Target="media/final17_fig02_backend_architecture.png" /><Relationship Id="rId1502" Type="http://schemas.openxmlformats.org/officeDocument/2006/relationships/image" Target="media/block1_predictive_validity_horizon_lines.png" /><Relationship Id="rId1503" Type="http://schemas.openxmlformats.org/officeDocument/2006/relationships/image" Target="media/block1_temperature_residual_histograms.png" /><Relationship Id="rId1504" Type="http://schemas.openxmlformats.org/officeDocument/2006/relationships/image" Target="media/block1_stage_abc_calibration_diagnostics.png" /><Relationship Id="rId1505" Type="http://schemas.openxmlformats.org/officeDocument/2006/relationships/image" Target="media/final17_fig04_matched_corpus_decomposition.png" /><Relationship Id="rId1506" Type="http://schemas.openxmlformats.org/officeDocument/2006/relationships/image" Target="media/final17_fig05_fidelity_vs_rl_utility.png" /><Relationship Id="rId1507" Type="http://schemas.openxmlformats.org/officeDocument/2006/relationships/image" Target="media/block1_q1_fig11_action_saturation.png" /><Relationship Id="rId1508" Type="http://schemas.openxmlformats.org/officeDocument/2006/relationships/image" Target="media/block1_q1_fig10_transfer_gap_diagnostics.png" /><Relationship Id="rId1509" Type="http://schemas.openxmlformats.org/officeDocument/2006/relationships/image" Target="media/final17_fig06_live_boptest_controller_comparison.png" /><Relationship Id="rId1510" Type="http://schemas.openxmlformats.org/officeDocument/2006/relationships/image" Target="media/final17_fig08_hdrl_lambda_temp_sweep.png" /><Relationship Id="rId1511" Type="http://schemas.openxmlformats.org/officeDocument/2006/relationships/image" Target="media/final17_fig10_morl_comfort_energy_pareto.png" /><Relationship Id="rId1512" Type="http://schemas.openxmlformats.org/officeDocument/2006/relationships/image" Target="media/final17_fig14_rl_vs_pi_threshold_energy_penalty.png" /><Relationship Id="rId1513" Type="http://schemas.openxmlformats.org/officeDocument/2006/relationships/image" Target="media/final17_fig16_hydronic_czon_consistency.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