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t>Keywords: Deep reinforcement learning; HVAC control; surrogate modeling; Neural ODE; BOPTEST; building energy management; transfer gap.</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1.5 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r>
              <w:t>Reference group</w:t>
            </w:r>
          </w:p>
        </w:tc>
        <w:tc>
          <w:tcPr>
            <w:tcW w:w="1050" w:type="dxa"/>
            <w:shd w:val="clear" w:color="auto" w:fill="EAF2F8"/>
            <w:tcMar>
              <w:top w:w="80" w:type="dxa"/>
              <w:left w:w="90" w:type="dxa"/>
              <w:bottom w:w="80" w:type="dxa"/>
              <w:right w:w="90" w:type="dxa"/>
            </w:tcMar>
          </w:tcPr>
          <w:p>
            <w:r>
              <w:t>Domain</w:t>
            </w:r>
          </w:p>
        </w:tc>
        <w:tc>
          <w:tcPr>
            <w:tcW w:w="1100" w:type="dxa"/>
            <w:shd w:val="clear" w:color="auto" w:fill="EAF2F8"/>
            <w:tcMar>
              <w:top w:w="80" w:type="dxa"/>
              <w:left w:w="90" w:type="dxa"/>
              <w:bottom w:w="80" w:type="dxa"/>
              <w:right w:w="90" w:type="dxa"/>
            </w:tcMar>
          </w:tcPr>
          <w:p>
            <w:r>
              <w:t>Methodological focus</w:t>
            </w:r>
          </w:p>
        </w:tc>
        <w:tc>
          <w:tcPr>
            <w:tcW w:w="1150" w:type="dxa"/>
            <w:shd w:val="clear" w:color="auto" w:fill="EAF2F8"/>
            <w:tcMar>
              <w:top w:w="80" w:type="dxa"/>
              <w:left w:w="90" w:type="dxa"/>
              <w:bottom w:w="80" w:type="dxa"/>
              <w:right w:w="90" w:type="dxa"/>
            </w:tcMar>
          </w:tcPr>
          <w:p>
            <w:r>
              <w:t>Training/evaluation environment</w:t>
            </w:r>
          </w:p>
        </w:tc>
        <w:tc>
          <w:tcPr>
            <w:tcW w:w="1050" w:type="dxa"/>
            <w:shd w:val="clear" w:color="auto" w:fill="EAF2F8"/>
            <w:tcMar>
              <w:top w:w="80" w:type="dxa"/>
              <w:left w:w="90" w:type="dxa"/>
              <w:bottom w:w="80" w:type="dxa"/>
              <w:right w:w="90" w:type="dxa"/>
            </w:tcMar>
          </w:tcPr>
          <w:p>
            <w:r>
              <w:t>Model/controller type</w:t>
            </w:r>
          </w:p>
        </w:tc>
        <w:tc>
          <w:tcPr>
            <w:tcW w:w="1050" w:type="dxa"/>
            <w:shd w:val="clear" w:color="auto" w:fill="EAF2F8"/>
            <w:tcMar>
              <w:top w:w="80" w:type="dxa"/>
              <w:left w:w="90" w:type="dxa"/>
              <w:bottom w:w="80" w:type="dxa"/>
              <w:right w:w="90" w:type="dxa"/>
            </w:tcMar>
          </w:tcPr>
          <w:p>
            <w:r>
              <w:t>Primary objective</w:t>
            </w:r>
          </w:p>
        </w:tc>
        <w:tc>
          <w:tcPr>
            <w:tcW w:w="1300" w:type="dxa"/>
            <w:shd w:val="clear" w:color="auto" w:fill="EAF2F8"/>
            <w:tcMar>
              <w:top w:w="80" w:type="dxa"/>
              <w:left w:w="90" w:type="dxa"/>
              <w:bottom w:w="80" w:type="dxa"/>
              <w:right w:w="90" w:type="dxa"/>
            </w:tcMar>
          </w:tcPr>
          <w:p>
            <w:r>
              <w:t>Limitation relative to this paper</w:t>
            </w:r>
          </w:p>
        </w:tc>
        <w:tc>
          <w:tcPr>
            <w:tcW w:w="2660" w:type="dxa"/>
            <w:shd w:val="clear" w:color="auto" w:fill="EAF2F8"/>
            <w:tcMar>
              <w:top w:w="80" w:type="dxa"/>
              <w:left w:w="90" w:type="dxa"/>
              <w:bottom w:w="80" w:type="dxa"/>
              <w:right w:w="90" w:type="dxa"/>
            </w:tcMar>
          </w:tcPr>
          <w:p>
            <w: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Al Sayed [16]; Wang [6]; Arroyo [7]; Sun [29]; Savino [28]; Liao [21]</w:t>
            </w:r>
          </w:p>
        </w:tc>
        <w:tc>
          <w:tcPr>
            <w:tcW w:w="1050" w:type="dxa"/>
            <w:tcMar>
              <w:top w:w="80" w:type="dxa"/>
              <w:left w:w="90" w:type="dxa"/>
              <w:bottom w:w="80" w:type="dxa"/>
              <w:right w:w="90" w:type="dxa"/>
            </w:tcMar>
          </w:tcPr>
          <w:p>
            <w:r>
              <w:t>DRL for HVAC control</w:t>
            </w:r>
          </w:p>
        </w:tc>
        <w:tc>
          <w:tcPr>
            <w:tcW w:w="1100" w:type="dxa"/>
            <w:tcMar>
              <w:top w:w="80" w:type="dxa"/>
              <w:left w:w="90" w:type="dxa"/>
              <w:bottom w:w="80" w:type="dxa"/>
              <w:right w:w="90" w:type="dxa"/>
            </w:tcMar>
          </w:tcPr>
          <w:p>
            <w:r>
              <w:t>Review, RL/MPC comparison, residential DRL, low-level DRL, HDRL</w:t>
            </w:r>
          </w:p>
        </w:tc>
        <w:tc>
          <w:tcPr>
            <w:tcW w:w="1150" w:type="dxa"/>
            <w:tcMar>
              <w:top w:w="80" w:type="dxa"/>
              <w:left w:w="90" w:type="dxa"/>
              <w:bottom w:w="80" w:type="dxa"/>
              <w:right w:w="90" w:type="dxa"/>
            </w:tcMar>
          </w:tcPr>
          <w:p>
            <w:r>
              <w:t>Simulation and benchmarked building-control settings</w:t>
            </w:r>
          </w:p>
        </w:tc>
        <w:tc>
          <w:tcPr>
            <w:tcW w:w="1050" w:type="dxa"/>
            <w:tcMar>
              <w:top w:w="80" w:type="dxa"/>
              <w:left w:w="90" w:type="dxa"/>
              <w:bottom w:w="80" w:type="dxa"/>
              <w:right w:w="90" w:type="dxa"/>
            </w:tcMar>
          </w:tcPr>
          <w:p>
            <w:r>
              <w:t>PPO/DRL/HDRL/low-level control</w:t>
            </w:r>
          </w:p>
        </w:tc>
        <w:tc>
          <w:tcPr>
            <w:tcW w:w="1050" w:type="dxa"/>
            <w:tcMar>
              <w:top w:w="80" w:type="dxa"/>
              <w:left w:w="90" w:type="dxa"/>
              <w:bottom w:w="80" w:type="dxa"/>
              <w:right w:w="90" w:type="dxa"/>
            </w:tcMar>
          </w:tcPr>
          <w:p>
            <w:r>
              <w:t>Energy-comfort optimization</w:t>
            </w:r>
          </w:p>
        </w:tc>
        <w:tc>
          <w:tcPr>
            <w:tcW w:w="1300" w:type="dxa"/>
            <w:tcMar>
              <w:top w:w="80" w:type="dxa"/>
              <w:left w:w="90" w:type="dxa"/>
              <w:bottom w:w="80" w:type="dxa"/>
              <w:right w:w="90" w:type="dxa"/>
            </w:tcMar>
          </w:tcPr>
          <w:p>
            <w:r>
              <w:t>Controller KPIs emphasized more than training-environment validity.</w:t>
            </w:r>
          </w:p>
        </w:tc>
        <w:tc>
          <w:tcPr>
            <w:tcW w:w="2660" w:type="dxa"/>
            <w:tcMar>
              <w:top w:w="80" w:type="dxa"/>
              <w:left w:w="90" w:type="dxa"/>
              <w:bottom w:w="80" w:type="dxa"/>
              <w:right w:w="90" w:type="dxa"/>
            </w:tcMar>
          </w:tcPr>
          <w:p>
            <w:r>
              <w:t>Audits the surrogate as part of the control stack.</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Hou and Evins [17]; Arroyo [3]; Fierro [11]; Mostafavi [12]</w:t>
            </w:r>
          </w:p>
        </w:tc>
        <w:tc>
          <w:tcPr>
            <w:tcW w:w="1050" w:type="dxa"/>
            <w:tcMar>
              <w:top w:w="80" w:type="dxa"/>
              <w:left w:w="90" w:type="dxa"/>
              <w:bottom w:w="80" w:type="dxa"/>
              <w:right w:w="90" w:type="dxa"/>
            </w:tcMar>
          </w:tcPr>
          <w:p>
            <w:r>
              <w:t>Surrogate models and digital twins</w:t>
            </w:r>
          </w:p>
        </w:tc>
        <w:tc>
          <w:tcPr>
            <w:tcW w:w="1100" w:type="dxa"/>
            <w:tcMar>
              <w:top w:w="80" w:type="dxa"/>
              <w:left w:w="90" w:type="dxa"/>
              <w:bottom w:w="80" w:type="dxa"/>
              <w:right w:w="90" w:type="dxa"/>
            </w:tcMar>
          </w:tcPr>
          <w:p>
            <w:r>
              <w:t>Grey-box modeling, surrogate protocol, reusable digital twins, BOPTEST workflows</w:t>
            </w:r>
          </w:p>
        </w:tc>
        <w:tc>
          <w:tcPr>
            <w:tcW w:w="1150" w:type="dxa"/>
            <w:tcMar>
              <w:top w:w="80" w:type="dxa"/>
              <w:left w:w="90" w:type="dxa"/>
              <w:bottom w:w="80" w:type="dxa"/>
              <w:right w:w="90" w:type="dxa"/>
            </w:tcMar>
          </w:tcPr>
          <w:p>
            <w:r>
              <w:t>Offline traces, simulated twins, BOPTEST</w:t>
            </w:r>
          </w:p>
        </w:tc>
        <w:tc>
          <w:tcPr>
            <w:tcW w:w="1050" w:type="dxa"/>
            <w:tcMar>
              <w:top w:w="80" w:type="dxa"/>
              <w:left w:w="90" w:type="dxa"/>
              <w:bottom w:w="80" w:type="dxa"/>
              <w:right w:w="90" w:type="dxa"/>
            </w:tcMar>
          </w:tcPr>
          <w:p>
            <w:r>
              <w:t>NN surrogate / grey-box / digital twin</w:t>
            </w:r>
          </w:p>
        </w:tc>
        <w:tc>
          <w:tcPr>
            <w:tcW w:w="1050" w:type="dxa"/>
            <w:tcMar>
              <w:top w:w="80" w:type="dxa"/>
              <w:left w:w="90" w:type="dxa"/>
              <w:bottom w:w="80" w:type="dxa"/>
              <w:right w:w="90" w:type="dxa"/>
            </w:tcMar>
          </w:tcPr>
          <w:p>
            <w:r>
              <w:t>Predictive validity and reproducibility</w:t>
            </w:r>
          </w:p>
        </w:tc>
        <w:tc>
          <w:tcPr>
            <w:tcW w:w="1300" w:type="dxa"/>
            <w:tcMar>
              <w:top w:w="80" w:type="dxa"/>
              <w:left w:w="90" w:type="dxa"/>
              <w:bottom w:w="80" w:type="dxa"/>
              <w:right w:w="90" w:type="dxa"/>
            </w:tcMar>
          </w:tcPr>
          <w:p>
            <w:r>
              <w:t>Mostly predictor-oriented; downstream RL utility not central.</w:t>
            </w:r>
          </w:p>
        </w:tc>
        <w:tc>
          <w:tcPr>
            <w:tcW w:w="2660" w:type="dxa"/>
            <w:tcMar>
              <w:top w:w="80" w:type="dxa"/>
              <w:left w:w="90" w:type="dxa"/>
              <w:bottom w:w="80" w:type="dxa"/>
              <w:right w:w="90" w:type="dxa"/>
            </w:tcMar>
          </w:tcPr>
          <w:p>
            <w:r>
              <w:t>Adds live-control validation and matched-corpus decomposition.</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Drgona [8]; Chen [30]; Hedayat [20]</w:t>
            </w:r>
          </w:p>
        </w:tc>
        <w:tc>
          <w:tcPr>
            <w:tcW w:w="1050" w:type="dxa"/>
            <w:tcMar>
              <w:top w:w="80" w:type="dxa"/>
              <w:left w:w="90" w:type="dxa"/>
              <w:bottom w:w="80" w:type="dxa"/>
              <w:right w:w="90" w:type="dxa"/>
            </w:tcMar>
          </w:tcPr>
          <w:p>
            <w:r>
              <w:t>Physics-informed and Neural ODE modeling</w:t>
            </w:r>
          </w:p>
        </w:tc>
        <w:tc>
          <w:tcPr>
            <w:tcW w:w="1100" w:type="dxa"/>
            <w:tcMar>
              <w:top w:w="80" w:type="dxa"/>
              <w:left w:w="90" w:type="dxa"/>
              <w:bottom w:w="80" w:type="dxa"/>
              <w:right w:w="90" w:type="dxa"/>
            </w:tcMar>
          </w:tcPr>
          <w:p>
            <w:r>
              <w:t>Physics constraints, continuous-time neural dynamics, thermodynamic RL</w:t>
            </w:r>
          </w:p>
        </w:tc>
        <w:tc>
          <w:tcPr>
            <w:tcW w:w="1150" w:type="dxa"/>
            <w:tcMar>
              <w:top w:w="80" w:type="dxa"/>
              <w:left w:w="90" w:type="dxa"/>
              <w:bottom w:w="80" w:type="dxa"/>
              <w:right w:w="90" w:type="dxa"/>
            </w:tcMar>
          </w:tcPr>
          <w:p>
            <w:r>
              <w:t>Thermal simulation and structured control models</w:t>
            </w:r>
          </w:p>
        </w:tc>
        <w:tc>
          <w:tcPr>
            <w:tcW w:w="1050" w:type="dxa"/>
            <w:tcMar>
              <w:top w:w="80" w:type="dxa"/>
              <w:left w:w="90" w:type="dxa"/>
              <w:bottom w:w="80" w:type="dxa"/>
              <w:right w:w="90" w:type="dxa"/>
            </w:tcMar>
          </w:tcPr>
          <w:p>
            <w:r>
              <w:t>Physics-constrained NN / Neural ODE / DDPG</w:t>
            </w:r>
          </w:p>
        </w:tc>
        <w:tc>
          <w:tcPr>
            <w:tcW w:w="1050" w:type="dxa"/>
            <w:tcMar>
              <w:top w:w="80" w:type="dxa"/>
              <w:left w:w="90" w:type="dxa"/>
              <w:bottom w:w="80" w:type="dxa"/>
              <w:right w:w="90" w:type="dxa"/>
            </w:tcMar>
          </w:tcPr>
          <w:p>
            <w:r>
              <w:t>Physically plausible dynamics and actions</w:t>
            </w:r>
          </w:p>
        </w:tc>
        <w:tc>
          <w:tcPr>
            <w:tcW w:w="1300" w:type="dxa"/>
            <w:tcMar>
              <w:top w:w="80" w:type="dxa"/>
              <w:left w:w="90" w:type="dxa"/>
              <w:bottom w:w="80" w:type="dxa"/>
              <w:right w:w="90" w:type="dxa"/>
            </w:tcMar>
          </w:tcPr>
          <w:p>
            <w:r>
              <w:t>Physics role is not isolated across rollout, regularization, and transfer.</w:t>
            </w:r>
          </w:p>
        </w:tc>
        <w:tc>
          <w:tcPr>
            <w:tcW w:w="2660" w:type="dxa"/>
            <w:tcMar>
              <w:top w:w="80" w:type="dxa"/>
              <w:left w:w="90" w:type="dxa"/>
              <w:bottom w:w="80" w:type="dxa"/>
              <w:right w:w="90" w:type="dxa"/>
            </w:tcMar>
          </w:tcPr>
          <w:p>
            <w:r>
              <w:t>Tests v3.5 as rollout model, soft regularizer, and transfer prior.</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Blum [4]; Arroyo [5]; Crawley [31]; Wetter [32]</w:t>
            </w:r>
          </w:p>
        </w:tc>
        <w:tc>
          <w:tcPr>
            <w:tcW w:w="1050" w:type="dxa"/>
            <w:tcMar>
              <w:top w:w="80" w:type="dxa"/>
              <w:left w:w="90" w:type="dxa"/>
              <w:bottom w:w="80" w:type="dxa"/>
              <w:right w:w="90" w:type="dxa"/>
            </w:tcMar>
          </w:tcPr>
          <w:p>
            <w:r>
              <w:t>Benchmark environments</w:t>
            </w:r>
          </w:p>
        </w:tc>
        <w:tc>
          <w:tcPr>
            <w:tcW w:w="1100" w:type="dxa"/>
            <w:tcMar>
              <w:top w:w="80" w:type="dxa"/>
              <w:left w:w="90" w:type="dxa"/>
              <w:bottom w:w="80" w:type="dxa"/>
              <w:right w:w="90" w:type="dxa"/>
            </w:tcMar>
          </w:tcPr>
          <w:p>
            <w:r>
              <w:t>BOPTEST, BOPTEST-Gym, EnergyPlus, Modelica Buildings</w:t>
            </w:r>
          </w:p>
        </w:tc>
        <w:tc>
          <w:tcPr>
            <w:tcW w:w="1150" w:type="dxa"/>
            <w:tcMar>
              <w:top w:w="80" w:type="dxa"/>
              <w:left w:w="90" w:type="dxa"/>
              <w:bottom w:w="80" w:type="dxa"/>
              <w:right w:w="90" w:type="dxa"/>
            </w:tcMar>
          </w:tcPr>
          <w:p>
            <w:r>
              <w:t>Containerized and whole-building simulation</w:t>
            </w:r>
          </w:p>
        </w:tc>
        <w:tc>
          <w:tcPr>
            <w:tcW w:w="1050" w:type="dxa"/>
            <w:tcMar>
              <w:top w:w="80" w:type="dxa"/>
              <w:left w:w="90" w:type="dxa"/>
              <w:bottom w:w="80" w:type="dxa"/>
              <w:right w:w="90" w:type="dxa"/>
            </w:tcMar>
          </w:tcPr>
          <w:p>
            <w:r>
              <w:t>Benchmark API / building simulation</w:t>
            </w:r>
          </w:p>
        </w:tc>
        <w:tc>
          <w:tcPr>
            <w:tcW w:w="1050" w:type="dxa"/>
            <w:tcMar>
              <w:top w:w="80" w:type="dxa"/>
              <w:left w:w="90" w:type="dxa"/>
              <w:bottom w:w="80" w:type="dxa"/>
              <w:right w:w="90" w:type="dxa"/>
            </w:tcMar>
          </w:tcPr>
          <w:p>
            <w:r>
              <w:t>Standardized controller evaluation</w:t>
            </w:r>
          </w:p>
        </w:tc>
        <w:tc>
          <w:tcPr>
            <w:tcW w:w="1300" w:type="dxa"/>
            <w:tcMar>
              <w:top w:w="80" w:type="dxa"/>
              <w:left w:w="90" w:type="dxa"/>
              <w:bottom w:w="80" w:type="dxa"/>
              <w:right w:w="90" w:type="dxa"/>
            </w:tcMar>
          </w:tcPr>
          <w:p>
            <w:r>
              <w:t>Benchmark speed and surrogate replacement are often underreported together.</w:t>
            </w:r>
          </w:p>
        </w:tc>
        <w:tc>
          <w:tcPr>
            <w:tcW w:w="2660" w:type="dxa"/>
            <w:tcMar>
              <w:top w:w="80" w:type="dxa"/>
              <w:left w:w="90" w:type="dxa"/>
              <w:bottom w:w="80" w:type="dxa"/>
              <w:right w:w="90" w:type="dxa"/>
            </w:tcMar>
          </w:tcPr>
          <w:p>
            <w:r>
              <w:t>Keeps BOPTEST as final evaluator and quantifies surrogate throughput.</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Gao [18]; Samani [27]; Ruiz de Vargas [15]</w:t>
            </w:r>
          </w:p>
        </w:tc>
        <w:tc>
          <w:tcPr>
            <w:tcW w:w="1050" w:type="dxa"/>
            <w:tcMar>
              <w:top w:w="80" w:type="dxa"/>
              <w:left w:w="90" w:type="dxa"/>
              <w:bottom w:w="80" w:type="dxa"/>
              <w:right w:w="90" w:type="dxa"/>
            </w:tcMar>
          </w:tcPr>
          <w:p>
            <w:r>
              <w:t>Sim-to-real and model-bias risk</w:t>
            </w:r>
          </w:p>
        </w:tc>
        <w:tc>
          <w:tcPr>
            <w:tcW w:w="1100" w:type="dxa"/>
            <w:tcMar>
              <w:top w:w="80" w:type="dxa"/>
              <w:left w:w="90" w:type="dxa"/>
              <w:bottom w:w="80" w:type="dxa"/>
              <w:right w:w="90" w:type="dxa"/>
            </w:tcMar>
          </w:tcPr>
          <w:p>
            <w:r>
              <w:t>Predictive information, OOD distribution shift, counterfactual models</w:t>
            </w:r>
          </w:p>
        </w:tc>
        <w:tc>
          <w:tcPr>
            <w:tcW w:w="1150" w:type="dxa"/>
            <w:tcMar>
              <w:top w:w="80" w:type="dxa"/>
              <w:left w:w="90" w:type="dxa"/>
              <w:bottom w:w="80" w:type="dxa"/>
              <w:right w:w="90" w:type="dxa"/>
            </w:tcMar>
          </w:tcPr>
          <w:p>
            <w:r>
              <w:t>HVAC-RL and general offline/model-based RL</w:t>
            </w:r>
          </w:p>
        </w:tc>
        <w:tc>
          <w:tcPr>
            <w:tcW w:w="1050" w:type="dxa"/>
            <w:tcMar>
              <w:top w:w="80" w:type="dxa"/>
              <w:left w:w="90" w:type="dxa"/>
              <w:bottom w:w="80" w:type="dxa"/>
              <w:right w:w="90" w:type="dxa"/>
            </w:tcMar>
          </w:tcPr>
          <w:p>
            <w:r>
              <w:t>GRU-informed DRL / offline RL / model-based RL</w:t>
            </w:r>
          </w:p>
        </w:tc>
        <w:tc>
          <w:tcPr>
            <w:tcW w:w="1050" w:type="dxa"/>
            <w:tcMar>
              <w:top w:w="80" w:type="dxa"/>
              <w:left w:w="90" w:type="dxa"/>
              <w:bottom w:w="80" w:type="dxa"/>
              <w:right w:w="90" w:type="dxa"/>
            </w:tcMar>
          </w:tcPr>
          <w:p>
            <w:r>
              <w:t>Data efficiency and generalization</w:t>
            </w:r>
          </w:p>
        </w:tc>
        <w:tc>
          <w:tcPr>
            <w:tcW w:w="1300" w:type="dxa"/>
            <w:tcMar>
              <w:top w:w="80" w:type="dxa"/>
              <w:left w:w="90" w:type="dxa"/>
              <w:bottom w:w="80" w:type="dxa"/>
              <w:right w:w="90" w:type="dxa"/>
            </w:tcMar>
          </w:tcPr>
          <w:p>
            <w:r>
              <w:t>Does not directly measure HVAC surrogate-to-BOPTEST policy transfer.</w:t>
            </w:r>
          </w:p>
        </w:tc>
        <w:tc>
          <w:tcPr>
            <w:tcW w:w="2660" w:type="dxa"/>
            <w:tcMar>
              <w:top w:w="80" w:type="dxa"/>
              <w:left w:w="90" w:type="dxa"/>
              <w:bottom w:w="80" w:type="dxa"/>
              <w:right w:w="90" w:type="dxa"/>
            </w:tcMar>
          </w:tcPr>
          <w:p>
            <w:r>
              <w:t>Measures fidelity, live policy utility, and transfer gap under one interface.</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r>
              <w:t>Roijers [22]; Liao [21]</w:t>
            </w:r>
          </w:p>
        </w:tc>
        <w:tc>
          <w:tcPr>
            <w:tcW w:w="1050" w:type="dxa"/>
            <w:tcMar>
              <w:top w:w="80" w:type="dxa"/>
              <w:left w:w="90" w:type="dxa"/>
              <w:bottom w:w="80" w:type="dxa"/>
              <w:right w:w="90" w:type="dxa"/>
            </w:tcMar>
          </w:tcPr>
          <w:p>
            <w:r>
              <w:t>Multi-objective control</w:t>
            </w:r>
          </w:p>
        </w:tc>
        <w:tc>
          <w:tcPr>
            <w:tcW w:w="1100" w:type="dxa"/>
            <w:tcMar>
              <w:top w:w="80" w:type="dxa"/>
              <w:left w:w="90" w:type="dxa"/>
              <w:bottom w:w="80" w:type="dxa"/>
              <w:right w:w="90" w:type="dxa"/>
            </w:tcMar>
          </w:tcPr>
          <w:p>
            <w:r>
              <w:t>Scalarization, Pareto fronts, hierarchical rewards</w:t>
            </w:r>
          </w:p>
        </w:tc>
        <w:tc>
          <w:tcPr>
            <w:tcW w:w="1150" w:type="dxa"/>
            <w:tcMar>
              <w:top w:w="80" w:type="dxa"/>
              <w:left w:w="90" w:type="dxa"/>
              <w:bottom w:w="80" w:type="dxa"/>
              <w:right w:w="90" w:type="dxa"/>
            </w:tcMar>
          </w:tcPr>
          <w:p>
            <w:r>
              <w:t>Sequential decision-making and HVAC simulation</w:t>
            </w:r>
          </w:p>
        </w:tc>
        <w:tc>
          <w:tcPr>
            <w:tcW w:w="1050" w:type="dxa"/>
            <w:tcMar>
              <w:top w:w="80" w:type="dxa"/>
              <w:left w:w="90" w:type="dxa"/>
              <w:bottom w:w="80" w:type="dxa"/>
              <w:right w:w="90" w:type="dxa"/>
            </w:tcMar>
          </w:tcPr>
          <w:p>
            <w:r>
              <w:t>MORL / HDRL</w:t>
            </w:r>
          </w:p>
        </w:tc>
        <w:tc>
          <w:tcPr>
            <w:tcW w:w="1050" w:type="dxa"/>
            <w:tcMar>
              <w:top w:w="80" w:type="dxa"/>
              <w:left w:w="90" w:type="dxa"/>
              <w:bottom w:w="80" w:type="dxa"/>
              <w:right w:w="90" w:type="dxa"/>
            </w:tcMar>
          </w:tcPr>
          <w:p>
            <w:r>
              <w:t>Comfort-energy-air-quality trade-offs</w:t>
            </w:r>
          </w:p>
        </w:tc>
        <w:tc>
          <w:tcPr>
            <w:tcW w:w="1300" w:type="dxa"/>
            <w:tcMar>
              <w:top w:w="80" w:type="dxa"/>
              <w:left w:w="90" w:type="dxa"/>
              <w:bottom w:w="80" w:type="dxa"/>
              <w:right w:w="90" w:type="dxa"/>
            </w:tcMar>
          </w:tcPr>
          <w:p>
            <w:r>
              <w:t>Limited seed-variance evidence can make Pareto patterns fragile.</w:t>
            </w:r>
          </w:p>
        </w:tc>
        <w:tc>
          <w:tcPr>
            <w:tcW w:w="2660" w:type="dxa"/>
            <w:tcMar>
              <w:top w:w="80" w:type="dxa"/>
              <w:left w:w="90" w:type="dxa"/>
              <w:bottom w:w="80" w:type="dxa"/>
              <w:right w:w="90" w:type="dxa"/>
            </w:tcMar>
          </w:tcPr>
          <w:p>
            <w:r>
              <w:t>Reports N=5 MORL seed sensitivity and falsified seasonal pattern.</w:t>
            </w:r>
          </w:p>
        </w:tc>
      </w:tr>
      <w:tr>
        <w:tc>
          <w:tcPr>
            <w:tcW w:type="dxa" w:w="1000"/>
          </w:tcPr>
          <w:p>
            <w:r>
              <w:t>Jiang [9]; Xu [10]; Coraci [23,26]; Hou [24]; Kadamala [25]; Bekal [14]</w:t>
            </w:r>
          </w:p>
        </w:tc>
        <w:tc>
          <w:tcPr>
            <w:tcW w:type="dxa" w:w="1050"/>
          </w:tcPr>
          <w:p>
            <w:r>
              <w:t>Transfer learning</w:t>
            </w:r>
          </w:p>
        </w:tc>
        <w:tc>
          <w:tcPr>
            <w:tcW w:type="dxa" w:w="1100"/>
          </w:tcPr>
          <w:p>
            <w:r>
              <w:t>Thermal-dynamics transfer, controller transfer, online/multi-source/heterogeneous transfer</w:t>
            </w:r>
          </w:p>
        </w:tc>
        <w:tc>
          <w:tcPr>
            <w:tcW w:type="dxa" w:w="1150"/>
          </w:tcPr>
          <w:p>
            <w:r>
              <w:t>Simulation and real-building transfer settings</w:t>
            </w:r>
          </w:p>
        </w:tc>
        <w:tc>
          <w:tcPr>
            <w:tcW w:type="dxa" w:w="1050"/>
          </w:tcPr>
          <w:p>
            <w:r>
              <w:t>Pretrained/fine-tuned DRL and representation transfer</w:t>
            </w:r>
          </w:p>
        </w:tc>
        <w:tc>
          <w:tcPr>
            <w:tcW w:type="dxa" w:w="1050"/>
          </w:tcPr>
          <w:p>
            <w:r>
              <w:t>Reduce target deployment cost</w:t>
            </w:r>
          </w:p>
        </w:tc>
        <w:tc>
          <w:tcPr>
            <w:tcW w:type="dxa" w:w="1300"/>
          </w:tcPr>
          <w:p>
            <w:r>
              <w:t>Usually permits target-side controller adaptation.</w:t>
            </w:r>
          </w:p>
        </w:tc>
        <w:tc>
          <w:tcPr>
            <w:tcW w:type="dxa" w:w="2660"/>
          </w:tcPr>
          <w:p>
            <w:r>
              <w:t>Separates surrogate recalibration from frozen-controller deployment.</w:t>
            </w:r>
          </w:p>
        </w:tc>
      </w:tr>
    </w:tbl>
    <w:p w14:paraId="07734ADA">
      <w:pPr/>
      <w:r>
        <w:t>Table 1 summarizes the position of this study relative to the main literature streams used in the paper: HVAC reinforcement learning, surrogate-model validation, physics-informed and Neural ODE modeling, BOPTEST benchmarking, multi-objective control, transfer learning, and distribution shift.</w:t>
      </w:r>
    </w:p>
    <w:p w14:paraId="7B728418">
      <w:pPr>
        <w:pStyle w:val="3"/>
      </w:pPr>
      <w:r>
        <w:t>2.1 Deep reinforcement learning for HVAC control</w:t>
      </w:r>
    </w:p>
    <w:p w14:paraId="7D7A8031">
      <w:pPr/>
      <w:r>
        <w:t>DRL has become a major research direction for HVAC operation because it can learn nonlinear control policies from interaction data while optimizing comfort and energy objectives that are difficult to encode in fixed supervisory rules. The technical review by Al Sayed et al. [16] frames HVAC-RL as a response to the limits of rule-based control, manual tuning, and purely model-based optimization. Comparative studies of RL and model predictive control (MPC) show that RL can be competitive but remains sensitive to training protocol, constraint handling, and evaluation design [6,7]. Recent HVAC-specific work has moved beyond simple single-action PPO: Sun et al. [29] study winter residential air-conditioning with predictive information, Savino et al. [28] compare low-level DRL against ASHRAE G36 sequences in multi-zone HVAC, and Liao et al. [21] use hierarchical DRL to manage hybrid action spaces and year-round multi-objective operation.</w:t>
      </w:r>
    </w:p>
    <w:p w14:paraId="7E9F3D41">
      <w:pPr/>
      <w:r>
        <w:t>The common lesson is that HVAC-RL performance is not determined by the policy algorithm alone. It depends on the observation interface, action representation, comfort metric, safety mechanism, weather horizon, and final simulator used for deployment testing. Field-oriented reviews similarly caution that real-world evidence for RL and MPC remains uneven and that evaluation protocols often differ across studies [13]. This paper therefore treats the DRL controller as one component of a larger engineering stack rather than as an isolated optimizer.</w:t>
      </w:r>
    </w:p>
    <w:p w14:paraId="03E6CCEF">
      <w:pPr>
        <w:pStyle w:val="3"/>
      </w:pPr>
      <w:r>
        <w:t>2.2 Surrogate models, grey-box models, and digital twins</w:t>
      </w:r>
    </w:p>
    <w:p w14:paraId="4BC3E8EA">
      <w:pPr/>
      <w:r>
        <w:t>Surrogate models are attractive because detailed building simulators are often too slow for RL-scale policy optimization. Classical control-oriented building modeling has long used grey-box thermal structures because they preserve interpretable capacitance and resistance parameters while remaining simpler than full white-box simulation [3]. Machine-learning surrogates and digital twins extend this idea by replacing expensive simulators with fast approximations, but Hou and Evins [17] argue that neural-network building surrogates require disciplined reporting: sample generation, preprocessing, split representativeness, feature selection, scaling, architecture choice, sensitivity analysis, and multi-horizon validation must all be documented. We adopt that protocol as the reporting backbone for Block 1.</w:t>
      </w:r>
    </w:p>
    <w:p w14:paraId="73E0608A">
      <w:pPr/>
      <w:r>
        <w:t>The digital-twin literature also emphasizes reusable simulated environments for application development [11] and BOPTEST-based benchmarking workflows for controller evaluation [12]. However, most surrogate-model studies still validate models primarily as predictors of temperature, energy, or load. For RL, this is incomplete: a surrogate used inside policy optimization becomes the closed-loop transition model and therefore shapes the state-action distribution encountered during learning. The present work extends predictor-oriented validation with a downstream-control test: the same surrogate is evaluated as a forecasting model, as an RL rollout environment, and as part of a live BOPTEST transfer loop.</w:t>
      </w:r>
    </w:p>
    <w:p w14:paraId="53836A0E">
      <w:pPr>
        <w:pStyle w:val="3"/>
      </w:pPr>
      <w:r>
        <w:t>2.3 Physics-informed models and Neural ODE structure</w:t>
      </w:r>
    </w:p>
    <w:p w14:paraId="650E9E9E">
      <w:pPr/>
      <w:r>
        <w:t>Physics-informed building models seek to combine data-driven flexibility with physically meaningful dynamics. Physics-constrained deep learning for multi-zone thermal dynamics [8] and grey-box identification for MPC [3] both motivate the use of structured thermal states rather than unconstrained black-box regression. Neural Ordinary Differential Equations (Neural ODEs), introduced by Chen et al. [30], provide a general continuous-depth formulation in which a neural network parameterizes the right-hand side of an ODE and the state is propagated through a differentiable solver. In building control, this idea is useful because thermal dynamics are naturally continuous-time, slow, and governed by identifiable energy-balance structure.</w:t>
      </w:r>
    </w:p>
    <w:p w14:paraId="307B3EEE">
      <w:pPr/>
      <w:r>
        <w:t>This paper does not claim that Neural ODE structure alone solves HVAC control. Instead, the v3.5 model uses physical structure and inverse calibration to improve predictive fidelity, while the downstream experiments test whether that fidelity is useful for policy learning. This distinction is central: calibrated v3.5 is valuable as a physical reference and transfer prior, but direct PPO training on v3.5 fails in live BOPTEST. The result therefore refines the physics-informed modeling literature by identifying the functional role of physics, not merely its presence or absence.</w:t>
      </w:r>
    </w:p>
    <w:p w14:paraId="701109EF">
      <w:pPr>
        <w:pStyle w:val="3"/>
      </w:pPr>
      <w:r>
        <w:t>2.4 Predictive information, distribution shift, and surrogate-to-simulator gap</w:t>
      </w:r>
    </w:p>
    <w:p w14:paraId="5935DBEF">
      <w:pPr/>
      <w:r>
        <w:t>Predictive information can improve HVAC-RL when it is injected into the controller in an appropriate form. Gao et al. [18] show that recurrent predictive information improves DRL operation in an office-building HVAC case study. Counterfactual and model-based RL approaches similarly argue that learned building models can improve data efficiency by generating informative imagined transitions [15]. These studies support the general idea that future information and learned models are useful for control.</w:t>
      </w:r>
    </w:p>
    <w:p w14:paraId="45F136BF">
      <w:pPr/>
      <w:r>
        <w:t>The unresolved issue is distribution shift. Offline-RL surveys show that policies trained on fixed data or learned models can degrade when they induce out-of-distribution actions and states [27]. In surrogate-based HVAC-RL, the analogous failure is the surrogate-to-simulator gap: a policy can appear feasible in a learned model and fail after deployment in BOPTEST. This differs from ordinary prediction error because the policy changes the state distribution during training. The present paper makes this gap measurable by comparing offline rollout fidelity, surrogate-trained policy behavior, and live BOPTEST closed-loop performance under the same control interface.</w:t>
      </w:r>
    </w:p>
    <w:p w14:paraId="4FC92235">
      <w:pPr>
        <w:pStyle w:val="3"/>
      </w:pPr>
      <w:r>
        <w:t>2.5 Safety-aware and physics-regularized RL</w:t>
      </w:r>
    </w:p>
    <w:p w14:paraId="6126B080">
      <w:pPr/>
      <w:r>
        <w:t>A second way to introduce engineering knowledge is to constrain or regularize the controller. Wang et al. [19] combine DRL with an MPC-style safety layer to keep actions within reliable operational envelopes, while Hedayat et al. [20] embed thermodynamic feasibility into a continuous-control actor-critic framework. Reinforced MPC [7] and broader optimal-control comparisons [2,6] also show that combining prediction, optimization, and learning can be more robust than treating RL as a fully unconstrained black box.</w:t>
      </w:r>
    </w:p>
    <w:p w14:paraId="3718ECDB">
      <w:pPr/>
      <w:r>
        <w:t>The hybrid backend studied here is intentionally weaker than a hard safety filter. The calibrated v3.5 model does not project actions and is not used at deployment time. It remains frozen during PPO training and contributes only a soft disagreement penalty against the control-oriented v3 rollout model. This design isolates a narrower scientific question: whether a physically calibrated twin is most useful as the rollout dynamics, as a direct safety mechanism, or as a soft regularizer. The negative controls in Block 2 show that direct v3.5 rollout and v3.5 warm-start fail, whereas the v3/v3.5 hybrid succeeds for thermostatic PPO.</w:t>
      </w:r>
    </w:p>
    <w:p w14:paraId="009D0706">
      <w:pPr>
        <w:pStyle w:val="3"/>
      </w:pPr>
      <w:r>
        <w:t>2.6 Multi-objective and hierarchical HVAC control</w:t>
      </w:r>
    </w:p>
    <w:p w14:paraId="1611514B">
      <w:pPr/>
      <w:r>
        <w:t>HVAC operation is intrinsically multi-objective because thermal comfort, energy use, safety margins, air quality, equipment smoothness, and policy robustness cannot be reduced to a single physical quantity without loss of information. Roijers et al. [22] provide the general sequential-decision framework for scalarization and Pareto analysis. In HVAC, Liao et al. [21] operationalize this idea through hierarchical DRL and multi-objective rewards, while recent residential and low-level HVAC studies [28,29] show that controller structure and action representation can dominate the observed trade-off.</w:t>
      </w:r>
    </w:p>
    <w:p w14:paraId="2AA44667">
      <w:pPr/>
      <w:r>
        <w:t>This paper uses MORL not as a single best-policy search but as an uncertainty-aware Pareto audit. Block 2 evaluates scalarized preference points, then extends two canonical points to N=5 seeds. The pre-registered extension falsifies an apparent N=3 seasonal action-saturation pattern. This matters methodologically: HVAC Pareto fronts inferred from one seed or one seasonal pattern can be unstable, and comfort-energy claims should be reported with seed variance rather than as deterministic policy signatures.</w:t>
      </w:r>
    </w:p>
    <w:p w14:paraId="581ADE55">
      <w:pPr>
        <w:pStyle w:val="3"/>
      </w:pPr>
      <w:r>
        <w:t>2.7 Transfer learning and cross-testcase generalization</w:t>
      </w:r>
    </w:p>
    <w:p w14:paraId="60FD1E5E">
      <w:pPr>
        <w:spacing w:after="160"/>
        <w:jc w:val="both"/>
        <w:rPr>
          <w:rFonts w:ascii="Arial" w:hAnsi="Arial" w:eastAsia="Arial" w:cs="Arial"/>
          <w:b w:val="0"/>
          <w:bCs w:val="0"/>
          <w:i w:val="0"/>
          <w:iCs w:val="0"/>
          <w:sz w:val="22"/>
          <w:szCs w:val="22"/>
        </w:rPr>
      </w:pPr>
      <w:r>
        <w:t>Transfer learning is a major route toward scalable HVAC-RL. Earlier thermal-dynamics transfer work [9] and building-control transfer studies [10] show that learned representations or controllers can sometimes be reused across buildings. More recent work includes online transfer learning in a real office building [23], multi-source transfer for DRL deployment in multi-zone HVAC [24], pretraining and fine-tuning across HVAC simulation environments [25], heterogeneous transfer across integrated energy systems [26], and continual-transfer formulations for HVAC control [14].</w:t>
      </w:r>
    </w:p>
    <w:p w14:paraId="18D3F8B9">
      <w:pPr>
        <w:rPr>
          <w:rFonts w:ascii="Arial" w:hAnsi="Arial" w:eastAsia="Arial" w:cs="Arial"/>
          <w:b w:val="0"/>
          <w:bCs w:val="0"/>
          <w:i w:val="0"/>
          <w:iCs w:val="0"/>
          <w:sz w:val="22"/>
          <w:szCs w:val="22"/>
        </w:rPr>
      </w:pPr>
      <w:r>
        <w:t>Most of these studies allow target-side controller adaptation. Block 3 deliberately asks a stricter question: which part of the source recipe transfers when the controller remains frozen? The target hydronic experiments therefore separate surrogate-side recalibration from controller-side deployment. Full Stage A/B/C recalibration tests whether the physical surrogate pipeline transfers to the new testcase; the frozen-controller evaluation tests whether the bestest_air policy remains deployment-ready through an actuator adapter. This component-level separation is the main distinction from standard fine-tuning-based transfer learning.</w:t>
      </w:r>
    </w:p>
    <w:p w14:paraId="761C2B2F">
      <w:pPr>
        <w:pStyle w:val="3"/>
        <w:spacing w:after="160"/>
        <w:jc w:val="both"/>
        <w:rPr>
          <w:rFonts w:ascii="Arial" w:hAnsi="Arial" w:eastAsia="Arial" w:cs="Arial"/>
          <w:b w:val="0"/>
          <w:bCs w:val="0"/>
          <w:i w:val="0"/>
          <w:iCs w:val="0"/>
          <w:sz w:val="22"/>
          <w:szCs w:val="22"/>
        </w:rPr>
      </w:pPr>
      <w:r>
        <w:t>2.8 Benchmark environments and runtime feasibility</w:t>
      </w:r>
    </w:p>
    <w:p w14:paraId="18442F69">
      <w:pPr>
        <w:spacing w:after="160"/>
        <w:jc w:val="both"/>
      </w:pPr>
      <w:r>
        <w:t>Credible HVAC-control evaluation requires a reproducible benchmark layer. BOPTEST provides containerized building emulators, overwriteable control points, baseline controllers, and standardized KPI reporting through a common API [4,5]. It builds on the broader building-simulation ecosystem, including EnergyPlus whole-building simulation [31] and Modelica-based building libraries for coupled envelope, HVAC, airflow, and control modeling [32]. In this paper, BOPTEST RTE is the authoritative closed-loop evaluator; surrogate models are training artifacts, not replacements for live benchmark validation.</w:t>
      </w:r>
    </w:p>
    <w:p w14:paraId="6D02EDC3">
      <w:pPr>
        <w:spacing w:after="160"/>
        <w:jc w:val="both"/>
        <w:rPr>
          <w:rFonts w:ascii="Arial" w:hAnsi="Arial" w:eastAsia="Arial" w:cs="Arial"/>
          <w:b w:val="0"/>
          <w:bCs w:val="0"/>
          <w:i w:val="0"/>
          <w:iCs w:val="0"/>
          <w:sz w:val="22"/>
          <w:szCs w:val="22"/>
        </w:rPr>
      </w:pPr>
      <w:r>
        <w:t>Runtime feasibility is also an engineering constraint. PPO-scale training requires millions of environment steps, while HTTP-mediated BOPTEST stepping is too slow for repeated experiments. A useful surrogate backend must therefore satisfy three conditions simultaneously: predictive fidelity, control utility, and enough throughput for policy optimization. The hybrid backend is slower than v3 or v3.5 alone because it evaluates both models, but it remains fast enough for single-CPU PPO training while preserving live BOPTEST as the final deployment test.</w:t>
      </w:r>
    </w:p>
    <w:p w14:paraId="19A0D3E2">
      <w:pPr>
        <w:pStyle w:val="3"/>
      </w:pPr>
      <w:r>
        <w:t>2.9 Research gap and positioning of this paper</w:t>
      </w:r>
    </w:p>
    <w:p w14:paraId="68E91E0D">
      <w:pPr/>
      <w:r>
        <w:t>The reviewed literature leaves three connected gaps. First, surrogate-model studies often stop at predictive metrics, while DRL-control studies often report controller KPIs without auditing the learned training environment that produced the policy. Second, physics-informed learning is frequently presented as beneficial, but the best functional role of physics in HVAC-RL--rollout dynamics, safety filter, regularizer, or transfer prior--is rarely isolated experimentally. Third, transfer-learning studies usually include target-side controller adaptation, which makes it difficult to identify whether the surrogate, the controller, or the actuator interface is the limiting component.</w:t>
      </w:r>
    </w:p>
    <w:p>
      <w:pPr/>
      <w:r>
        <w:t>This paper addresses these gaps through a single BOPTEST-anchored workflow. Block 1 validates surrogate fidelity and decomposes data-resolution effects from Stage A/B/C calibration. Block 2 tests whether surrogate fidelity translates into PPO, HDRL, and MORL control utility. Block 3 pre-registers a transferability experiment that separates full surrogate recalibration from frozen-controller deployment on hydronic-family target testcases. The contribution is therefore a component-level engineering audit showing when predictive fidelity, RL training utility, and transferability agree and when they diverge.</w:t>
      </w:r>
    </w:p>
    <w:p w14:paraId="56C60D96">
      <w:pPr>
        <w:pStyle w:val="2"/>
      </w:pPr>
      <w:r>
        <w:t>3. Methodology</w:t>
      </w:r>
    </w:p>
    <w:p w14:paraId="0BCD4BE0">
      <w:pPr>
        <w:pStyle w:val="3"/>
      </w:pPr>
      <w:r>
        <w:t>3.1 Reference environment</w:t>
      </w:r>
    </w:p>
    <w:p w14:paraId="1121F0DC">
      <w:pPr>
        <w:rPr>
          <w:rFonts w:hint="default"/>
          <w:lang w:val="kk-KZ"/>
        </w:rPr>
      </w:pPr>
      <w:r>
        <w:t>The reference source environment is BOPTEST RTE 1.0.0-dev on the single-zone bestest_air testcase. The controlled variables are supply-temperature and fan/intensity-style commands exposed through the project wrappers; the exogenous disturbances are weather, ambient-temperature forecasts, calendar/time features, occupancy-related variables, and simulator-provided load responses. All control experiments use a 900 s step and the comfort band [21, 24] C. The live BOPTEST transition is treated as the authoritative physical environment; all surrogates are intermediate training or diagnostic artifacts whose controller value must be checked by live BOPTEST evaluation.</w:t>
      </w:r>
      <w:r>
        <w:rPr>
          <w:rFonts w:hint="default"/>
          <w:lang w:val="kk-KZ"/>
        </w:rPr>
        <w:t xml:space="preserve"> </w:t>
      </w:r>
      <w:bookmarkStart w:id="0" w:name="_GoBack"/>
      <w:bookmarkEnd w:id="0"/>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3.2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3.3 Surrogate model design</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4"/>
      </w:pPr>
      <w:r>
        <w:t>3.3.1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4"/>
      </w:pPr>
      <w:r>
        <w:t>3.3.2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4"/>
      </w:pPr>
      <w:r>
        <w:t>3.3.3 Hybrid surrogate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3.4 DRL controller</w:t>
      </w:r>
    </w:p>
    <w:p w14:paraId="262A9FBD">
      <w:r>
        <w:t>The principal DRL algorithm is PPO with multilayer perceptron policy/value networks, gamma=0.99, clip range 0.2, GAE lambda 0.95, and controller-family-specific rollout/minibatch choices reported in the experimental setup. Thermostatic PPO is the main source-case controller; HDRL tests whether the same regularization logic survives a hierarchical action representation; MORL tests comfort-energy scalarization under preference vectors and seed-sensitive training. This separation is important because Block 2 shows that the same surrogate backend does not imply the same optimal regularization across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3.5 Evaluation protocol and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p>
    <w:p w14:paraId="78F2F264">
      <w:r>
        <w:t>5.1.1 Engineering metric definitions</w:t>
      </w:r>
    </w:p>
    <w:p w14:paraId="3498BFB3">
      <w:r>
        <w:t>The Block 1 validation metrics are defined on recursive rollout trajectories rather than only on one-step supervised predictions. For a horizon h and N evaluated samples, the temperature rollout error is e_T,i(h) = T_hat_i(t+h) - T_i(t+h), and the reported horizon error is RMSE_T(h) = sqrt((1/N) sum_i e_T,i(h)^2). Figure 3 therefore measures accumulated closed-loop prediction error over 1 h, 4 h, 8 h, and 24 h horizons.</w:t>
      </w:r>
    </w:p>
    <w:p w14:paraId="2C8A274C">
      <w:r>
        <w:t>The residual-distribution diagnostic in Figure 4 uses the signed residual e_T = T_hat - T_BOPTEST and the absolute-error empirical CDF F_abs(epsilon) = P(|e_T| &lt;= epsilon). The vertical engineering tolerances epsilon = 0.5, 1.0, and 1.5 C convert a statistical error distribution into a directly interpretable HVAC tolerance statement: they report what fraction of predictions stay within each temperature-error band.</w:t>
      </w:r>
    </w:p>
    <w:p w14:paraId="7633202D">
      <w:r>
        <w:t>The live-control utility comparison is deliberately separate from predictive RMSE. We define a live-utility gap for a training backend b as G_RL(b) = RMSE_live,T(b) - RMSE_rollout,T(b). A small or negative predictive RMSE alone is not sufficient; the backend is useful only if the learned policy also remains stable when transferred to the BOPTEST RTE.</w:t>
      </w:r>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14:paraId="032A942F">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14:paraId="343B3257">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14:paraId="4CCCB032">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14:paraId="63B63F40">
      <w:r>
        <w:t>The physical-parameter update can be written as eta_C = (C_zon,final - C_zon,prior) / C_zon,prior. With C_zon,prior = 4.200e5 J/K and C_zon,final = 4.413e5 J/K, eta_C = 0.0507, i.e. approximately 5.1%. This bounded update is important: it is large enough to demonstrate data-driven identification, but small enough to keep the calibrated twin physically plausible.</w:t>
      </w:r>
    </w:p>
    <w:p w14:paraId="27E740A1">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14:paraId="658A9EC4">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085788E0">
      <w:r>
        <w:t>Numerically, the total apparent 24 h gain from legacy v3 to calibrated v3.5 is Delta_total = 1.557 - 0.644 = 0.913 C. The corpus-resolution term is Delta_corpus = 1.557 - 0.876 = 0.681 C, while the calibrated-physics term is Delta_cal = 0.876 - 0.644 = 0.232 C. The attribution ratios are Delta_corpus / Delta_total = 74.6% and Delta_cal / Delta_total = 25.4%. This is why the paper describes Stage A/B/C as a real but bounded calibration contribution rather than the sole source of the 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14:paraId="4AF84279">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14:paraId="3BD73275">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14:paraId="3D2FEB71">
      <w:r>
        <w:t>The resulting hybrid reward can be summarized as r_hybrid = r_comfort + r_smooth + r_energy - lambda_T |T_v3 - T_v35| - lambda_P |P_v3 - P_v35|. This expression makes the engineering role separation explicit: the policy state transition is still generated by v3, while v3.5 contributes a physical consistency cost but does not define the rollout dynamics.</w:t>
      </w:r>
    </w:p>
    <w:p w14:paraId="3393FA6C">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14:paraId="7AC351A0">
      <w:r>
        <w:t>5.5 Block 1 conclusion</w:t>
      </w:r>
    </w:p>
    <w:p w14:paraId="3970BE99">
      <w:r>
        <w:t>Block 1 closes with a deliberately asymmetric conclusion. As a predictive digital twin, calibrated v3.5 is supported: Stage A/B/C reduces 24 h rollout RMSE_T from 1.466 C to 0.644 C, reduces power MAE from 810 W to 482 W, and identifies a physically plausible C_zon = 4.413e5 J/K. The residual distribution, error CDF, and Stage-B convergence diagnostics show that this is not a single-metric artifact.</w:t>
      </w:r>
    </w:p>
    <w:p w14:paraId="23421108">
      <w:r>
        <w:t>As a direct RL rollout environment, however, calibrated v3.5 is rejected. PPO trained directly on v3.5 enters saturated action regimes and fails live BOPTEST validation despite the model's stronger offline predictive fidelity. This falsifies the simple assumption that the most accurate surrogate is automatically the best policy-training environment.</w:t>
      </w:r>
    </w:p>
    <w:p w14:paraId="658DEEAE">
      <w:r>
        <w:t>The constructive outcome is role separation. The v3 surrogate remains the rollout backend because it provides smooth and computationally cheap dynamics for PPO; calibrated v3.5 is retained as a frozen physical teacher through disagreement regularization. This conclusion is the dependency passed to Block 2: controller validation must test the hybrid role assignment, not merely compare surrogate RMSE values.</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185596D8">
      <w:r>
        <w:t>A low RMSE or high R2 score is therefore a necessary but insufficient condition for control-oriented surrogate validation. RMSE averages prediction error under a fixed evaluation distribution; PPO training depends on the geometry of transitions under policy-induced states. What matters for control is whether the surrogate preserves decision-relevant gradients, actuator response curvature, comfort-boundary behavior, and recovery dynamics after wrong actions. This is why direct v3.5 can be a better predictor and a worse training environment at the same time.</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34374F5B">
      <w:r>
        <w:t>The hybrid surrogate transfers better than direct v3.5 because it separates roles. v3 provides smooth, policy-friendly rollout dynamics, while the calibrated v3.5 twin constrains the policy through a disagreement penalty that discourages physically implausible regions. This soft-regularizer role reduces drift without forcing PPO to optimize inside the stiff or poorly exploitable parts of the physical surrogate. The Block 3 hydronic results extend this interpretation: the inverse-calibration component transfers, but the frozen controller does not become deployment-ready without target-specific adaptation.</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first-divergence horizon, and pre-registration discipline</w:t>
      </w:r>
    </w:p>
    <w:p w14:paraId="59400047">
      <w:r>
        <w:t>The first-divergence diagnostics also caution against interpreting short-horizon agreement as full simulator replacement. In several transfer-gap traces, the early steps can match BOPTEST closely before the surrogate and live trajectories diverge under accumulated policy-induced error. The first 16 control steps, roughly four hours at the 900 s step, are therefore an important engineering horizon: agreement over that window supports local rollout usefulness, but not unlimited closed-loop substitutability. The paper consequently treats BOPTEST as the final live evaluator throughout.</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13F9A253">
      <w:r>
        <w:t>The main limitations are scope-related rather than hidden implementation assumptions. The source controller is trained on one source building, one weather file family, one primary action interface, and PPO-style policy optimization. MORL is extended to N=5 only for the two canonical preference vectors, not for every Pareto point. Block 3 tests three related hydronic-family targets, not arbitrary multi-zone buildings or different climates. These limits bound the claim: the paper demonstrates a reproducible fidelity-utility-transfer audit and identifies a controller-adapter transfer boundary; it does not claim universal building generalization.</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556C6BE2">
      <w:r>
        <w:t>This study demonstrates that predictive fidelity alone is not a sufficient criterion for selecting surrogate models in DRL-based HVAC control. Calibrated v3.5 reduces 24 h rollout RMSE to approximately 0.644 C and identifies a physically interpretable C_zon, but direct v3.5 PPO fails live BOPTEST control with violation rates above 77%. The role-separated hybrid backend resolves this mismatch for thermostatic PPO by using v3 as the rollout model and frozen v3.5 as a soft disagreement regularizer, reaching m_s=0.087 on the peak window and m_s=0.041 on the typical window. MORL further shows that observation design and seed stability are decisive: the 5D interface fails, the 17D interface succeeds, but N=5 canonical runs remain high-variance. Finally, Block 3 shows that full Stage A/B/C surrogate recalibration transfers to three hydronic-family testcases with 60-88% RMSE improvement and C_zon ratios clustered at 1.918 +/- 0.032x bestest_air, while frozen-controller transfer is not deployment-ready. The engineering conclusion is that HVAC surrogates must be validated as predictors, training environments, and transfer objects separately.</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p>
      <w:pPr/>
      <w:r>
        <w:t>[30] Chen RTQ, Rubanova Y, Bettencourt J, Duvenaud DK. Neural ordinary differential equations. Advances in Neural Information Processing Systems 31 (NeurIPS 2018); 2018:6572-6583.</w:t>
      </w:r>
    </w:p>
    <w:p>
      <w:pPr/>
      <w:r>
        <w:t>[31] Crawley DB, Lawrie LK, Winkelmann FC, Buhl WF, Huang YJ, Pedersen CO, Strand RK, Liesen RJ, Fisher DE, Witte MJ, Glazer J. EnergyPlus: creating a new-generation building energy simulation program. Energy and Buildings. 2001;33(4):319-331.</w:t>
      </w:r>
    </w:p>
    <w:p>
      <w:pPr/>
      <w:r>
        <w:t>[32] Wetter M, Zuo W, Nouidui TS, Pang X. Modelica Buildings library. Journal of Building Performance Simulation. 2014;7(4):253-270.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 w:val="672862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11106</Words>
  <Characters>69629</Characters>
  <Lines>0</Lines>
  <Paragraphs>0</Paragraphs>
  <TotalTime>9</TotalTime>
  <ScaleCrop>false</ScaleCrop>
  <LinksUpToDate>false</LinksUpToDate>
  <CharactersWithSpaces>80249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2026-06-02T12:41:35Z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