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CBE">
      <w:pPr>
        <w:jc w:val="center"/>
        <w:rPr>
          <w:sz w:val="36"/>
          <w:szCs w:val="36"/>
        </w:rPr>
      </w:pPr>
      <w:r>
        <w:rPr>
          <w:sz w:val="36"/>
          <w:szCs w:val="36"/>
        </w:rPr>
        <w:t>Deep Reinforcement Learning for Energy-Efficient Consumption Management in Smart Buildings</w:t>
      </w:r>
    </w:p>
    <w:p w14:paraId="1F1B93C5">
      <w:pPr>
        <w:jc w:val="center"/>
        <w:rPr>
          <w:sz w:val="36"/>
          <w:szCs w:val="36"/>
        </w:rPr>
      </w:pPr>
      <w:r>
        <w:rPr>
          <w:b/>
          <w:sz w:val="36"/>
          <w:szCs w:val="36"/>
        </w:rPr>
        <w:t>A Calibrated Physical Twin as Soft Regularizer for HVAC Control</w:t>
      </w:r>
    </w:p>
    <w:p w14:paraId="29C64EE4">
      <w:pPr>
        <w:pStyle w:val="2"/>
      </w:pPr>
      <w:r>
        <w:t>Abstract</w:t>
      </w:r>
    </w:p>
    <w:p w14:paraId="20605129">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14:paraId="032D4A60">
      <w:r>
        <w:rPr>
          <w:i/>
        </w:rPr>
        <w:t>Keywords: HVAC control; deep reinforcement learning; digital twin; physics-informed machine learning; BOPTEST; multi-objective reinforcement learning.</w:t>
      </w:r>
    </w:p>
    <w:p w14:paraId="1D360FDA">
      <w:pPr>
        <w:pStyle w:val="2"/>
      </w:pPr>
      <w:r>
        <w:t>1. Introduction</w:t>
      </w:r>
    </w:p>
    <w:p w14:paraId="031046B5">
      <w:pPr>
        <w:pStyle w:val="3"/>
      </w:pPr>
      <w:r>
        <w:rPr>
          <w:rFonts w:hint="default"/>
          <w:lang w:val="en-US"/>
        </w:rPr>
        <w:t xml:space="preserve">1.1 </w:t>
      </w:r>
      <w:r>
        <w:t>Motivation</w:t>
      </w:r>
    </w:p>
    <w:p w14:paraId="668CBEE2">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14:paraId="62FF2C05">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14:paraId="525064A5">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14:paraId="61D022F2">
      <w:pPr>
        <w:pStyle w:val="3"/>
      </w:pPr>
      <w:r>
        <w:rPr>
          <w:rFonts w:hint="default"/>
          <w:lang w:val="en-US"/>
        </w:rPr>
        <w:t xml:space="preserve">1.2 </w:t>
      </w:r>
      <w:r>
        <w:t>Gap</w:t>
      </w:r>
    </w:p>
    <w:p w14:paraId="241A1E97">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14:paraId="4430214C">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14:paraId="13379A91">
      <w:pPr>
        <w:pStyle w:val="3"/>
      </w:pPr>
      <w:r>
        <w:rPr>
          <w:rFonts w:hint="default"/>
          <w:lang w:val="en-US"/>
        </w:rPr>
        <w:t xml:space="preserve">1.3 </w:t>
      </w:r>
      <w:r>
        <w:t>Hypothesis and study design</w:t>
      </w:r>
    </w:p>
    <w:p w14:paraId="6DBA19EA">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14:paraId="768D7C13">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14:paraId="751B53E5">
      <w:pPr>
        <w:pStyle w:val="3"/>
      </w:pPr>
      <w:r>
        <w:rPr>
          <w:rFonts w:hint="default"/>
          <w:lang w:val="en-US"/>
        </w:rPr>
        <w:t xml:space="preserve">1.4 </w:t>
      </w:r>
      <w:r>
        <w:t>Contribution and results summary</w:t>
      </w:r>
    </w:p>
    <w:p w14:paraId="39DD2B2D">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14:paraId="714CBB13">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14:paraId="15861E7D">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14:paraId="5E8C5FD6">
      <w:pPr>
        <w:pStyle w:val="3"/>
      </w:pPr>
      <w:r>
        <w:t>Contributions</w:t>
      </w:r>
    </w:p>
    <w:p w14:paraId="76DA3D64">
      <w:r>
        <w:t>1. A comfort-oriented v3 surrogate for direct supply-temperature control and RL rollout generation.</w:t>
      </w:r>
    </w:p>
    <w:p w14:paraId="6F7C4504">
      <w:r>
        <w:t>2. A physically informed v3.5 grey-box surrogate with explicit C_zon identified through Stage A/B/C inverse calibration.</w:t>
      </w:r>
    </w:p>
    <w:p w14:paraId="62DB9DEE">
      <w:r>
        <w:t>3. A hybrid backend where v3 supplies the smooth RL dynamics and calibrated v3.5 acts as a frozen physical disagreement regularizer.</w:t>
      </w:r>
    </w:p>
    <w:p w14:paraId="2D3CB710">
      <w:r>
        <w:t>4. Controller-family-specific evidence: lambda_temp=0.10 for thermostatic PPO, lambda_temp=0.00 for HDRL and 17D MORL.</w:t>
      </w:r>
    </w:p>
    <w:p w14:paraId="47C9DE28">
      <w:r>
        <w:t>5. A pre-registered transferability analysis across three hydronic BOPTEST testcases, showing uniform surrogate-side transfer under full Stage A/B/C recalibration and regime-dependent frozen-controller transfer.</w:t>
      </w:r>
    </w:p>
    <w:p w14:paraId="475FFDB6">
      <w:r>
        <w:t>6. A reproducible Hou-and-Evins-style numerical audit with S1-S11 supplementary tables and real-data figures.</w:t>
      </w:r>
    </w:p>
    <w:p w14:paraId="57FF8EF2">
      <w:pPr>
        <w:pStyle w:val="2"/>
      </w:pPr>
      <w:r>
        <w:t>2. Related Work</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050"/>
        <w:gridCol w:w="1100"/>
        <w:gridCol w:w="1150"/>
        <w:gridCol w:w="1050"/>
        <w:gridCol w:w="1050"/>
        <w:gridCol w:w="1300"/>
        <w:gridCol w:w="2660"/>
      </w:tblGrid>
      <w:tr w14:paraId="2EB307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shd w:val="clear" w:color="auto" w:fill="EAF2F8"/>
            <w:tcMar>
              <w:top w:w="80" w:type="dxa"/>
              <w:left w:w="90" w:type="dxa"/>
              <w:bottom w:w="80" w:type="dxa"/>
              <w:right w:w="90" w:type="dxa"/>
            </w:tcMar>
          </w:tcPr>
          <w:p w14:paraId="74189AB7">
            <w:r>
              <w:rPr>
                <w:b/>
                <w:sz w:val="10"/>
              </w:rPr>
              <w:t>Reference</w:t>
            </w:r>
          </w:p>
        </w:tc>
        <w:tc>
          <w:tcPr>
            <w:tcW w:w="1050" w:type="dxa"/>
            <w:shd w:val="clear" w:color="auto" w:fill="EAF2F8"/>
            <w:tcMar>
              <w:top w:w="80" w:type="dxa"/>
              <w:left w:w="90" w:type="dxa"/>
              <w:bottom w:w="80" w:type="dxa"/>
              <w:right w:w="90" w:type="dxa"/>
            </w:tcMar>
          </w:tcPr>
          <w:p w14:paraId="7C4A8377">
            <w:r>
              <w:rPr>
                <w:b/>
                <w:sz w:val="10"/>
              </w:rPr>
              <w:t>Domain</w:t>
            </w:r>
          </w:p>
        </w:tc>
        <w:tc>
          <w:tcPr>
            <w:tcW w:w="1100" w:type="dxa"/>
            <w:shd w:val="clear" w:color="auto" w:fill="EAF2F8"/>
            <w:tcMar>
              <w:top w:w="80" w:type="dxa"/>
              <w:left w:w="90" w:type="dxa"/>
              <w:bottom w:w="80" w:type="dxa"/>
              <w:right w:w="90" w:type="dxa"/>
            </w:tcMar>
          </w:tcPr>
          <w:p w14:paraId="59E9CFD0">
            <w:r>
              <w:rPr>
                <w:b/>
                <w:sz w:val="10"/>
              </w:rPr>
              <w:t>Method</w:t>
            </w:r>
          </w:p>
        </w:tc>
        <w:tc>
          <w:tcPr>
            <w:tcW w:w="1150" w:type="dxa"/>
            <w:shd w:val="clear" w:color="auto" w:fill="EAF2F8"/>
            <w:tcMar>
              <w:top w:w="80" w:type="dxa"/>
              <w:left w:w="90" w:type="dxa"/>
              <w:bottom w:w="80" w:type="dxa"/>
              <w:right w:w="90" w:type="dxa"/>
            </w:tcMar>
          </w:tcPr>
          <w:p w14:paraId="5776F499">
            <w:r>
              <w:rPr>
                <w:b/>
                <w:sz w:val="10"/>
              </w:rPr>
              <w:t>Training env.</w:t>
            </w:r>
          </w:p>
        </w:tc>
        <w:tc>
          <w:tcPr>
            <w:tcW w:w="1050" w:type="dxa"/>
            <w:shd w:val="clear" w:color="auto" w:fill="EAF2F8"/>
            <w:tcMar>
              <w:top w:w="80" w:type="dxa"/>
              <w:left w:w="90" w:type="dxa"/>
              <w:bottom w:w="80" w:type="dxa"/>
              <w:right w:w="90" w:type="dxa"/>
            </w:tcMar>
          </w:tcPr>
          <w:p w14:paraId="568D3F2C">
            <w:r>
              <w:rPr>
                <w:b/>
                <w:sz w:val="10"/>
              </w:rPr>
              <w:t>Model type</w:t>
            </w:r>
          </w:p>
        </w:tc>
        <w:tc>
          <w:tcPr>
            <w:tcW w:w="1050" w:type="dxa"/>
            <w:shd w:val="clear" w:color="auto" w:fill="EAF2F8"/>
            <w:tcMar>
              <w:top w:w="80" w:type="dxa"/>
              <w:left w:w="90" w:type="dxa"/>
              <w:bottom w:w="80" w:type="dxa"/>
              <w:right w:w="90" w:type="dxa"/>
            </w:tcMar>
          </w:tcPr>
          <w:p w14:paraId="35A5E83A">
            <w:r>
              <w:rPr>
                <w:b/>
                <w:sz w:val="10"/>
              </w:rPr>
              <w:t>Objective</w:t>
            </w:r>
          </w:p>
        </w:tc>
        <w:tc>
          <w:tcPr>
            <w:tcW w:w="1300" w:type="dxa"/>
            <w:shd w:val="clear" w:color="auto" w:fill="EAF2F8"/>
            <w:tcMar>
              <w:top w:w="80" w:type="dxa"/>
              <w:left w:w="90" w:type="dxa"/>
              <w:bottom w:w="80" w:type="dxa"/>
              <w:right w:w="90" w:type="dxa"/>
            </w:tcMar>
          </w:tcPr>
          <w:p w14:paraId="5EDD3FAB">
            <w:r>
              <w:rPr>
                <w:b/>
                <w:sz w:val="10"/>
              </w:rPr>
              <w:t>Key limitation</w:t>
            </w:r>
          </w:p>
        </w:tc>
        <w:tc>
          <w:tcPr>
            <w:tcW w:w="2660" w:type="dxa"/>
            <w:shd w:val="clear" w:color="auto" w:fill="EAF2F8"/>
            <w:tcMar>
              <w:top w:w="80" w:type="dxa"/>
              <w:left w:w="90" w:type="dxa"/>
              <w:bottom w:w="80" w:type="dxa"/>
              <w:right w:w="90" w:type="dxa"/>
            </w:tcMar>
          </w:tcPr>
          <w:p w14:paraId="717656D6">
            <w:r>
              <w:rPr>
                <w:b/>
                <w:sz w:val="10"/>
              </w:rPr>
              <w:t>How this paper differs</w:t>
            </w:r>
          </w:p>
        </w:tc>
      </w:tr>
      <w:tr w14:paraId="4012FD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6C3F5501">
            <w:r>
              <w:rPr>
                <w:sz w:val="10"/>
              </w:rPr>
              <w:t>Hou &amp; Evins [17]</w:t>
            </w:r>
          </w:p>
        </w:tc>
        <w:tc>
          <w:tcPr>
            <w:tcW w:w="1050" w:type="dxa"/>
            <w:tcMar>
              <w:top w:w="80" w:type="dxa"/>
              <w:left w:w="90" w:type="dxa"/>
              <w:bottom w:w="80" w:type="dxa"/>
              <w:right w:w="90" w:type="dxa"/>
            </w:tcMar>
          </w:tcPr>
          <w:p w14:paraId="35CB600B">
            <w:r>
              <w:rPr>
                <w:sz w:val="10"/>
              </w:rPr>
              <w:t>Surrogate validation</w:t>
            </w:r>
          </w:p>
        </w:tc>
        <w:tc>
          <w:tcPr>
            <w:tcW w:w="1100" w:type="dxa"/>
            <w:tcMar>
              <w:top w:w="80" w:type="dxa"/>
              <w:left w:w="90" w:type="dxa"/>
              <w:bottom w:w="80" w:type="dxa"/>
              <w:right w:w="90" w:type="dxa"/>
            </w:tcMar>
          </w:tcPr>
          <w:p w14:paraId="4201DBBB">
            <w:r>
              <w:rPr>
                <w:sz w:val="10"/>
              </w:rPr>
              <w:t>Reporting protocol</w:t>
            </w:r>
          </w:p>
        </w:tc>
        <w:tc>
          <w:tcPr>
            <w:tcW w:w="1150" w:type="dxa"/>
            <w:tcMar>
              <w:top w:w="80" w:type="dxa"/>
              <w:left w:w="90" w:type="dxa"/>
              <w:bottom w:w="80" w:type="dxa"/>
              <w:right w:w="90" w:type="dxa"/>
            </w:tcMar>
          </w:tcPr>
          <w:p w14:paraId="26277ED4">
            <w:r>
              <w:rPr>
                <w:sz w:val="10"/>
              </w:rPr>
              <w:t>Offline traces</w:t>
            </w:r>
          </w:p>
        </w:tc>
        <w:tc>
          <w:tcPr>
            <w:tcW w:w="1050" w:type="dxa"/>
            <w:tcMar>
              <w:top w:w="80" w:type="dxa"/>
              <w:left w:w="90" w:type="dxa"/>
              <w:bottom w:w="80" w:type="dxa"/>
              <w:right w:w="90" w:type="dxa"/>
            </w:tcMar>
          </w:tcPr>
          <w:p w14:paraId="544E19A3">
            <w:r>
              <w:rPr>
                <w:sz w:val="10"/>
              </w:rPr>
              <w:t>NN surrogate</w:t>
            </w:r>
          </w:p>
        </w:tc>
        <w:tc>
          <w:tcPr>
            <w:tcW w:w="1050" w:type="dxa"/>
            <w:tcMar>
              <w:top w:w="80" w:type="dxa"/>
              <w:left w:w="90" w:type="dxa"/>
              <w:bottom w:w="80" w:type="dxa"/>
              <w:right w:w="90" w:type="dxa"/>
            </w:tcMar>
          </w:tcPr>
          <w:p w14:paraId="07C96FED">
            <w:r>
              <w:rPr>
                <w:sz w:val="10"/>
              </w:rPr>
              <w:t>Predictive validity</w:t>
            </w:r>
          </w:p>
        </w:tc>
        <w:tc>
          <w:tcPr>
            <w:tcW w:w="1300" w:type="dxa"/>
            <w:tcMar>
              <w:top w:w="80" w:type="dxa"/>
              <w:left w:w="90" w:type="dxa"/>
              <w:bottom w:w="80" w:type="dxa"/>
              <w:right w:w="90" w:type="dxa"/>
            </w:tcMar>
          </w:tcPr>
          <w:p w14:paraId="1E991FC8">
            <w:r>
              <w:rPr>
                <w:sz w:val="10"/>
              </w:rPr>
              <w:t>No RL utility test</w:t>
            </w:r>
          </w:p>
        </w:tc>
        <w:tc>
          <w:tcPr>
            <w:tcW w:w="2660" w:type="dxa"/>
            <w:tcMar>
              <w:top w:w="80" w:type="dxa"/>
              <w:left w:w="90" w:type="dxa"/>
              <w:bottom w:w="80" w:type="dxa"/>
              <w:right w:w="90" w:type="dxa"/>
            </w:tcMar>
          </w:tcPr>
          <w:p w14:paraId="787D32B5">
            <w:r>
              <w:rPr>
                <w:sz w:val="10"/>
              </w:rPr>
              <w:t>Extends protocol to closed-loop RL and transfer.</w:t>
            </w:r>
          </w:p>
        </w:tc>
      </w:tr>
      <w:tr w14:paraId="01A263B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5EBFC1E4">
            <w:r>
              <w:rPr>
                <w:sz w:val="10"/>
              </w:rPr>
              <w:t>Gao et al. [18]</w:t>
            </w:r>
          </w:p>
        </w:tc>
        <w:tc>
          <w:tcPr>
            <w:tcW w:w="1050" w:type="dxa"/>
            <w:tcMar>
              <w:top w:w="80" w:type="dxa"/>
              <w:left w:w="90" w:type="dxa"/>
              <w:bottom w:w="80" w:type="dxa"/>
              <w:right w:w="90" w:type="dxa"/>
            </w:tcMar>
          </w:tcPr>
          <w:p w14:paraId="0F61FC24">
            <w:r>
              <w:rPr>
                <w:sz w:val="10"/>
              </w:rPr>
              <w:t>HVAC DRL</w:t>
            </w:r>
          </w:p>
        </w:tc>
        <w:tc>
          <w:tcPr>
            <w:tcW w:w="1100" w:type="dxa"/>
            <w:tcMar>
              <w:top w:w="80" w:type="dxa"/>
              <w:left w:w="90" w:type="dxa"/>
              <w:bottom w:w="80" w:type="dxa"/>
              <w:right w:w="90" w:type="dxa"/>
            </w:tcMar>
          </w:tcPr>
          <w:p w14:paraId="7406E6F3">
            <w:r>
              <w:rPr>
                <w:sz w:val="10"/>
              </w:rPr>
              <w:t>Predictive information</w:t>
            </w:r>
          </w:p>
        </w:tc>
        <w:tc>
          <w:tcPr>
            <w:tcW w:w="1150" w:type="dxa"/>
            <w:tcMar>
              <w:top w:w="80" w:type="dxa"/>
              <w:left w:w="90" w:type="dxa"/>
              <w:bottom w:w="80" w:type="dxa"/>
              <w:right w:w="90" w:type="dxa"/>
            </w:tcMar>
          </w:tcPr>
          <w:p w14:paraId="30523BDB">
            <w:r>
              <w:rPr>
                <w:sz w:val="10"/>
              </w:rPr>
              <w:t>Simulation</w:t>
            </w:r>
          </w:p>
        </w:tc>
        <w:tc>
          <w:tcPr>
            <w:tcW w:w="1050" w:type="dxa"/>
            <w:tcMar>
              <w:top w:w="80" w:type="dxa"/>
              <w:left w:w="90" w:type="dxa"/>
              <w:bottom w:w="80" w:type="dxa"/>
              <w:right w:w="90" w:type="dxa"/>
            </w:tcMar>
          </w:tcPr>
          <w:p w14:paraId="171A9415">
            <w:r>
              <w:rPr>
                <w:sz w:val="10"/>
              </w:rPr>
              <w:t>GRU predictor</w:t>
            </w:r>
          </w:p>
        </w:tc>
        <w:tc>
          <w:tcPr>
            <w:tcW w:w="1050" w:type="dxa"/>
            <w:tcMar>
              <w:top w:w="80" w:type="dxa"/>
              <w:left w:w="90" w:type="dxa"/>
              <w:bottom w:w="80" w:type="dxa"/>
              <w:right w:w="90" w:type="dxa"/>
            </w:tcMar>
          </w:tcPr>
          <w:p w14:paraId="3868A479">
            <w:r>
              <w:rPr>
                <w:sz w:val="10"/>
              </w:rPr>
              <w:t>Comfort-energy</w:t>
            </w:r>
          </w:p>
        </w:tc>
        <w:tc>
          <w:tcPr>
            <w:tcW w:w="1300" w:type="dxa"/>
            <w:tcMar>
              <w:top w:w="80" w:type="dxa"/>
              <w:left w:w="90" w:type="dxa"/>
              <w:bottom w:w="80" w:type="dxa"/>
              <w:right w:w="90" w:type="dxa"/>
            </w:tcMar>
          </w:tcPr>
          <w:p w14:paraId="1B0D78DC">
            <w:r>
              <w:rPr>
                <w:sz w:val="10"/>
              </w:rPr>
              <w:t>Predictive signal assumed useful</w:t>
            </w:r>
          </w:p>
        </w:tc>
        <w:tc>
          <w:tcPr>
            <w:tcW w:w="2660" w:type="dxa"/>
            <w:tcMar>
              <w:top w:w="80" w:type="dxa"/>
              <w:left w:w="90" w:type="dxa"/>
              <w:bottom w:w="80" w:type="dxa"/>
              <w:right w:w="90" w:type="dxa"/>
            </w:tcMar>
          </w:tcPr>
          <w:p w14:paraId="32502229">
            <w:r>
              <w:rPr>
                <w:sz w:val="10"/>
              </w:rPr>
              <w:t>Shows predictive fidelity can hurt as rollout backend.</w:t>
            </w:r>
          </w:p>
        </w:tc>
      </w:tr>
      <w:tr w14:paraId="466DC92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E00A5F7">
            <w:r>
              <w:rPr>
                <w:sz w:val="10"/>
              </w:rPr>
              <w:t>Wang et al. [19]</w:t>
            </w:r>
          </w:p>
        </w:tc>
        <w:tc>
          <w:tcPr>
            <w:tcW w:w="1050" w:type="dxa"/>
            <w:tcMar>
              <w:top w:w="80" w:type="dxa"/>
              <w:left w:w="90" w:type="dxa"/>
              <w:bottom w:w="80" w:type="dxa"/>
              <w:right w:w="90" w:type="dxa"/>
            </w:tcMar>
          </w:tcPr>
          <w:p w14:paraId="2F1897F8">
            <w:r>
              <w:rPr>
                <w:sz w:val="10"/>
              </w:rPr>
              <w:t>Safe DRL</w:t>
            </w:r>
          </w:p>
        </w:tc>
        <w:tc>
          <w:tcPr>
            <w:tcW w:w="1100" w:type="dxa"/>
            <w:tcMar>
              <w:top w:w="80" w:type="dxa"/>
              <w:left w:w="90" w:type="dxa"/>
              <w:bottom w:w="80" w:type="dxa"/>
              <w:right w:w="90" w:type="dxa"/>
            </w:tcMar>
          </w:tcPr>
          <w:p w14:paraId="3DCC4E45">
            <w:r>
              <w:rPr>
                <w:sz w:val="10"/>
              </w:rPr>
              <w:t>MPC filter</w:t>
            </w:r>
          </w:p>
        </w:tc>
        <w:tc>
          <w:tcPr>
            <w:tcW w:w="1150" w:type="dxa"/>
            <w:tcMar>
              <w:top w:w="80" w:type="dxa"/>
              <w:left w:w="90" w:type="dxa"/>
              <w:bottom w:w="80" w:type="dxa"/>
              <w:right w:w="90" w:type="dxa"/>
            </w:tcMar>
          </w:tcPr>
          <w:p w14:paraId="43CCE8EF">
            <w:r>
              <w:rPr>
                <w:sz w:val="10"/>
              </w:rPr>
              <w:t>Control loop</w:t>
            </w:r>
          </w:p>
        </w:tc>
        <w:tc>
          <w:tcPr>
            <w:tcW w:w="1050" w:type="dxa"/>
            <w:tcMar>
              <w:top w:w="80" w:type="dxa"/>
              <w:left w:w="90" w:type="dxa"/>
              <w:bottom w:w="80" w:type="dxa"/>
              <w:right w:w="90" w:type="dxa"/>
            </w:tcMar>
          </w:tcPr>
          <w:p w14:paraId="6FE778F3">
            <w:r>
              <w:rPr>
                <w:sz w:val="10"/>
              </w:rPr>
              <w:t>Safety filter</w:t>
            </w:r>
          </w:p>
        </w:tc>
        <w:tc>
          <w:tcPr>
            <w:tcW w:w="1050" w:type="dxa"/>
            <w:tcMar>
              <w:top w:w="80" w:type="dxa"/>
              <w:left w:w="90" w:type="dxa"/>
              <w:bottom w:w="80" w:type="dxa"/>
              <w:right w:w="90" w:type="dxa"/>
            </w:tcMar>
          </w:tcPr>
          <w:p w14:paraId="2E40E03F">
            <w:r>
              <w:rPr>
                <w:sz w:val="10"/>
              </w:rPr>
              <w:t>Safe actions</w:t>
            </w:r>
          </w:p>
        </w:tc>
        <w:tc>
          <w:tcPr>
            <w:tcW w:w="1300" w:type="dxa"/>
            <w:tcMar>
              <w:top w:w="80" w:type="dxa"/>
              <w:left w:w="90" w:type="dxa"/>
              <w:bottom w:w="80" w:type="dxa"/>
              <w:right w:w="90" w:type="dxa"/>
            </w:tcMar>
          </w:tcPr>
          <w:p w14:paraId="342DCC67">
            <w:r>
              <w:rPr>
                <w:sz w:val="10"/>
              </w:rPr>
              <w:t>Hard safety layer</w:t>
            </w:r>
          </w:p>
        </w:tc>
        <w:tc>
          <w:tcPr>
            <w:tcW w:w="2660" w:type="dxa"/>
            <w:tcMar>
              <w:top w:w="80" w:type="dxa"/>
              <w:left w:w="90" w:type="dxa"/>
              <w:bottom w:w="80" w:type="dxa"/>
              <w:right w:w="90" w:type="dxa"/>
            </w:tcMar>
          </w:tcPr>
          <w:p w14:paraId="48DFFDDC">
            <w:r>
              <w:rPr>
                <w:sz w:val="10"/>
              </w:rPr>
              <w:t>Tests soft physical regularization.</w:t>
            </w:r>
          </w:p>
        </w:tc>
      </w:tr>
      <w:tr w14:paraId="5FDC74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02B8079A">
            <w:r>
              <w:rPr>
                <w:sz w:val="10"/>
              </w:rPr>
              <w:t>Liao et al. [21]</w:t>
            </w:r>
          </w:p>
        </w:tc>
        <w:tc>
          <w:tcPr>
            <w:tcW w:w="1050" w:type="dxa"/>
            <w:tcMar>
              <w:top w:w="80" w:type="dxa"/>
              <w:left w:w="90" w:type="dxa"/>
              <w:bottom w:w="80" w:type="dxa"/>
              <w:right w:w="90" w:type="dxa"/>
            </w:tcMar>
          </w:tcPr>
          <w:p w14:paraId="681A18DD">
            <w:r>
              <w:rPr>
                <w:sz w:val="10"/>
              </w:rPr>
              <w:t>HDRL HVAC</w:t>
            </w:r>
          </w:p>
        </w:tc>
        <w:tc>
          <w:tcPr>
            <w:tcW w:w="1100" w:type="dxa"/>
            <w:tcMar>
              <w:top w:w="80" w:type="dxa"/>
              <w:left w:w="90" w:type="dxa"/>
              <w:bottom w:w="80" w:type="dxa"/>
              <w:right w:w="90" w:type="dxa"/>
            </w:tcMar>
          </w:tcPr>
          <w:p w14:paraId="51FB3AA3">
            <w:r>
              <w:rPr>
                <w:sz w:val="10"/>
              </w:rPr>
              <w:t>Hierarchical RL</w:t>
            </w:r>
          </w:p>
        </w:tc>
        <w:tc>
          <w:tcPr>
            <w:tcW w:w="1150" w:type="dxa"/>
            <w:tcMar>
              <w:top w:w="80" w:type="dxa"/>
              <w:left w:w="90" w:type="dxa"/>
              <w:bottom w:w="80" w:type="dxa"/>
              <w:right w:w="90" w:type="dxa"/>
            </w:tcMar>
          </w:tcPr>
          <w:p w14:paraId="24F96201">
            <w:r>
              <w:rPr>
                <w:sz w:val="10"/>
              </w:rPr>
              <w:t>Simulation</w:t>
            </w:r>
          </w:p>
        </w:tc>
        <w:tc>
          <w:tcPr>
            <w:tcW w:w="1050" w:type="dxa"/>
            <w:tcMar>
              <w:top w:w="80" w:type="dxa"/>
              <w:left w:w="90" w:type="dxa"/>
              <w:bottom w:w="80" w:type="dxa"/>
              <w:right w:w="90" w:type="dxa"/>
            </w:tcMar>
          </w:tcPr>
          <w:p w14:paraId="0AF4A9C6">
            <w:r>
              <w:rPr>
                <w:sz w:val="10"/>
              </w:rPr>
              <w:t>Controller hierarchy</w:t>
            </w:r>
          </w:p>
        </w:tc>
        <w:tc>
          <w:tcPr>
            <w:tcW w:w="1050" w:type="dxa"/>
            <w:tcMar>
              <w:top w:w="80" w:type="dxa"/>
              <w:left w:w="90" w:type="dxa"/>
              <w:bottom w:w="80" w:type="dxa"/>
              <w:right w:w="90" w:type="dxa"/>
            </w:tcMar>
          </w:tcPr>
          <w:p w14:paraId="3563E915">
            <w:r>
              <w:rPr>
                <w:sz w:val="10"/>
              </w:rPr>
              <w:t>Comfort/energy</w:t>
            </w:r>
          </w:p>
        </w:tc>
        <w:tc>
          <w:tcPr>
            <w:tcW w:w="1300" w:type="dxa"/>
            <w:tcMar>
              <w:top w:w="80" w:type="dxa"/>
              <w:left w:w="90" w:type="dxa"/>
              <w:bottom w:w="80" w:type="dxa"/>
              <w:right w:w="90" w:type="dxa"/>
            </w:tcMar>
          </w:tcPr>
          <w:p w14:paraId="353A1D2F">
            <w:r>
              <w:rPr>
                <w:sz w:val="10"/>
              </w:rPr>
              <w:t>No surrogate-role audit</w:t>
            </w:r>
          </w:p>
        </w:tc>
        <w:tc>
          <w:tcPr>
            <w:tcW w:w="2660" w:type="dxa"/>
            <w:tcMar>
              <w:top w:w="80" w:type="dxa"/>
              <w:left w:w="90" w:type="dxa"/>
              <w:bottom w:w="80" w:type="dxa"/>
              <w:right w:w="90" w:type="dxa"/>
            </w:tcMar>
          </w:tcPr>
          <w:p w14:paraId="060C93C2">
            <w:r>
              <w:rPr>
                <w:sz w:val="10"/>
              </w:rPr>
              <w:t>Tests controller-family specificity.</w:t>
            </w:r>
          </w:p>
        </w:tc>
      </w:tr>
      <w:tr w14:paraId="361526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42A9EC53">
            <w:r>
              <w:rPr>
                <w:sz w:val="10"/>
              </w:rPr>
              <w:t>Coraci et al. [23]</w:t>
            </w:r>
          </w:p>
        </w:tc>
        <w:tc>
          <w:tcPr>
            <w:tcW w:w="1050" w:type="dxa"/>
            <w:tcMar>
              <w:top w:w="80" w:type="dxa"/>
              <w:left w:w="90" w:type="dxa"/>
              <w:bottom w:w="80" w:type="dxa"/>
              <w:right w:w="90" w:type="dxa"/>
            </w:tcMar>
          </w:tcPr>
          <w:p w14:paraId="3074016F">
            <w:r>
              <w:rPr>
                <w:sz w:val="10"/>
              </w:rPr>
              <w:t>Transfer</w:t>
            </w:r>
          </w:p>
        </w:tc>
        <w:tc>
          <w:tcPr>
            <w:tcW w:w="1100" w:type="dxa"/>
            <w:tcMar>
              <w:top w:w="80" w:type="dxa"/>
              <w:left w:w="90" w:type="dxa"/>
              <w:bottom w:w="80" w:type="dxa"/>
              <w:right w:w="90" w:type="dxa"/>
            </w:tcMar>
          </w:tcPr>
          <w:p w14:paraId="45FDEF74">
            <w:r>
              <w:rPr>
                <w:sz w:val="10"/>
              </w:rPr>
              <w:t>Online transfer</w:t>
            </w:r>
          </w:p>
        </w:tc>
        <w:tc>
          <w:tcPr>
            <w:tcW w:w="1150" w:type="dxa"/>
            <w:tcMar>
              <w:top w:w="80" w:type="dxa"/>
              <w:left w:w="90" w:type="dxa"/>
              <w:bottom w:w="80" w:type="dxa"/>
              <w:right w:w="90" w:type="dxa"/>
            </w:tcMar>
          </w:tcPr>
          <w:p w14:paraId="0D8D29A8">
            <w:r>
              <w:rPr>
                <w:sz w:val="10"/>
              </w:rPr>
              <w:t>Target adaptation</w:t>
            </w:r>
          </w:p>
        </w:tc>
        <w:tc>
          <w:tcPr>
            <w:tcW w:w="1050" w:type="dxa"/>
            <w:tcMar>
              <w:top w:w="80" w:type="dxa"/>
              <w:left w:w="90" w:type="dxa"/>
              <w:bottom w:w="80" w:type="dxa"/>
              <w:right w:w="90" w:type="dxa"/>
            </w:tcMar>
          </w:tcPr>
          <w:p w14:paraId="2E672D75">
            <w:r>
              <w:rPr>
                <w:sz w:val="10"/>
              </w:rPr>
              <w:t>Controller adaptation</w:t>
            </w:r>
          </w:p>
        </w:tc>
        <w:tc>
          <w:tcPr>
            <w:tcW w:w="1050" w:type="dxa"/>
            <w:tcMar>
              <w:top w:w="80" w:type="dxa"/>
              <w:left w:w="90" w:type="dxa"/>
              <w:bottom w:w="80" w:type="dxa"/>
              <w:right w:w="90" w:type="dxa"/>
            </w:tcMar>
          </w:tcPr>
          <w:p w14:paraId="7FC2D2F4">
            <w:r>
              <w:rPr>
                <w:sz w:val="10"/>
              </w:rPr>
              <w:t>Deployment</w:t>
            </w:r>
          </w:p>
        </w:tc>
        <w:tc>
          <w:tcPr>
            <w:tcW w:w="1300" w:type="dxa"/>
            <w:tcMar>
              <w:top w:w="80" w:type="dxa"/>
              <w:left w:w="90" w:type="dxa"/>
              <w:bottom w:w="80" w:type="dxa"/>
              <w:right w:w="90" w:type="dxa"/>
            </w:tcMar>
          </w:tcPr>
          <w:p w14:paraId="58387D9E">
            <w:r>
              <w:rPr>
                <w:sz w:val="10"/>
              </w:rPr>
              <w:t>Allows policy adaptation</w:t>
            </w:r>
          </w:p>
        </w:tc>
        <w:tc>
          <w:tcPr>
            <w:tcW w:w="2660" w:type="dxa"/>
            <w:tcMar>
              <w:top w:w="80" w:type="dxa"/>
              <w:left w:w="90" w:type="dxa"/>
              <w:bottom w:w="80" w:type="dxa"/>
              <w:right w:w="90" w:type="dxa"/>
            </w:tcMar>
          </w:tcPr>
          <w:p w14:paraId="5CD283FB">
            <w:r>
              <w:rPr>
                <w:sz w:val="10"/>
              </w:rPr>
              <w:t>Separates surrogate transfer from frozen-controller transfer.</w:t>
            </w:r>
          </w:p>
        </w:tc>
      </w:tr>
      <w:tr w14:paraId="01C788C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96871C3">
            <w:r>
              <w:rPr>
                <w:sz w:val="10"/>
              </w:rPr>
              <w:t>Offline RL survey [27]</w:t>
            </w:r>
          </w:p>
        </w:tc>
        <w:tc>
          <w:tcPr>
            <w:tcW w:w="1050" w:type="dxa"/>
            <w:tcMar>
              <w:top w:w="80" w:type="dxa"/>
              <w:left w:w="90" w:type="dxa"/>
              <w:bottom w:w="80" w:type="dxa"/>
              <w:right w:w="90" w:type="dxa"/>
            </w:tcMar>
          </w:tcPr>
          <w:p w14:paraId="4664E5E6">
            <w:r>
              <w:rPr>
                <w:sz w:val="10"/>
              </w:rPr>
              <w:t>RL methodology</w:t>
            </w:r>
          </w:p>
        </w:tc>
        <w:tc>
          <w:tcPr>
            <w:tcW w:w="1100" w:type="dxa"/>
            <w:tcMar>
              <w:top w:w="80" w:type="dxa"/>
              <w:left w:w="90" w:type="dxa"/>
              <w:bottom w:w="80" w:type="dxa"/>
              <w:right w:w="90" w:type="dxa"/>
            </w:tcMar>
          </w:tcPr>
          <w:p w14:paraId="4A05E7F2">
            <w:r>
              <w:rPr>
                <w:sz w:val="10"/>
              </w:rPr>
              <w:t>Distribution shift</w:t>
            </w:r>
          </w:p>
        </w:tc>
        <w:tc>
          <w:tcPr>
            <w:tcW w:w="1150" w:type="dxa"/>
            <w:tcMar>
              <w:top w:w="80" w:type="dxa"/>
              <w:left w:w="90" w:type="dxa"/>
              <w:bottom w:w="80" w:type="dxa"/>
              <w:right w:w="90" w:type="dxa"/>
            </w:tcMar>
          </w:tcPr>
          <w:p w14:paraId="18419505">
            <w:r>
              <w:rPr>
                <w:sz w:val="10"/>
              </w:rPr>
              <w:t>Offline data</w:t>
            </w:r>
          </w:p>
        </w:tc>
        <w:tc>
          <w:tcPr>
            <w:tcW w:w="1050" w:type="dxa"/>
            <w:tcMar>
              <w:top w:w="80" w:type="dxa"/>
              <w:left w:w="90" w:type="dxa"/>
              <w:bottom w:w="80" w:type="dxa"/>
              <w:right w:w="90" w:type="dxa"/>
            </w:tcMar>
          </w:tcPr>
          <w:p w14:paraId="6A0DBB6A">
            <w:r>
              <w:rPr>
                <w:sz w:val="10"/>
              </w:rPr>
              <w:t>Policy/data support</w:t>
            </w:r>
          </w:p>
        </w:tc>
        <w:tc>
          <w:tcPr>
            <w:tcW w:w="1050" w:type="dxa"/>
            <w:tcMar>
              <w:top w:w="80" w:type="dxa"/>
              <w:left w:w="90" w:type="dxa"/>
              <w:bottom w:w="80" w:type="dxa"/>
              <w:right w:w="90" w:type="dxa"/>
            </w:tcMar>
          </w:tcPr>
          <w:p w14:paraId="251CE64C">
            <w:r>
              <w:rPr>
                <w:sz w:val="10"/>
              </w:rPr>
              <w:t>OOD robustness</w:t>
            </w:r>
          </w:p>
        </w:tc>
        <w:tc>
          <w:tcPr>
            <w:tcW w:w="1300" w:type="dxa"/>
            <w:tcMar>
              <w:top w:w="80" w:type="dxa"/>
              <w:left w:w="90" w:type="dxa"/>
              <w:bottom w:w="80" w:type="dxa"/>
              <w:right w:w="90" w:type="dxa"/>
            </w:tcMar>
          </w:tcPr>
          <w:p w14:paraId="671CD40D">
            <w:r>
              <w:rPr>
                <w:sz w:val="10"/>
              </w:rPr>
              <w:t>Generic RL</w:t>
            </w:r>
          </w:p>
        </w:tc>
        <w:tc>
          <w:tcPr>
            <w:tcW w:w="2660" w:type="dxa"/>
            <w:tcMar>
              <w:top w:w="80" w:type="dxa"/>
              <w:left w:w="90" w:type="dxa"/>
              <w:bottom w:w="80" w:type="dxa"/>
              <w:right w:w="90" w:type="dxa"/>
            </w:tcMar>
          </w:tcPr>
          <w:p w14:paraId="63D51F8C">
            <w:r>
              <w:rPr>
                <w:sz w:val="10"/>
              </w:rPr>
              <w:t>Shows surrogate-induced shift in HVAC control.</w:t>
            </w:r>
          </w:p>
        </w:tc>
      </w:tr>
    </w:tbl>
    <w:p w14:paraId="07734ADA">
      <w:r>
        <w:rPr>
          <w:i/>
          <w:color w:val="555555"/>
          <w:sz w:val="18"/>
        </w:rPr>
        <w:t>Table 1. Literature positioning and research gap. Detailed literature notes are reported in the supplementary material.</w:t>
      </w:r>
    </w:p>
    <w:p w14:paraId="7B728418">
      <w:pPr>
        <w:pStyle w:val="3"/>
      </w:pPr>
      <w:r>
        <w:t>2.1 Deep reinforcement learning for HVAC control</w:t>
      </w:r>
    </w:p>
    <w:p w14:paraId="7D7A8031">
      <w:r>
        <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
      </w:r>
    </w:p>
    <w:p w14:paraId="7E9F3D41">
      <w:r>
        <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
      </w:r>
    </w:p>
    <w:p w14:paraId="03E6CCEF">
      <w:pPr>
        <w:pStyle w:val="3"/>
      </w:pPr>
      <w:r>
        <w:t>2.2 Surrogate and digital twin models for building energy</w:t>
      </w:r>
    </w:p>
    <w:p w14:paraId="4BC3E8EA">
      <w:r>
        <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
      </w:r>
    </w:p>
    <w:p w14:paraId="73E0608A">
      <w:r>
        <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
      </w:r>
    </w:p>
    <w:p w14:paraId="53836A0E">
      <w:pPr>
        <w:pStyle w:val="3"/>
      </w:pPr>
      <w:r>
        <w:t>2.3 Physics-informed and safety-aware learning</w:t>
      </w:r>
    </w:p>
    <w:p w14:paraId="307B3EEE">
      <w:r>
        <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
      </w:r>
    </w:p>
    <w:p w14:paraId="701109EF">
      <w:r>
        <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
      </w:r>
    </w:p>
    <w:p w14:paraId="4FC92235">
      <w:pPr>
        <w:pStyle w:val="3"/>
      </w:pPr>
      <w:r>
        <w:t>2.4 Multi-objective RL and Pareto analysis</w:t>
      </w:r>
    </w:p>
    <w:p w14:paraId="6126B080">
      <w:r>
        <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
      </w:r>
    </w:p>
    <w:p w14:paraId="3718ECDB">
      <w:r>
        <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
      </w:r>
    </w:p>
    <w:p w14:paraId="009D0706">
      <w:pPr>
        <w:pStyle w:val="3"/>
      </w:pPr>
      <w:r>
        <w:t>2.5 Transfer learning and cross-testcase generalization</w:t>
      </w:r>
    </w:p>
    <w:p w14:paraId="1611514B">
      <w:r>
        <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
      </w:r>
    </w:p>
    <w:p w14:paraId="2AA44667">
      <w:r>
        <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
      </w:r>
    </w:p>
    <w:p w14:paraId="581ADE55">
      <w:pPr>
        <w:pStyle w:val="3"/>
      </w:pPr>
      <w:r>
        <w:t xml:space="preserve">2.6 </w:t>
      </w:r>
      <w:r>
        <w:rPr>
          <w:rFonts w:hint="default"/>
          <w:lang w:val="en-US"/>
        </w:rPr>
        <w:t xml:space="preserve">Runtime Speed </w:t>
      </w:r>
      <w:r>
        <w:t>BOPTEST benchmarking</w:t>
      </w:r>
    </w:p>
    <w:p w14:paraId="60FD1E5E">
      <w:pPr>
        <w:spacing w:after="160"/>
        <w:jc w:val="both"/>
        <w:rPr>
          <w:rFonts w:ascii="Arial" w:hAnsi="Arial" w:eastAsia="Arial" w:cs="Arial"/>
          <w:b w:val="0"/>
          <w:bCs w:val="0"/>
          <w:i w:val="0"/>
          <w:iCs w:val="0"/>
          <w:sz w:val="22"/>
          <w:szCs w:val="22"/>
        </w:rPr>
      </w:pPr>
      <w:r>
        <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
      </w:r>
      <w:r>
        <w:rPr>
          <w:rFonts w:ascii="Arial" w:hAnsi="Arial" w:eastAsia="Arial" w:cs="Arial"/>
          <w:b w:val="0"/>
          <w:bCs w:val="0"/>
          <w:i w:val="0"/>
          <w:iCs w:val="0"/>
          <w:sz w:val="22"/>
          <w:szCs w:val="22"/>
        </w:rPr>
        <w:t>The whole motivation for substituting BOPTEST with an in-process surrogate during RL training is computational. PPO typically consumes 1×10⁶ – 5×10⁶ environment steps to converge; at the BOPTEST RTE HTTP step rate this would take hours per training run and would dominate wall-clock time. The speed benchmark answers a specific question: under the same 15-minute control protocol, what step rate do v3, v3.5, and the hybrid backend deliver compared with BOPTEST RTE?</w:t>
      </w:r>
    </w:p>
    <w:p w14:paraId="18D3F8B9">
      <w:pPr>
        <w:rPr>
          <w:rFonts w:ascii="Arial" w:hAnsi="Arial" w:eastAsia="Arial" w:cs="Arial"/>
          <w:b w:val="0"/>
          <w:bCs w:val="0"/>
          <w:i w:val="0"/>
          <w:iCs w:val="0"/>
          <w:sz w:val="22"/>
          <w:szCs w:val="22"/>
        </w:rPr>
      </w:pPr>
      <w:r>
        <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
      </w:r>
    </w:p>
    <w:p w14:paraId="761C2B2F">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The benchmark uses 100 episodes × 96 steps = 9 600 total simulated steps, single CPU thread, no GPU. BOPTEST is reached through its HTTP-Docker interface (the same one used in production training and evaluation), so the comparison is apples-to-apples with the actual training stack — not against a stripped-down local Modelica binary, which would understate the speed-up.</w:t>
      </w:r>
    </w:p>
    <w:p w14:paraId="18442F69">
      <w:pPr>
        <w:spacing w:after="160"/>
        <w:jc w:val="both"/>
      </w:pPr>
      <w:r>
        <w:rPr>
          <w:rFonts w:ascii="Arial" w:hAnsi="Arial" w:eastAsia="Arial" w:cs="Arial"/>
          <w:b w:val="0"/>
          <w:bCs w:val="0"/>
          <w:i w:val="0"/>
          <w:iCs w:val="0"/>
          <w:sz w:val="22"/>
          <w:szCs w:val="22"/>
        </w:rPr>
        <w:t>The hybrid is the slowest of the three surrogates (1787 steps/s, 0.507 ms median) because every PPO update requires a forward pass through BOTH v3 (rollout dynamics) and v3.5 (regulariser target). That overhead is unavoidable by construction. The headline 85× speed-up against BOPTEST is still large enough to make the hybrid usable for PPO training on a single CPU core — a single 5×10⁶-step training run takes roughly 47 minutes of pure environment time vs about 66.1 hours if BOPTEST were used directly.</w:t>
      </w:r>
    </w:p>
    <w:p w14:paraId="6D02EDC3">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Two practical points follow. First, although v3 is the fastest backend, we do not train PPO purely on v3 because that gives up the regularisation benefit measured in Section 4. Second, although v3.5 is faster than the hybrid (2400 steps/s) we do not train PPO on v3.5 either — Section 4 shows that PPO trained on standalone calibrated v3.5 fails catastrophically on the live BOPTEST loop (RMSE &gt; 4 °C). The hybrid backend is therefore the unique operating point where speed, fidelity, and trainability all reach acceptable levels simultaneously.</w:t>
      </w:r>
    </w:p>
    <w:p w14:paraId="19A0D3E2"/>
    <w:p w14:paraId="68E91E0D"/>
    <w:p w14:paraId="56C60D96">
      <w:pPr>
        <w:pStyle w:val="2"/>
      </w:pPr>
      <w:r>
        <w:t>3. Methodology</w:t>
      </w:r>
    </w:p>
    <w:p w14:paraId="275F9E94">
      <w:pPr>
        <w:jc w:val="center"/>
      </w:pPr>
      <w:r>
        <w:drawing>
          <wp:inline distT="0" distB="0" distL="0" distR="0">
            <wp:extent cx="6126480" cy="2468880"/>
            <wp:effectExtent l="0" t="0" r="0" b="0"/>
            <wp:docPr id="1" name="q1eng_fig01"/>
            <wp:cNvGraphicFramePr/>
            <a:graphic xmlns:a="http://schemas.openxmlformats.org/drawingml/2006/main">
              <a:graphicData uri="http://schemas.openxmlformats.org/drawingml/2006/picture">
                <pic:pic xmlns:pic="http://schemas.openxmlformats.org/drawingml/2006/picture">
                  <pic:nvPicPr>
                    <pic:cNvPr id="1" name="q1eng_fig01"/>
                    <pic:cNvPicPr/>
                  </pic:nvPicPr>
                  <pic:blipFill>
                    <a:blip r:embed="rId6"/>
                    <a:stretch>
                      <a:fillRect/>
                    </a:stretch>
                  </pic:blipFill>
                  <pic:spPr>
                    <a:xfrm>
                      <a:off x="0" y="0"/>
                      <a:ext cx="6126480" cy="2468880"/>
                    </a:xfrm>
                    <a:prstGeom prst="rect">
                      <a:avLst/>
                    </a:prstGeom>
                  </pic:spPr>
                </pic:pic>
              </a:graphicData>
            </a:graphic>
          </wp:inline>
        </w:drawing>
      </w:r>
    </w:p>
    <w:p w14:paraId="7207138C">
      <w:r>
        <w:rPr>
          <w:i/>
          <w:color w:val="555555"/>
          <w:sz w:val="18"/>
        </w:rPr>
        <w:t>Figure 1. Overall experimental pipeline. The study separates data generation, surrogate calibration, live controller validation, and transferability testing rather than treating digital-twin accuracy as a single scalar property.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1350"/>
        <w:gridCol w:w="650"/>
        <w:gridCol w:w="950"/>
        <w:gridCol w:w="1200"/>
        <w:gridCol w:w="800"/>
        <w:gridCol w:w="1300"/>
        <w:gridCol w:w="950"/>
        <w:gridCol w:w="2010"/>
      </w:tblGrid>
      <w:tr w14:paraId="0147B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150E2F7">
            <w:r>
              <w:rPr>
                <w:b/>
                <w:sz w:val="10"/>
              </w:rPr>
              <w:t>Surrogate/backend</w:t>
            </w:r>
          </w:p>
        </w:tc>
        <w:tc>
          <w:tcPr>
            <w:tcW w:w="1350" w:type="dxa"/>
            <w:shd w:val="clear" w:color="auto" w:fill="EAF2F8"/>
            <w:tcMar>
              <w:top w:w="80" w:type="dxa"/>
              <w:left w:w="90" w:type="dxa"/>
              <w:bottom w:w="80" w:type="dxa"/>
              <w:right w:w="90" w:type="dxa"/>
            </w:tcMar>
          </w:tcPr>
          <w:p w14:paraId="2CBE1909">
            <w:r>
              <w:rPr>
                <w:b/>
                <w:sz w:val="10"/>
              </w:rPr>
              <w:t>Architecture</w:t>
            </w:r>
          </w:p>
        </w:tc>
        <w:tc>
          <w:tcPr>
            <w:tcW w:w="650" w:type="dxa"/>
            <w:shd w:val="clear" w:color="auto" w:fill="EAF2F8"/>
            <w:tcMar>
              <w:top w:w="80" w:type="dxa"/>
              <w:left w:w="90" w:type="dxa"/>
              <w:bottom w:w="80" w:type="dxa"/>
              <w:right w:w="90" w:type="dxa"/>
            </w:tcMar>
          </w:tcPr>
          <w:p w14:paraId="6EAC5FB4">
            <w:r>
              <w:rPr>
                <w:b/>
                <w:sz w:val="10"/>
              </w:rPr>
              <w:t>Input dim</w:t>
            </w:r>
          </w:p>
        </w:tc>
        <w:tc>
          <w:tcPr>
            <w:tcW w:w="950" w:type="dxa"/>
            <w:shd w:val="clear" w:color="auto" w:fill="EAF2F8"/>
            <w:tcMar>
              <w:top w:w="80" w:type="dxa"/>
              <w:left w:w="90" w:type="dxa"/>
              <w:bottom w:w="80" w:type="dxa"/>
              <w:right w:w="90" w:type="dxa"/>
            </w:tcMar>
          </w:tcPr>
          <w:p w14:paraId="71368474">
            <w:r>
              <w:rPr>
                <w:b/>
                <w:sz w:val="10"/>
              </w:rPr>
              <w:t>Output</w:t>
            </w:r>
          </w:p>
        </w:tc>
        <w:tc>
          <w:tcPr>
            <w:tcW w:w="1200" w:type="dxa"/>
            <w:shd w:val="clear" w:color="auto" w:fill="EAF2F8"/>
            <w:tcMar>
              <w:top w:w="80" w:type="dxa"/>
              <w:left w:w="90" w:type="dxa"/>
              <w:bottom w:w="80" w:type="dxa"/>
              <w:right w:w="90" w:type="dxa"/>
            </w:tcMar>
          </w:tcPr>
          <w:p w14:paraId="24EB1D20">
            <w:r>
              <w:rPr>
                <w:b/>
                <w:sz w:val="10"/>
              </w:rPr>
              <w:t>Physical structure</w:t>
            </w:r>
          </w:p>
        </w:tc>
        <w:tc>
          <w:tcPr>
            <w:tcW w:w="800" w:type="dxa"/>
            <w:shd w:val="clear" w:color="auto" w:fill="EAF2F8"/>
            <w:tcMar>
              <w:top w:w="80" w:type="dxa"/>
              <w:left w:w="90" w:type="dxa"/>
              <w:bottom w:w="80" w:type="dxa"/>
              <w:right w:w="90" w:type="dxa"/>
            </w:tcMar>
          </w:tcPr>
          <w:p w14:paraId="1C4A082C">
            <w:r>
              <w:rPr>
                <w:b/>
                <w:sz w:val="10"/>
              </w:rPr>
              <w:t>Parameters</w:t>
            </w:r>
          </w:p>
        </w:tc>
        <w:tc>
          <w:tcPr>
            <w:tcW w:w="1300" w:type="dxa"/>
            <w:shd w:val="clear" w:color="auto" w:fill="EAF2F8"/>
            <w:tcMar>
              <w:top w:w="80" w:type="dxa"/>
              <w:left w:w="90" w:type="dxa"/>
              <w:bottom w:w="80" w:type="dxa"/>
              <w:right w:w="90" w:type="dxa"/>
            </w:tcMar>
          </w:tcPr>
          <w:p w14:paraId="6E3B4C45">
            <w:r>
              <w:rPr>
                <w:b/>
                <w:sz w:val="10"/>
              </w:rPr>
              <w:t>Training corpus</w:t>
            </w:r>
          </w:p>
        </w:tc>
        <w:tc>
          <w:tcPr>
            <w:tcW w:w="950" w:type="dxa"/>
            <w:shd w:val="clear" w:color="auto" w:fill="EAF2F8"/>
            <w:tcMar>
              <w:top w:w="80" w:type="dxa"/>
              <w:left w:w="90" w:type="dxa"/>
              <w:bottom w:w="80" w:type="dxa"/>
              <w:right w:w="90" w:type="dxa"/>
            </w:tcMar>
          </w:tcPr>
          <w:p w14:paraId="6E837B63">
            <w:r>
              <w:rPr>
                <w:b/>
                <w:sz w:val="10"/>
              </w:rPr>
              <w:t>Calibration</w:t>
            </w:r>
          </w:p>
        </w:tc>
        <w:tc>
          <w:tcPr>
            <w:tcW w:w="2010" w:type="dxa"/>
            <w:shd w:val="clear" w:color="auto" w:fill="EAF2F8"/>
            <w:tcMar>
              <w:top w:w="80" w:type="dxa"/>
              <w:left w:w="90" w:type="dxa"/>
              <w:bottom w:w="80" w:type="dxa"/>
              <w:right w:w="90" w:type="dxa"/>
            </w:tcMar>
          </w:tcPr>
          <w:p w14:paraId="00C74EBC">
            <w:r>
              <w:rPr>
                <w:b/>
                <w:sz w:val="10"/>
              </w:rPr>
              <w:t>Role in RL</w:t>
            </w:r>
          </w:p>
        </w:tc>
      </w:tr>
      <w:tr w14:paraId="7D5097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DF7AC5E">
            <w:r>
              <w:rPr>
                <w:sz w:val="10"/>
              </w:rPr>
              <w:t>v3</w:t>
            </w:r>
          </w:p>
        </w:tc>
        <w:tc>
          <w:tcPr>
            <w:tcW w:w="1350" w:type="dxa"/>
            <w:tcMar>
              <w:top w:w="80" w:type="dxa"/>
              <w:left w:w="90" w:type="dxa"/>
              <w:bottom w:w="80" w:type="dxa"/>
              <w:right w:w="90" w:type="dxa"/>
            </w:tcMar>
          </w:tcPr>
          <w:p w14:paraId="32B269BD">
            <w:r>
              <w:rPr>
                <w:sz w:val="10"/>
              </w:rPr>
              <w:t>Compact dual-head MLP</w:t>
            </w:r>
          </w:p>
        </w:tc>
        <w:tc>
          <w:tcPr>
            <w:tcW w:w="650" w:type="dxa"/>
            <w:tcMar>
              <w:top w:w="80" w:type="dxa"/>
              <w:left w:w="90" w:type="dxa"/>
              <w:bottom w:w="80" w:type="dxa"/>
              <w:right w:w="90" w:type="dxa"/>
            </w:tcMar>
          </w:tcPr>
          <w:p w14:paraId="27399E22">
            <w:r>
              <w:rPr>
                <w:sz w:val="10"/>
              </w:rPr>
              <w:t>8</w:t>
            </w:r>
          </w:p>
        </w:tc>
        <w:tc>
          <w:tcPr>
            <w:tcW w:w="950" w:type="dxa"/>
            <w:tcMar>
              <w:top w:w="80" w:type="dxa"/>
              <w:left w:w="90" w:type="dxa"/>
              <w:bottom w:w="80" w:type="dxa"/>
              <w:right w:w="90" w:type="dxa"/>
            </w:tcMar>
          </w:tcPr>
          <w:p w14:paraId="2ED0A556">
            <w:r>
              <w:rPr>
                <w:sz w:val="10"/>
              </w:rPr>
              <w:t>dT, HVAC power</w:t>
            </w:r>
          </w:p>
        </w:tc>
        <w:tc>
          <w:tcPr>
            <w:tcW w:w="1200" w:type="dxa"/>
            <w:tcMar>
              <w:top w:w="80" w:type="dxa"/>
              <w:left w:w="90" w:type="dxa"/>
              <w:bottom w:w="80" w:type="dxa"/>
              <w:right w:w="90" w:type="dxa"/>
            </w:tcMar>
          </w:tcPr>
          <w:p w14:paraId="5BEF983A">
            <w:r>
              <w:rPr>
                <w:sz w:val="10"/>
              </w:rPr>
              <w:t>No explicit physics</w:t>
            </w:r>
          </w:p>
        </w:tc>
        <w:tc>
          <w:tcPr>
            <w:tcW w:w="800" w:type="dxa"/>
            <w:tcMar>
              <w:top w:w="80" w:type="dxa"/>
              <w:left w:w="90" w:type="dxa"/>
              <w:bottom w:w="80" w:type="dxa"/>
              <w:right w:w="90" w:type="dxa"/>
            </w:tcMar>
          </w:tcPr>
          <w:p w14:paraId="110CF2EB">
            <w:r>
              <w:rPr>
                <w:sz w:val="10"/>
              </w:rPr>
              <w:t>8,482</w:t>
            </w:r>
          </w:p>
        </w:tc>
        <w:tc>
          <w:tcPr>
            <w:tcW w:w="1300" w:type="dxa"/>
            <w:tcMar>
              <w:top w:w="80" w:type="dxa"/>
              <w:left w:w="90" w:type="dxa"/>
              <w:bottom w:w="80" w:type="dxa"/>
              <w:right w:w="90" w:type="dxa"/>
            </w:tcMar>
          </w:tcPr>
          <w:p w14:paraId="4C2D7234">
            <w:r>
              <w:rPr>
                <w:sz w:val="10"/>
              </w:rPr>
              <w:t>hourly + matched 15-min check</w:t>
            </w:r>
          </w:p>
        </w:tc>
        <w:tc>
          <w:tcPr>
            <w:tcW w:w="950" w:type="dxa"/>
            <w:tcMar>
              <w:top w:w="80" w:type="dxa"/>
              <w:left w:w="90" w:type="dxa"/>
              <w:bottom w:w="80" w:type="dxa"/>
              <w:right w:w="90" w:type="dxa"/>
            </w:tcMar>
          </w:tcPr>
          <w:p w14:paraId="06AA3920">
            <w:r>
              <w:rPr>
                <w:sz w:val="10"/>
              </w:rPr>
              <w:t>Supervised</w:t>
            </w:r>
          </w:p>
        </w:tc>
        <w:tc>
          <w:tcPr>
            <w:tcW w:w="2010" w:type="dxa"/>
            <w:tcMar>
              <w:top w:w="80" w:type="dxa"/>
              <w:left w:w="90" w:type="dxa"/>
              <w:bottom w:w="80" w:type="dxa"/>
              <w:right w:w="90" w:type="dxa"/>
            </w:tcMar>
          </w:tcPr>
          <w:p w14:paraId="31C45A94">
            <w:r>
              <w:rPr>
                <w:sz w:val="10"/>
              </w:rPr>
              <w:t>Primary rollout environment</w:t>
            </w:r>
          </w:p>
        </w:tc>
      </w:tr>
      <w:tr w14:paraId="30F80A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A92DCE4">
            <w:r>
              <w:rPr>
                <w:sz w:val="10"/>
              </w:rPr>
              <w:t>raw v3.5</w:t>
            </w:r>
          </w:p>
        </w:tc>
        <w:tc>
          <w:tcPr>
            <w:tcW w:w="1350" w:type="dxa"/>
            <w:tcMar>
              <w:top w:w="80" w:type="dxa"/>
              <w:left w:w="90" w:type="dxa"/>
              <w:bottom w:w="80" w:type="dxa"/>
              <w:right w:w="90" w:type="dxa"/>
            </w:tcMar>
          </w:tcPr>
          <w:p w14:paraId="680BF592">
            <w:r>
              <w:rPr>
                <w:sz w:val="10"/>
              </w:rPr>
              <w:t>RC-NeuralODE + residual heads</w:t>
            </w:r>
          </w:p>
        </w:tc>
        <w:tc>
          <w:tcPr>
            <w:tcW w:w="650" w:type="dxa"/>
            <w:tcMar>
              <w:top w:w="80" w:type="dxa"/>
              <w:left w:w="90" w:type="dxa"/>
              <w:bottom w:w="80" w:type="dxa"/>
              <w:right w:w="90" w:type="dxa"/>
            </w:tcMar>
          </w:tcPr>
          <w:p w14:paraId="4D61873A">
            <w:r>
              <w:rPr>
                <w:sz w:val="10"/>
              </w:rPr>
              <w:t>15-min prepared</w:t>
            </w:r>
          </w:p>
        </w:tc>
        <w:tc>
          <w:tcPr>
            <w:tcW w:w="950" w:type="dxa"/>
            <w:tcMar>
              <w:top w:w="80" w:type="dxa"/>
              <w:left w:w="90" w:type="dxa"/>
              <w:bottom w:w="80" w:type="dxa"/>
              <w:right w:w="90" w:type="dxa"/>
            </w:tcMar>
          </w:tcPr>
          <w:p w14:paraId="76A03F6F">
            <w:r>
              <w:rPr>
                <w:sz w:val="10"/>
              </w:rPr>
              <w:t>T_next, power</w:t>
            </w:r>
          </w:p>
        </w:tc>
        <w:tc>
          <w:tcPr>
            <w:tcW w:w="1200" w:type="dxa"/>
            <w:tcMar>
              <w:top w:w="80" w:type="dxa"/>
              <w:left w:w="90" w:type="dxa"/>
              <w:bottom w:w="80" w:type="dxa"/>
              <w:right w:w="90" w:type="dxa"/>
            </w:tcMar>
          </w:tcPr>
          <w:p w14:paraId="746AF6A9">
            <w:r>
              <w:rPr>
                <w:sz w:val="10"/>
              </w:rPr>
              <w:t>C_zon backbone</w:t>
            </w:r>
          </w:p>
        </w:tc>
        <w:tc>
          <w:tcPr>
            <w:tcW w:w="800" w:type="dxa"/>
            <w:tcMar>
              <w:top w:w="80" w:type="dxa"/>
              <w:left w:w="90" w:type="dxa"/>
              <w:bottom w:w="80" w:type="dxa"/>
              <w:right w:w="90" w:type="dxa"/>
            </w:tcMar>
          </w:tcPr>
          <w:p w14:paraId="459C8C42">
            <w:r>
              <w:rPr>
                <w:sz w:val="10"/>
              </w:rPr>
              <w:t>~50k</w:t>
            </w:r>
          </w:p>
        </w:tc>
        <w:tc>
          <w:tcPr>
            <w:tcW w:w="1300" w:type="dxa"/>
            <w:tcMar>
              <w:top w:w="80" w:type="dxa"/>
              <w:left w:w="90" w:type="dxa"/>
              <w:bottom w:w="80" w:type="dxa"/>
              <w:right w:w="90" w:type="dxa"/>
            </w:tcMar>
          </w:tcPr>
          <w:p w14:paraId="66D284F5">
            <w:r>
              <w:rPr>
                <w:sz w:val="10"/>
              </w:rPr>
              <w:t>10,744 rows</w:t>
            </w:r>
          </w:p>
        </w:tc>
        <w:tc>
          <w:tcPr>
            <w:tcW w:w="950" w:type="dxa"/>
            <w:tcMar>
              <w:top w:w="80" w:type="dxa"/>
              <w:left w:w="90" w:type="dxa"/>
              <w:bottom w:w="80" w:type="dxa"/>
              <w:right w:w="90" w:type="dxa"/>
            </w:tcMar>
          </w:tcPr>
          <w:p w14:paraId="53265638">
            <w:r>
              <w:rPr>
                <w:sz w:val="10"/>
              </w:rPr>
              <w:t>None</w:t>
            </w:r>
          </w:p>
        </w:tc>
        <w:tc>
          <w:tcPr>
            <w:tcW w:w="2010" w:type="dxa"/>
            <w:tcMar>
              <w:top w:w="80" w:type="dxa"/>
              <w:left w:w="90" w:type="dxa"/>
              <w:bottom w:w="80" w:type="dxa"/>
              <w:right w:w="90" w:type="dxa"/>
            </w:tcMar>
          </w:tcPr>
          <w:p w14:paraId="78E7D325">
            <w:r>
              <w:rPr>
                <w:sz w:val="10"/>
              </w:rPr>
              <w:t>Architecture-only negative baseline</w:t>
            </w:r>
          </w:p>
        </w:tc>
      </w:tr>
      <w:tr w14:paraId="70051B6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2300227">
            <w:r>
              <w:rPr>
                <w:sz w:val="10"/>
              </w:rPr>
              <w:t>calibrated v3.5</w:t>
            </w:r>
          </w:p>
        </w:tc>
        <w:tc>
          <w:tcPr>
            <w:tcW w:w="1350" w:type="dxa"/>
            <w:tcMar>
              <w:top w:w="80" w:type="dxa"/>
              <w:left w:w="90" w:type="dxa"/>
              <w:bottom w:w="80" w:type="dxa"/>
              <w:right w:w="90" w:type="dxa"/>
            </w:tcMar>
          </w:tcPr>
          <w:p w14:paraId="3F6AECAA">
            <w:r>
              <w:rPr>
                <w:sz w:val="10"/>
              </w:rPr>
              <w:t>RC-NeuralODE + residual heads</w:t>
            </w:r>
          </w:p>
        </w:tc>
        <w:tc>
          <w:tcPr>
            <w:tcW w:w="650" w:type="dxa"/>
            <w:tcMar>
              <w:top w:w="80" w:type="dxa"/>
              <w:left w:w="90" w:type="dxa"/>
              <w:bottom w:w="80" w:type="dxa"/>
              <w:right w:w="90" w:type="dxa"/>
            </w:tcMar>
          </w:tcPr>
          <w:p w14:paraId="74DFEF14">
            <w:r>
              <w:rPr>
                <w:sz w:val="10"/>
              </w:rPr>
              <w:t>15-min prepared</w:t>
            </w:r>
          </w:p>
        </w:tc>
        <w:tc>
          <w:tcPr>
            <w:tcW w:w="950" w:type="dxa"/>
            <w:tcMar>
              <w:top w:w="80" w:type="dxa"/>
              <w:left w:w="90" w:type="dxa"/>
              <w:bottom w:w="80" w:type="dxa"/>
              <w:right w:w="90" w:type="dxa"/>
            </w:tcMar>
          </w:tcPr>
          <w:p w14:paraId="2611DB15">
            <w:r>
              <w:rPr>
                <w:sz w:val="10"/>
              </w:rPr>
              <w:t>T_next, power</w:t>
            </w:r>
          </w:p>
        </w:tc>
        <w:tc>
          <w:tcPr>
            <w:tcW w:w="1200" w:type="dxa"/>
            <w:tcMar>
              <w:top w:w="80" w:type="dxa"/>
              <w:left w:w="90" w:type="dxa"/>
              <w:bottom w:w="80" w:type="dxa"/>
              <w:right w:w="90" w:type="dxa"/>
            </w:tcMar>
          </w:tcPr>
          <w:p w14:paraId="5C3C2131">
            <w:r>
              <w:rPr>
                <w:sz w:val="10"/>
              </w:rPr>
              <w:t>identified C_zon</w:t>
            </w:r>
          </w:p>
        </w:tc>
        <w:tc>
          <w:tcPr>
            <w:tcW w:w="800" w:type="dxa"/>
            <w:tcMar>
              <w:top w:w="80" w:type="dxa"/>
              <w:left w:w="90" w:type="dxa"/>
              <w:bottom w:w="80" w:type="dxa"/>
              <w:right w:w="90" w:type="dxa"/>
            </w:tcMar>
          </w:tcPr>
          <w:p w14:paraId="0C63553B">
            <w:r>
              <w:rPr>
                <w:sz w:val="10"/>
              </w:rPr>
              <w:t>~50k</w:t>
            </w:r>
          </w:p>
        </w:tc>
        <w:tc>
          <w:tcPr>
            <w:tcW w:w="1300" w:type="dxa"/>
            <w:tcMar>
              <w:top w:w="80" w:type="dxa"/>
              <w:left w:w="90" w:type="dxa"/>
              <w:bottom w:w="80" w:type="dxa"/>
              <w:right w:w="90" w:type="dxa"/>
            </w:tcMar>
          </w:tcPr>
          <w:p w14:paraId="35E92918">
            <w:r>
              <w:rPr>
                <w:sz w:val="10"/>
              </w:rPr>
              <w:t>10,744 rows</w:t>
            </w:r>
          </w:p>
        </w:tc>
        <w:tc>
          <w:tcPr>
            <w:tcW w:w="950" w:type="dxa"/>
            <w:tcMar>
              <w:top w:w="80" w:type="dxa"/>
              <w:left w:w="90" w:type="dxa"/>
              <w:bottom w:w="80" w:type="dxa"/>
              <w:right w:w="90" w:type="dxa"/>
            </w:tcMar>
          </w:tcPr>
          <w:p w14:paraId="7E75E587">
            <w:r>
              <w:rPr>
                <w:sz w:val="10"/>
              </w:rPr>
              <w:t>Stage A/B/C</w:t>
            </w:r>
          </w:p>
        </w:tc>
        <w:tc>
          <w:tcPr>
            <w:tcW w:w="2010" w:type="dxa"/>
            <w:tcMar>
              <w:top w:w="80" w:type="dxa"/>
              <w:left w:w="90" w:type="dxa"/>
              <w:bottom w:w="80" w:type="dxa"/>
              <w:right w:w="90" w:type="dxa"/>
            </w:tcMar>
          </w:tcPr>
          <w:p w14:paraId="162C8882">
            <w:r>
              <w:rPr>
                <w:sz w:val="10"/>
              </w:rPr>
              <w:t>Predictive twin and frozen teacher</w:t>
            </w:r>
          </w:p>
        </w:tc>
      </w:tr>
      <w:tr w14:paraId="318871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70F7FF">
            <w:r>
              <w:rPr>
                <w:sz w:val="10"/>
              </w:rPr>
              <w:t>hybrid</w:t>
            </w:r>
          </w:p>
        </w:tc>
        <w:tc>
          <w:tcPr>
            <w:tcW w:w="1350" w:type="dxa"/>
            <w:tcMar>
              <w:top w:w="80" w:type="dxa"/>
              <w:left w:w="90" w:type="dxa"/>
              <w:bottom w:w="80" w:type="dxa"/>
              <w:right w:w="90" w:type="dxa"/>
            </w:tcMar>
          </w:tcPr>
          <w:p w14:paraId="3BFB3CD4">
            <w:r>
              <w:rPr>
                <w:sz w:val="10"/>
              </w:rPr>
              <w:t>v3 rollout + frozen v3.5 teacher</w:t>
            </w:r>
          </w:p>
        </w:tc>
        <w:tc>
          <w:tcPr>
            <w:tcW w:w="650" w:type="dxa"/>
            <w:tcMar>
              <w:top w:w="80" w:type="dxa"/>
              <w:left w:w="90" w:type="dxa"/>
              <w:bottom w:w="80" w:type="dxa"/>
              <w:right w:w="90" w:type="dxa"/>
            </w:tcMar>
          </w:tcPr>
          <w:p w14:paraId="2699676A">
            <w:r>
              <w:rPr>
                <w:sz w:val="10"/>
              </w:rPr>
              <w:t>policy obs</w:t>
            </w:r>
          </w:p>
        </w:tc>
        <w:tc>
          <w:tcPr>
            <w:tcW w:w="950" w:type="dxa"/>
            <w:tcMar>
              <w:top w:w="80" w:type="dxa"/>
              <w:left w:w="90" w:type="dxa"/>
              <w:bottom w:w="80" w:type="dxa"/>
              <w:right w:w="90" w:type="dxa"/>
            </w:tcMar>
          </w:tcPr>
          <w:p w14:paraId="07C7CDAF">
            <w:r>
              <w:rPr>
                <w:sz w:val="10"/>
              </w:rPr>
              <w:t>rollout + disagreement</w:t>
            </w:r>
          </w:p>
        </w:tc>
        <w:tc>
          <w:tcPr>
            <w:tcW w:w="1200" w:type="dxa"/>
            <w:tcMar>
              <w:top w:w="80" w:type="dxa"/>
              <w:left w:w="90" w:type="dxa"/>
              <w:bottom w:w="80" w:type="dxa"/>
              <w:right w:w="90" w:type="dxa"/>
            </w:tcMar>
          </w:tcPr>
          <w:p w14:paraId="6764E10F">
            <w:r>
              <w:rPr>
                <w:sz w:val="10"/>
              </w:rPr>
              <w:t>soft physical regularizer</w:t>
            </w:r>
          </w:p>
        </w:tc>
        <w:tc>
          <w:tcPr>
            <w:tcW w:w="800" w:type="dxa"/>
            <w:tcMar>
              <w:top w:w="80" w:type="dxa"/>
              <w:left w:w="90" w:type="dxa"/>
              <w:bottom w:w="80" w:type="dxa"/>
              <w:right w:w="90" w:type="dxa"/>
            </w:tcMar>
          </w:tcPr>
          <w:p w14:paraId="1FED5C21">
            <w:r>
              <w:rPr>
                <w:sz w:val="10"/>
              </w:rPr>
              <w:t>v3 + v3.5</w:t>
            </w:r>
          </w:p>
        </w:tc>
        <w:tc>
          <w:tcPr>
            <w:tcW w:w="1300" w:type="dxa"/>
            <w:tcMar>
              <w:top w:w="80" w:type="dxa"/>
              <w:left w:w="90" w:type="dxa"/>
              <w:bottom w:w="80" w:type="dxa"/>
              <w:right w:w="90" w:type="dxa"/>
            </w:tcMar>
          </w:tcPr>
          <w:p w14:paraId="273B6D7D">
            <w:r>
              <w:rPr>
                <w:sz w:val="10"/>
              </w:rPr>
              <w:t>same source corpus</w:t>
            </w:r>
          </w:p>
        </w:tc>
        <w:tc>
          <w:tcPr>
            <w:tcW w:w="950" w:type="dxa"/>
            <w:tcMar>
              <w:top w:w="80" w:type="dxa"/>
              <w:left w:w="90" w:type="dxa"/>
              <w:bottom w:w="80" w:type="dxa"/>
              <w:right w:w="90" w:type="dxa"/>
            </w:tcMar>
          </w:tcPr>
          <w:p w14:paraId="6F7F96A5">
            <w:r>
              <w:rPr>
                <w:sz w:val="10"/>
              </w:rPr>
              <w:t>lambda weights</w:t>
            </w:r>
          </w:p>
        </w:tc>
        <w:tc>
          <w:tcPr>
            <w:tcW w:w="2010" w:type="dxa"/>
            <w:tcMar>
              <w:top w:w="80" w:type="dxa"/>
              <w:left w:w="90" w:type="dxa"/>
              <w:bottom w:w="80" w:type="dxa"/>
              <w:right w:w="90" w:type="dxa"/>
            </w:tcMar>
          </w:tcPr>
          <w:p w14:paraId="0BB9A1CA">
            <w:r>
              <w:rPr>
                <w:sz w:val="10"/>
              </w:rPr>
              <w:t>Canonical thermostatic backend</w:t>
            </w:r>
          </w:p>
        </w:tc>
      </w:tr>
    </w:tbl>
    <w:p w14:paraId="0882461F">
      <w:r>
        <w:rPr>
          <w:i/>
          <w:color w:val="555555"/>
          <w:sz w:val="18"/>
        </w:rPr>
        <w:t>Table 2. Surrogate architectures and calibration summary.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4550"/>
        <w:gridCol w:w="3260"/>
      </w:tblGrid>
      <w:tr w14:paraId="71EE9A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shd w:val="clear" w:color="auto" w:fill="EAF2F8"/>
            <w:tcMar>
              <w:top w:w="80" w:type="dxa"/>
              <w:left w:w="90" w:type="dxa"/>
              <w:bottom w:w="80" w:type="dxa"/>
              <w:right w:w="90" w:type="dxa"/>
            </w:tcMar>
          </w:tcPr>
          <w:p w14:paraId="041E301D">
            <w:r>
              <w:rPr>
                <w:b/>
                <w:sz w:val="11"/>
              </w:rPr>
              <w:t>Component</w:t>
            </w:r>
          </w:p>
        </w:tc>
        <w:tc>
          <w:tcPr>
            <w:tcW w:w="4550" w:type="dxa"/>
            <w:shd w:val="clear" w:color="auto" w:fill="EAF2F8"/>
            <w:tcMar>
              <w:top w:w="80" w:type="dxa"/>
              <w:left w:w="90" w:type="dxa"/>
              <w:bottom w:w="80" w:type="dxa"/>
              <w:right w:w="90" w:type="dxa"/>
            </w:tcMar>
          </w:tcPr>
          <w:p w14:paraId="5BF4CB8D">
            <w:r>
              <w:rPr>
                <w:b/>
                <w:sz w:val="11"/>
              </w:rPr>
              <w:t>Definition used in main experiments</w:t>
            </w:r>
          </w:p>
        </w:tc>
        <w:tc>
          <w:tcPr>
            <w:tcW w:w="3260" w:type="dxa"/>
            <w:shd w:val="clear" w:color="auto" w:fill="EAF2F8"/>
            <w:tcMar>
              <w:top w:w="80" w:type="dxa"/>
              <w:left w:w="90" w:type="dxa"/>
              <w:bottom w:w="80" w:type="dxa"/>
              <w:right w:w="90" w:type="dxa"/>
            </w:tcMar>
          </w:tcPr>
          <w:p w14:paraId="1EA06D30">
            <w:r>
              <w:rPr>
                <w:b/>
                <w:sz w:val="11"/>
              </w:rPr>
              <w:t>Why it matters</w:t>
            </w:r>
          </w:p>
        </w:tc>
      </w:tr>
      <w:tr w14:paraId="114CDDC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5D3DFF07">
            <w:r>
              <w:rPr>
                <w:sz w:val="11"/>
              </w:rPr>
              <w:t>Observation</w:t>
            </w:r>
          </w:p>
        </w:tc>
        <w:tc>
          <w:tcPr>
            <w:tcW w:w="4550" w:type="dxa"/>
            <w:tcMar>
              <w:top w:w="80" w:type="dxa"/>
              <w:left w:w="90" w:type="dxa"/>
              <w:bottom w:w="80" w:type="dxa"/>
              <w:right w:w="90" w:type="dxa"/>
            </w:tcMar>
          </w:tcPr>
          <w:p w14:paraId="55ECC657">
            <w:r>
              <w:rPr>
                <w:sz w:val="11"/>
              </w:rPr>
              <w:t>17D TSup-style state: physical variables, cyclic time, ambient forecast, previous action/history</w:t>
            </w:r>
          </w:p>
        </w:tc>
        <w:tc>
          <w:tcPr>
            <w:tcW w:w="3260" w:type="dxa"/>
            <w:tcMar>
              <w:top w:w="80" w:type="dxa"/>
              <w:left w:w="90" w:type="dxa"/>
              <w:bottom w:w="80" w:type="dxa"/>
              <w:right w:w="90" w:type="dxa"/>
            </w:tcMar>
          </w:tcPr>
          <w:p w14:paraId="60478E58">
            <w:r>
              <w:rPr>
                <w:sz w:val="11"/>
              </w:rPr>
              <w:t>MORL 5D failed; 17D recovers usable preference-conditioned control.</w:t>
            </w:r>
          </w:p>
        </w:tc>
      </w:tr>
      <w:tr w14:paraId="7ED953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2989B05">
            <w:r>
              <w:rPr>
                <w:sz w:val="11"/>
              </w:rPr>
              <w:t>Action</w:t>
            </w:r>
          </w:p>
        </w:tc>
        <w:tc>
          <w:tcPr>
            <w:tcW w:w="4550" w:type="dxa"/>
            <w:tcMar>
              <w:top w:w="80" w:type="dxa"/>
              <w:left w:w="90" w:type="dxa"/>
              <w:bottom w:w="80" w:type="dxa"/>
              <w:right w:w="90" w:type="dxa"/>
            </w:tcMar>
          </w:tcPr>
          <w:p w14:paraId="42258D09">
            <w:r>
              <w:rPr>
                <w:sz w:val="11"/>
              </w:rPr>
              <w:t>Continuous normalized action mapped to supply-temperature command 18-35 C plus fan/intensity channel</w:t>
            </w:r>
          </w:p>
        </w:tc>
        <w:tc>
          <w:tcPr>
            <w:tcW w:w="3260" w:type="dxa"/>
            <w:tcMar>
              <w:top w:w="80" w:type="dxa"/>
              <w:left w:w="90" w:type="dxa"/>
              <w:bottom w:w="80" w:type="dxa"/>
              <w:right w:w="90" w:type="dxa"/>
            </w:tcMar>
          </w:tcPr>
          <w:p w14:paraId="6AAF2B3D">
            <w:r>
              <w:rPr>
                <w:sz w:val="11"/>
              </w:rPr>
              <w:t>Keeps controller compatible with bestest_air source testcase.</w:t>
            </w:r>
          </w:p>
        </w:tc>
      </w:tr>
      <w:tr w14:paraId="1AF3F9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C9CAF82">
            <w:r>
              <w:rPr>
                <w:sz w:val="11"/>
              </w:rPr>
              <w:t>Reward</w:t>
            </w:r>
          </w:p>
        </w:tc>
        <w:tc>
          <w:tcPr>
            <w:tcW w:w="4550" w:type="dxa"/>
            <w:tcMar>
              <w:top w:w="80" w:type="dxa"/>
              <w:left w:w="90" w:type="dxa"/>
              <w:bottom w:w="80" w:type="dxa"/>
              <w:right w:w="90" w:type="dxa"/>
            </w:tcMar>
          </w:tcPr>
          <w:p w14:paraId="015779B3">
            <w:r>
              <w:rPr>
                <w:sz w:val="11"/>
              </w:rPr>
              <w:t>Comfort + energy + smoothness; MORL scalarizes comfort/energy/safety weights</w:t>
            </w:r>
          </w:p>
        </w:tc>
        <w:tc>
          <w:tcPr>
            <w:tcW w:w="3260" w:type="dxa"/>
            <w:tcMar>
              <w:top w:w="80" w:type="dxa"/>
              <w:left w:w="90" w:type="dxa"/>
              <w:bottom w:w="80" w:type="dxa"/>
              <w:right w:w="90" w:type="dxa"/>
            </w:tcMar>
          </w:tcPr>
          <w:p w14:paraId="7CBAEF3F">
            <w:r>
              <w:rPr>
                <w:sz w:val="11"/>
              </w:rPr>
              <w:t>Separates thermostatic, HDRL, and MORL objectives.</w:t>
            </w:r>
          </w:p>
        </w:tc>
      </w:tr>
      <w:tr w14:paraId="6F635E6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C3B6FB">
            <w:r>
              <w:rPr>
                <w:sz w:val="11"/>
              </w:rPr>
              <w:t>Thermostatic PPO</w:t>
            </w:r>
          </w:p>
        </w:tc>
        <w:tc>
          <w:tcPr>
            <w:tcW w:w="4550" w:type="dxa"/>
            <w:tcMar>
              <w:top w:w="80" w:type="dxa"/>
              <w:left w:w="90" w:type="dxa"/>
              <w:bottom w:w="80" w:type="dxa"/>
              <w:right w:w="90" w:type="dxa"/>
            </w:tcMar>
          </w:tcPr>
          <w:p w14:paraId="4BF0A418">
            <w:r>
              <w:rPr>
                <w:sz w:val="11"/>
              </w:rPr>
              <w:t>PPO final-policy live BOPTEST evaluation; lambda_temp sweep</w:t>
            </w:r>
          </w:p>
        </w:tc>
        <w:tc>
          <w:tcPr>
            <w:tcW w:w="3260" w:type="dxa"/>
            <w:tcMar>
              <w:top w:w="80" w:type="dxa"/>
              <w:left w:w="90" w:type="dxa"/>
              <w:bottom w:w="80" w:type="dxa"/>
              <w:right w:w="90" w:type="dxa"/>
            </w:tcMar>
          </w:tcPr>
          <w:p w14:paraId="79886C06">
            <w:r>
              <w:rPr>
                <w:sz w:val="11"/>
              </w:rPr>
              <w:t>Primary positive hybrid result.</w:t>
            </w:r>
          </w:p>
        </w:tc>
      </w:tr>
      <w:tr w14:paraId="7FA094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6EC5F4">
            <w:r>
              <w:rPr>
                <w:sz w:val="11"/>
              </w:rPr>
              <w:t>HDRL</w:t>
            </w:r>
          </w:p>
        </w:tc>
        <w:tc>
          <w:tcPr>
            <w:tcW w:w="4550" w:type="dxa"/>
            <w:tcMar>
              <w:top w:w="80" w:type="dxa"/>
              <w:left w:w="90" w:type="dxa"/>
              <w:bottom w:w="80" w:type="dxa"/>
              <w:right w:w="90" w:type="dxa"/>
            </w:tcMar>
          </w:tcPr>
          <w:p w14:paraId="52A1A7BE">
            <w:r>
              <w:rPr>
                <w:sz w:val="11"/>
              </w:rPr>
              <w:t>Hierarchical PPO variant; lambda_temp sweep</w:t>
            </w:r>
          </w:p>
        </w:tc>
        <w:tc>
          <w:tcPr>
            <w:tcW w:w="3260" w:type="dxa"/>
            <w:tcMar>
              <w:top w:w="80" w:type="dxa"/>
              <w:left w:w="90" w:type="dxa"/>
              <w:bottom w:w="80" w:type="dxa"/>
              <w:right w:w="90" w:type="dxa"/>
            </w:tcMar>
          </w:tcPr>
          <w:p w14:paraId="725FA6A0">
            <w:r>
              <w:rPr>
                <w:sz w:val="11"/>
              </w:rPr>
              <w:t>Tests controller-family specificity.</w:t>
            </w:r>
          </w:p>
        </w:tc>
      </w:tr>
      <w:tr w14:paraId="052927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7E5FA1B0">
            <w:r>
              <w:rPr>
                <w:sz w:val="11"/>
              </w:rPr>
              <w:t>MORL</w:t>
            </w:r>
          </w:p>
        </w:tc>
        <w:tc>
          <w:tcPr>
            <w:tcW w:w="4550" w:type="dxa"/>
            <w:tcMar>
              <w:top w:w="80" w:type="dxa"/>
              <w:left w:w="90" w:type="dxa"/>
              <w:bottom w:w="80" w:type="dxa"/>
              <w:right w:w="90" w:type="dxa"/>
            </w:tcMar>
          </w:tcPr>
          <w:p w14:paraId="039DB08B">
            <w:r>
              <w:rPr>
                <w:sz w:val="11"/>
              </w:rPr>
              <w:t>Preference-conditioned pretrain/finetune; canonical N=5 seeds</w:t>
            </w:r>
          </w:p>
        </w:tc>
        <w:tc>
          <w:tcPr>
            <w:tcW w:w="3260" w:type="dxa"/>
            <w:tcMar>
              <w:top w:w="80" w:type="dxa"/>
              <w:left w:w="90" w:type="dxa"/>
              <w:bottom w:w="80" w:type="dxa"/>
              <w:right w:w="90" w:type="dxa"/>
            </w:tcMar>
          </w:tcPr>
          <w:p w14:paraId="7EAE2EA0">
            <w:r>
              <w:rPr>
                <w:sz w:val="11"/>
              </w:rPr>
              <w:t>Tests Pareto trade-offs and seed variance.</w:t>
            </w:r>
          </w:p>
        </w:tc>
      </w:tr>
    </w:tbl>
    <w:p w14:paraId="33DDAB76">
      <w:r>
        <w:rPr>
          <w:i/>
          <w:color w:val="555555"/>
          <w:sz w:val="18"/>
        </w:rPr>
        <w:t>Table 4. Controller training configuration, observation/action interface, and reward definition.</w:t>
      </w:r>
    </w:p>
    <w:p w14:paraId="0FA6711D">
      <w:pPr>
        <w:pStyle w:val="3"/>
      </w:pPr>
      <w:r>
        <w:t>3.1 Problem formulation</w:t>
      </w:r>
    </w:p>
    <w:p w14:paraId="6B6A14AD">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14:paraId="2D80C18A">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14:paraId="7A039A3F">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14:paraId="166DF5DD">
      <w:r>
        <w:rPr>
          <w:i/>
        </w:rPr>
        <w:t>r_t = r_track(T_zone) + r_smooth(a_t-a_{t-1}) + r_power(P_t) - lambda_temp ||T_v3 - T_v3.5||^2 - lambda_power ||P_v3 - P_v3.5||^2</w:t>
      </w:r>
    </w:p>
    <w:p w14:paraId="28FB4838">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14:paraId="5D264966">
      <w:pPr>
        <w:pStyle w:val="3"/>
      </w:pPr>
      <w:r>
        <w:t>3.2 Surrogate roles and model variants</w:t>
      </w:r>
    </w:p>
    <w:p w14:paraId="57BF31F5">
      <w:pPr>
        <w:jc w:val="center"/>
      </w:pPr>
      <w:r>
        <w:drawing>
          <wp:inline distT="0" distB="0" distL="0" distR="0">
            <wp:extent cx="6126480" cy="2651760"/>
            <wp:effectExtent l="0" t="0" r="0" b="0"/>
            <wp:docPr id="2" name="q1eng_fig02"/>
            <wp:cNvGraphicFramePr/>
            <a:graphic xmlns:a="http://schemas.openxmlformats.org/drawingml/2006/main">
              <a:graphicData uri="http://schemas.openxmlformats.org/drawingml/2006/picture">
                <pic:pic xmlns:pic="http://schemas.openxmlformats.org/drawingml/2006/picture">
                  <pic:nvPicPr>
                    <pic:cNvPr id="2" name="q1eng_fig02"/>
                    <pic:cNvPicPr/>
                  </pic:nvPicPr>
                  <pic:blipFill>
                    <a:blip r:embed="rId7"/>
                    <a:stretch>
                      <a:fillRect/>
                    </a:stretch>
                  </pic:blipFill>
                  <pic:spPr>
                    <a:xfrm>
                      <a:off x="0" y="0"/>
                      <a:ext cx="6126480" cy="2651760"/>
                    </a:xfrm>
                    <a:prstGeom prst="rect">
                      <a:avLst/>
                    </a:prstGeom>
                  </pic:spPr>
                </pic:pic>
              </a:graphicData>
            </a:graphic>
          </wp:inline>
        </w:drawing>
      </w:r>
    </w:p>
    <w:p w14:paraId="12D5DF8C">
      <w:r>
        <w:rPr>
          <w:i/>
          <w:color w:val="555555"/>
          <w:sz w:val="18"/>
        </w:rPr>
        <w:t>Figure 2. v3 / v3.5 / hybrid backend architecture with tensor roles and parameter counts. v3 is the smooth dual-head rollout surrogate; v3.5 is the calibrated physics-informed twin; hybrid uses frozen-v3.5 disagreement as a soft physical censor.</w:t>
      </w:r>
    </w:p>
    <w:p w14:paraId="7874AFEA">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14:paraId="62BC9862">
      <w:pPr>
        <w:pStyle w:val="3"/>
      </w:pPr>
      <w:r>
        <w:t>3.3 Control-oriented surrogate v3</w:t>
      </w:r>
    </w:p>
    <w:p w14:paraId="2BB051E9">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14:paraId="0801CAF8">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14:paraId="56EE4628">
      <w:pPr>
        <w:pStyle w:val="3"/>
      </w:pPr>
      <w:r>
        <w:t>3.4 Physically informed surrogate v3.5 and Stage A/B/C calibration</w:t>
      </w:r>
    </w:p>
    <w:p w14:paraId="4000351B">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14:paraId="27FC194F">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14:paraId="0FA7EA17">
      <w:pPr>
        <w:pStyle w:val="3"/>
      </w:pPr>
      <w:r>
        <w:t>3.5 Hybrid backend and loss coupling</w:t>
      </w:r>
    </w:p>
    <w:p w14:paraId="0DC630A4">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14:paraId="3A21B8A4">
      <w:r>
        <w:rPr>
          <w:i/>
        </w:rPr>
        <w:t>L_total = L_PPO + lambda_temp ||T_v3 - T_v3.5||^2 + lambda_power ||P_v3 - P_v3.5||^2</w:t>
      </w:r>
    </w:p>
    <w:p w14:paraId="57B09244">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14:paraId="787BE546">
      <w:pPr>
        <w:pStyle w:val="3"/>
      </w:pPr>
      <w:r>
        <w:t>3.6 Controller families</w:t>
      </w:r>
    </w:p>
    <w:p w14:paraId="672337C9">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14:paraId="19FB6C02">
      <w:pPr>
        <w:pStyle w:val="3"/>
      </w:pPr>
      <w:r>
        <w:t>3.7 Transferability methodology</w:t>
      </w:r>
    </w:p>
    <w:p w14:paraId="2E3BF2EF">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14:paraId="04AE3CFB">
      <w:pPr>
        <w:pStyle w:val="2"/>
      </w:pPr>
      <w:r>
        <w:t>4. Experimental Setup</w:t>
      </w:r>
    </w:p>
    <w:p w14:paraId="7BF9C970">
      <w:pPr>
        <w:pStyle w:val="3"/>
      </w:pPr>
      <w:r>
        <w:t>4.1 Testbeds and serving layer</w:t>
      </w:r>
    </w:p>
    <w:p w14:paraId="30A2F298">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14:paraId="45CF4E2B">
      <w:pPr>
        <w:pStyle w:val="3"/>
      </w:pPr>
      <w:r>
        <w:t>4.2 Data generation and preprocessing</w:t>
      </w:r>
    </w:p>
    <w:p w14:paraId="14C42C6C">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14:paraId="2F586765">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14:paraId="13FADEBA">
      <w:pPr>
        <w:pStyle w:val="3"/>
      </w:pPr>
      <w:r>
        <w:t>4.3 Training and calibration workflow</w:t>
      </w:r>
    </w:p>
    <w:p w14:paraId="4D0E43F4">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14:paraId="0F909FC0">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14:paraId="0ADC9A44">
      <w:pPr>
        <w:pStyle w:val="3"/>
      </w:pPr>
      <w:r>
        <w:t>4.4 Runtime characteristics</w:t>
      </w:r>
    </w:p>
    <w:p w14:paraId="03A228F4">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14:paraId="3CCEDD54">
      <w:pPr>
        <w:pStyle w:val="3"/>
      </w:pPr>
      <w:r>
        <w:t>4.5 Evaluation protocol and metrics</w:t>
      </w:r>
    </w:p>
    <w:p w14:paraId="4A70E458">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14:paraId="07B0D416">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14:paraId="68594B53">
      <w:pPr>
        <w:pStyle w:val="4"/>
      </w:pPr>
      <w:r>
        <w:t>Evaluation horizons: per-window versus yearly</w:t>
      </w:r>
    </w:p>
    <w:p w14:paraId="66A0797C">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781218B3">
      <w:pPr>
        <w:pStyle w:val="3"/>
      </w:pPr>
      <w:r>
        <w:t>4.6 Statistical and audit protocol</w:t>
      </w:r>
    </w:p>
    <w:p w14:paraId="2475D0BA">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14:paraId="28F84AEE">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14:paraId="62E34DF3">
      <w:pPr>
        <w:pStyle w:val="3"/>
      </w:pPr>
      <w:r>
        <w:t>4.7 Reproducibility and audit trail</w:t>
      </w:r>
    </w:p>
    <w:p w14:paraId="4FDB0890">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6F58B0B6">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3050F5E6">
      <w:pPr>
        <w:pStyle w:val="2"/>
      </w:pPr>
      <w:r>
        <w:t>5. Results I: Digital Twin Fidelity</w:t>
      </w:r>
    </w:p>
    <w:p w14:paraId="2F6E102C">
      <w:pPr>
        <w:pStyle w:val="3"/>
      </w:pPr>
      <w:r>
        <w:t>5.1 Block 1 objective and evidence boundary</w:t>
      </w:r>
    </w:p>
    <w:p w14:paraId="4637F462">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14:paraId="4D467F88">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bookmarkStart w:id="0" w:name="_GoBack"/>
      <w:bookmarkEnd w:id="0"/>
    </w:p>
    <w:p>
      <w:pPr>
        <w:pStyle w:val="Heading3"/>
      </w:pPr>
      <w:r>
        <w:t>5.1.1 Engineering metric definitions</w:t>
      </w:r>
    </w:p>
    <w:p>
      <w:r>
        <w:t>The Block 1 validation metrics are defined on recursive rollout trajectories rather than only on one-step supervised predictions. For a horizon h and N evaluated samples, the temperature rollout error is e_T,i(h) = T_hat_i(t+h) - T_i(t+h), and the reported horizon error is RMSE_T(h) = sqrt((1/N) sum_i e_T,i(h)^2). Figure 3 therefore measures accumulated closed-loop prediction error over 1 h, 4 h, 8 h, and 24 h horizons.</w:t>
      </w:r>
    </w:p>
    <w:p>
      <w:r>
        <w:t>The residual-distribution diagnostic in Figure 4 uses the signed residual e_T = T_hat - T_BOPTEST and the absolute-error empirical CDF F_abs(epsilon) = P(|e_T| &lt;= epsilon). The vertical engineering tolerances epsilon = 0.5, 1.0, and 1.5 C convert a statistical error distribution into a directly interpretable HVAC tolerance statement: they report what fraction of predictions stay within each temperature-error band.</w:t>
      </w:r>
    </w:p>
    <w:p>
      <w:r>
        <w:t>The live-control utility comparison is deliberately separate from predictive RMSE. We define a live-utility gap for a training backend b as G_RL(b) = RMSE_live,T(b) - RMSE_rollout,T(b). A small or negative predictive RMSE alone is not sufficient; the backend is useful only if the learned policy also remains stable when transferred to the BOPTEST RTE.</w:t>
      </w:r>
    </w:p>
    <w:p w14:paraId="1C4CF847">
      <w:pPr>
        <w:pStyle w:val="3"/>
      </w:pPr>
      <w:r>
        <w:t>5.2 Stage A/B/C calibration result</w:t>
      </w:r>
    </w:p>
    <w:p w14:paraId="639F6FBA">
      <w:pPr>
        <w:jc w:val="center"/>
      </w:pPr>
      <w:r>
        <w:drawing>
          <wp:inline distT="0" distB="0" distL="0" distR="0">
            <wp:extent cx="5852160" cy="2834640"/>
            <wp:effectExtent l="0" t="0" r="0" b="0"/>
            <wp:docPr id="3" name="q1eng_fig03"/>
            <wp:cNvGraphicFramePr/>
            <a:graphic xmlns:a="http://schemas.openxmlformats.org/drawingml/2006/main">
              <a:graphicData uri="http://schemas.openxmlformats.org/drawingml/2006/picture">
                <pic:pic xmlns:pic="http://schemas.openxmlformats.org/drawingml/2006/picture">
                  <pic:nvPicPr>
                    <pic:cNvPr id="3" name="q1eng_fig03"/>
                    <pic:cNvPicPr/>
                  </pic:nvPicPr>
                  <pic:blipFill>
                    <a:blip r:embed="rId8"/>
                    <a:stretch>
                      <a:fillRect/>
                    </a:stretch>
                  </pic:blipFill>
                  <pic:spPr>
                    <a:xfrm>
                      <a:off x="0" y="0"/>
                      <a:ext cx="5852160" cy="2834640"/>
                    </a:xfrm>
                    <a:prstGeom prst="rect">
                      <a:avLst/>
                    </a:prstGeom>
                  </pic:spPr>
                </pic:pic>
              </a:graphicData>
            </a:graphic>
          </wp:inline>
        </w:drawing>
      </w:r>
    </w:p>
    <w:p w14:paraId="08FBC7E9">
      <w:r>
        <w:rPr>
          <w:i/>
          <w:color w:val="555555"/>
          <w:sz w:val="18"/>
        </w:rPr>
        <w:t>Figure 3. Multi-horizon rollout RMSE curves. Real horizon_metrics.csv artifacts show how recursive temperature error accumulates from 1h to 24h for v3, raw v3.5, and calibrated v3.5.</w:t>
      </w:r>
    </w:p>
    <w:p>
      <w:r>
        <w:t>The quantitative Block 1 conclusion is therefore two-level. First, calibrated v3.5 is the best predictive twin: its 24 h rollout RMSE_T is 0.644 C, compared with 1.466 C for raw v3.5 and 1.557 C for the legacy v3 reference. The improvement is not confined to one-step alignment; it persists under recursive multi-horizon rollout, which is the relevant regime for controller training and validation.</w:t>
      </w:r>
    </w:p>
    <w:p>
      <w:r>
        <w:t>Second, the raw physical architecture alone is not sufficient. Raw v3.5 remains close to the legacy v3 24 h error before inverse calibration, so the observed improvement must be attributed to the Stage A/B/C identification process rather than to adding a physics-inspired network topology by itself.</w:t>
      </w:r>
    </w:p>
    <w:p w14:paraId="2F83DF9B">
      <w:pPr>
        <w:jc w:val="center"/>
      </w:pPr>
      <w:r>
        <w:drawing>
          <wp:inline distT="0" distB="0" distL="0" distR="0">
            <wp:extent cx="6126480" cy="2560320"/>
            <wp:effectExtent l="0" t="0" r="0" b="0"/>
            <wp:docPr id="4" name="q1eng_fig04"/>
            <wp:cNvGraphicFramePr/>
            <a:graphic xmlns:a="http://schemas.openxmlformats.org/drawingml/2006/main">
              <a:graphicData uri="http://schemas.openxmlformats.org/drawingml/2006/picture">
                <pic:pic xmlns:pic="http://schemas.openxmlformats.org/drawingml/2006/picture">
                  <pic:nvPicPr>
                    <pic:cNvPr id="4" name="q1eng_fig04"/>
                    <pic:cNvPicPr/>
                  </pic:nvPicPr>
                  <pic:blipFill>
                    <a:blip r:embed="rId9"/>
                    <a:stretch>
                      <a:fillRect/>
                    </a:stretch>
                  </pic:blipFill>
                  <pic:spPr>
                    <a:xfrm>
                      <a:off x="0" y="0"/>
                      <a:ext cx="6126480" cy="2560320"/>
                    </a:xfrm>
                    <a:prstGeom prst="rect">
                      <a:avLst/>
                    </a:prstGeom>
                  </pic:spPr>
                </pic:pic>
              </a:graphicData>
            </a:graphic>
          </wp:inline>
        </w:drawing>
      </w:r>
    </w:p>
    <w:p w14:paraId="1870D762">
      <w:r>
        <w:rPr>
          <w:i/>
          <w:color w:val="555555"/>
          <w:sz w:val="18"/>
        </w:rPr>
        <w:t>Figure 4. Residual distribution and absolute-error CDF. The figure reports bias, spread, P95 absolute error, and engineering tolerance thresholds at 0.5, 1.0, and 1.5 °C.</w:t>
      </w:r>
    </w:p>
    <w:p w14:paraId="47311735">
      <w:pPr>
        <w:jc w:val="center"/>
      </w:pPr>
      <w:r>
        <w:drawing>
          <wp:inline distT="0" distB="0" distL="0" distR="0">
            <wp:extent cx="5852160" cy="2926080"/>
            <wp:effectExtent l="0" t="0" r="0" b="0"/>
            <wp:docPr id="5" name="q1eng_fig05"/>
            <wp:cNvGraphicFramePr/>
            <a:graphic xmlns:a="http://schemas.openxmlformats.org/drawingml/2006/main">
              <a:graphicData uri="http://schemas.openxmlformats.org/drawingml/2006/picture">
                <pic:pic xmlns:pic="http://schemas.openxmlformats.org/drawingml/2006/picture">
                  <pic:nvPicPr>
                    <pic:cNvPr id="5" name="q1eng_fig05"/>
                    <pic:cNvPicPr/>
                  </pic:nvPicPr>
                  <pic:blipFill>
                    <a:blip r:embed="rId10"/>
                    <a:stretch>
                      <a:fillRect/>
                    </a:stretch>
                  </pic:blipFill>
                  <pic:spPr>
                    <a:xfrm>
                      <a:off x="0" y="0"/>
                      <a:ext cx="5852160" cy="2926080"/>
                    </a:xfrm>
                    <a:prstGeom prst="rect">
                      <a:avLst/>
                    </a:prstGeom>
                  </pic:spPr>
                </pic:pic>
              </a:graphicData>
            </a:graphic>
          </wp:inline>
        </w:drawing>
      </w:r>
    </w:p>
    <w:p w14:paraId="5259A366">
      <w:r>
        <w:rPr>
          <w:i/>
          <w:color w:val="555555"/>
          <w:sz w:val="18"/>
        </w:rPr>
        <w:t>Figure 5. C_zon Stage-B identification and Stage-C residual-head diagnostics. The Stage-B trajectory documents physical-parameter convergence rather than manual tuning.</w:t>
      </w:r>
    </w:p>
    <w:p w14:paraId="79C3FAD5">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p>
      <w:r>
        <w:t>Stage B used an excitation-filtered subset of the telemetry rather than all quasi-steady samples. Only the top-excitation rows were used for C_zon identification (403 of 8058 training rows), which prevents steady operating points from dominating a parameter that is identifiable primarily during transients. This filtering is important for interpreting C_zon as a physical parameter rather than as a residual fitting knob.</w:t>
      </w:r>
    </w:p>
    <w:p>
      <w:r>
        <w:t>The physical-parameter update can be written as eta_C = (C_zon,final - C_zon,prior) / C_zon,prior. With C_zon,prior = 4.200e5 J/K and C_zon,final = 4.413e5 J/K, eta_C = 0.0507, i.e. approximately 5.1%. This bounded update is important: it is large enough to demonstrate data-driven identification, but small enough to keep the calibrated twin physically plausible.</w:t>
      </w:r>
    </w:p>
    <w:p>
      <w:r>
        <w:t>The final C_zon = 4.413e5 J/K is only 5.1% above the 4.200e5 J/K prior. This is the desired magnitude of update: large enough to show that the data modify the prior, but small enough to remain physically plausible and to avoid the appearance of unconstrained parameter fitting.</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1800"/>
        <w:gridCol w:w="1800"/>
        <w:gridCol w:w="1400"/>
        <w:gridCol w:w="2660"/>
      </w:tblGrid>
      <w:tr w14:paraId="692ADA4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shd w:val="clear" w:color="auto" w:fill="EAF2F8"/>
            <w:tcMar>
              <w:top w:w="80" w:type="dxa"/>
              <w:left w:w="90" w:type="dxa"/>
              <w:bottom w:w="80" w:type="dxa"/>
              <w:right w:w="90" w:type="dxa"/>
            </w:tcMar>
          </w:tcPr>
          <w:p w14:paraId="700A9D93">
            <w:r>
              <w:rPr>
                <w:b/>
                <w:sz w:val="11"/>
              </w:rPr>
              <w:t>Metric / variant</w:t>
            </w:r>
          </w:p>
        </w:tc>
        <w:tc>
          <w:tcPr>
            <w:tcW w:w="1800" w:type="dxa"/>
            <w:shd w:val="clear" w:color="auto" w:fill="EAF2F8"/>
            <w:tcMar>
              <w:top w:w="80" w:type="dxa"/>
              <w:left w:w="90" w:type="dxa"/>
              <w:bottom w:w="80" w:type="dxa"/>
              <w:right w:w="90" w:type="dxa"/>
            </w:tcMar>
          </w:tcPr>
          <w:p w14:paraId="39E81260">
            <w:r>
              <w:rPr>
                <w:b/>
                <w:sz w:val="11"/>
              </w:rPr>
              <w:t>Raw or baseline</w:t>
            </w:r>
          </w:p>
        </w:tc>
        <w:tc>
          <w:tcPr>
            <w:tcW w:w="1800" w:type="dxa"/>
            <w:shd w:val="clear" w:color="auto" w:fill="EAF2F8"/>
            <w:tcMar>
              <w:top w:w="80" w:type="dxa"/>
              <w:left w:w="90" w:type="dxa"/>
              <w:bottom w:w="80" w:type="dxa"/>
              <w:right w:w="90" w:type="dxa"/>
            </w:tcMar>
          </w:tcPr>
          <w:p w14:paraId="72EABF68">
            <w:r>
              <w:rPr>
                <w:b/>
                <w:sz w:val="11"/>
              </w:rPr>
              <w:t>Calibrated / matched</w:t>
            </w:r>
          </w:p>
        </w:tc>
        <w:tc>
          <w:tcPr>
            <w:tcW w:w="1400" w:type="dxa"/>
            <w:shd w:val="clear" w:color="auto" w:fill="EAF2F8"/>
            <w:tcMar>
              <w:top w:w="80" w:type="dxa"/>
              <w:left w:w="90" w:type="dxa"/>
              <w:bottom w:w="80" w:type="dxa"/>
              <w:right w:w="90" w:type="dxa"/>
            </w:tcMar>
          </w:tcPr>
          <w:p w14:paraId="3DD606E5">
            <w:r>
              <w:rPr>
                <w:b/>
                <w:sz w:val="11"/>
              </w:rPr>
              <w:t>Absolute change</w:t>
            </w:r>
          </w:p>
        </w:tc>
        <w:tc>
          <w:tcPr>
            <w:tcW w:w="2660" w:type="dxa"/>
            <w:shd w:val="clear" w:color="auto" w:fill="EAF2F8"/>
            <w:tcMar>
              <w:top w:w="80" w:type="dxa"/>
              <w:left w:w="90" w:type="dxa"/>
              <w:bottom w:w="80" w:type="dxa"/>
              <w:right w:w="90" w:type="dxa"/>
            </w:tcMar>
          </w:tcPr>
          <w:p w14:paraId="23E4A53D">
            <w:r>
              <w:rPr>
                <w:b/>
                <w:sz w:val="11"/>
              </w:rPr>
              <w:t>Relative / interpretation</w:t>
            </w:r>
          </w:p>
        </w:tc>
      </w:tr>
      <w:tr w14:paraId="1F328E5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13D58B2A">
            <w:r>
              <w:rPr>
                <w:sz w:val="11"/>
              </w:rPr>
              <w:t>1-step RMSE_T</w:t>
            </w:r>
          </w:p>
        </w:tc>
        <w:tc>
          <w:tcPr>
            <w:tcW w:w="1800" w:type="dxa"/>
            <w:tcMar>
              <w:top w:w="80" w:type="dxa"/>
              <w:left w:w="90" w:type="dxa"/>
              <w:bottom w:w="80" w:type="dxa"/>
              <w:right w:w="90" w:type="dxa"/>
            </w:tcMar>
          </w:tcPr>
          <w:p w14:paraId="4CC14100">
            <w:r>
              <w:rPr>
                <w:sz w:val="11"/>
              </w:rPr>
              <w:t>0.384 C</w:t>
            </w:r>
          </w:p>
        </w:tc>
        <w:tc>
          <w:tcPr>
            <w:tcW w:w="1800" w:type="dxa"/>
            <w:tcMar>
              <w:top w:w="80" w:type="dxa"/>
              <w:left w:w="90" w:type="dxa"/>
              <w:bottom w:w="80" w:type="dxa"/>
              <w:right w:w="90" w:type="dxa"/>
            </w:tcMar>
          </w:tcPr>
          <w:p w14:paraId="0376F795">
            <w:r>
              <w:rPr>
                <w:sz w:val="11"/>
              </w:rPr>
              <w:t>0.235 C</w:t>
            </w:r>
          </w:p>
        </w:tc>
        <w:tc>
          <w:tcPr>
            <w:tcW w:w="1400" w:type="dxa"/>
            <w:tcMar>
              <w:top w:w="80" w:type="dxa"/>
              <w:left w:w="90" w:type="dxa"/>
              <w:bottom w:w="80" w:type="dxa"/>
              <w:right w:w="90" w:type="dxa"/>
            </w:tcMar>
          </w:tcPr>
          <w:p w14:paraId="749EACE0">
            <w:r>
              <w:rPr>
                <w:sz w:val="11"/>
              </w:rPr>
              <w:t>-0.149 C</w:t>
            </w:r>
          </w:p>
        </w:tc>
        <w:tc>
          <w:tcPr>
            <w:tcW w:w="2660" w:type="dxa"/>
            <w:tcMar>
              <w:top w:w="80" w:type="dxa"/>
              <w:left w:w="90" w:type="dxa"/>
              <w:bottom w:w="80" w:type="dxa"/>
              <w:right w:w="90" w:type="dxa"/>
            </w:tcMar>
          </w:tcPr>
          <w:p w14:paraId="35DA0150">
            <w:r>
              <w:rPr>
                <w:sz w:val="11"/>
              </w:rPr>
              <w:t>-38.9% after Stage A/B/C</w:t>
            </w:r>
          </w:p>
        </w:tc>
      </w:tr>
      <w:tr w14:paraId="2DB2F4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5AF38B87">
            <w:r>
              <w:rPr>
                <w:sz w:val="11"/>
              </w:rPr>
              <w:t>24h rollout RMSE_T</w:t>
            </w:r>
          </w:p>
        </w:tc>
        <w:tc>
          <w:tcPr>
            <w:tcW w:w="1800" w:type="dxa"/>
            <w:tcMar>
              <w:top w:w="80" w:type="dxa"/>
              <w:left w:w="90" w:type="dxa"/>
              <w:bottom w:w="80" w:type="dxa"/>
              <w:right w:w="90" w:type="dxa"/>
            </w:tcMar>
          </w:tcPr>
          <w:p w14:paraId="43EEA5E6">
            <w:r>
              <w:rPr>
                <w:sz w:val="11"/>
              </w:rPr>
              <w:t>1.466 C raw v3.5</w:t>
            </w:r>
          </w:p>
        </w:tc>
        <w:tc>
          <w:tcPr>
            <w:tcW w:w="1800" w:type="dxa"/>
            <w:tcMar>
              <w:top w:w="80" w:type="dxa"/>
              <w:left w:w="90" w:type="dxa"/>
              <w:bottom w:w="80" w:type="dxa"/>
              <w:right w:w="90" w:type="dxa"/>
            </w:tcMar>
          </w:tcPr>
          <w:p w14:paraId="083C07DC">
            <w:r>
              <w:rPr>
                <w:sz w:val="11"/>
              </w:rPr>
              <w:t>0.644 C calibrated v3.5</w:t>
            </w:r>
          </w:p>
        </w:tc>
        <w:tc>
          <w:tcPr>
            <w:tcW w:w="1400" w:type="dxa"/>
            <w:tcMar>
              <w:top w:w="80" w:type="dxa"/>
              <w:left w:w="90" w:type="dxa"/>
              <w:bottom w:w="80" w:type="dxa"/>
              <w:right w:w="90" w:type="dxa"/>
            </w:tcMar>
          </w:tcPr>
          <w:p w14:paraId="31B5CE47">
            <w:r>
              <w:rPr>
                <w:sz w:val="11"/>
              </w:rPr>
              <w:t>-0.822 C</w:t>
            </w:r>
          </w:p>
        </w:tc>
        <w:tc>
          <w:tcPr>
            <w:tcW w:w="2660" w:type="dxa"/>
            <w:tcMar>
              <w:top w:w="80" w:type="dxa"/>
              <w:left w:w="90" w:type="dxa"/>
              <w:bottom w:w="80" w:type="dxa"/>
              <w:right w:w="90" w:type="dxa"/>
            </w:tcMar>
          </w:tcPr>
          <w:p w14:paraId="3DFA9B9E">
            <w:r>
              <w:rPr>
                <w:sz w:val="11"/>
              </w:rPr>
              <w:t>-56.1% within v3.5 family</w:t>
            </w:r>
          </w:p>
        </w:tc>
      </w:tr>
      <w:tr w14:paraId="6A5AE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2F020F91">
            <w:r>
              <w:rPr>
                <w:sz w:val="11"/>
              </w:rPr>
              <w:t>Power MAE</w:t>
            </w:r>
          </w:p>
        </w:tc>
        <w:tc>
          <w:tcPr>
            <w:tcW w:w="1800" w:type="dxa"/>
            <w:tcMar>
              <w:top w:w="80" w:type="dxa"/>
              <w:left w:w="90" w:type="dxa"/>
              <w:bottom w:w="80" w:type="dxa"/>
              <w:right w:w="90" w:type="dxa"/>
            </w:tcMar>
          </w:tcPr>
          <w:p w14:paraId="1F94114A">
            <w:r>
              <w:rPr>
                <w:sz w:val="11"/>
              </w:rPr>
              <w:t>810 W</w:t>
            </w:r>
          </w:p>
        </w:tc>
        <w:tc>
          <w:tcPr>
            <w:tcW w:w="1800" w:type="dxa"/>
            <w:tcMar>
              <w:top w:w="80" w:type="dxa"/>
              <w:left w:w="90" w:type="dxa"/>
              <w:bottom w:w="80" w:type="dxa"/>
              <w:right w:w="90" w:type="dxa"/>
            </w:tcMar>
          </w:tcPr>
          <w:p w14:paraId="05BD9547">
            <w:r>
              <w:rPr>
                <w:sz w:val="11"/>
              </w:rPr>
              <w:t>482 W</w:t>
            </w:r>
          </w:p>
        </w:tc>
        <w:tc>
          <w:tcPr>
            <w:tcW w:w="1400" w:type="dxa"/>
            <w:tcMar>
              <w:top w:w="80" w:type="dxa"/>
              <w:left w:w="90" w:type="dxa"/>
              <w:bottom w:w="80" w:type="dxa"/>
              <w:right w:w="90" w:type="dxa"/>
            </w:tcMar>
          </w:tcPr>
          <w:p w14:paraId="3F41D4AE">
            <w:r>
              <w:rPr>
                <w:sz w:val="11"/>
              </w:rPr>
              <w:t>-328 W</w:t>
            </w:r>
          </w:p>
        </w:tc>
        <w:tc>
          <w:tcPr>
            <w:tcW w:w="2660" w:type="dxa"/>
            <w:tcMar>
              <w:top w:w="80" w:type="dxa"/>
              <w:left w:w="90" w:type="dxa"/>
              <w:bottom w:w="80" w:type="dxa"/>
              <w:right w:w="90" w:type="dxa"/>
            </w:tcMar>
          </w:tcPr>
          <w:p w14:paraId="0DFA257B">
            <w:r>
              <w:rPr>
                <w:sz w:val="11"/>
              </w:rPr>
              <w:t>-40.5% after power-head refinement</w:t>
            </w:r>
          </w:p>
        </w:tc>
      </w:tr>
      <w:tr w14:paraId="342293C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776B8910">
            <w:r>
              <w:rPr>
                <w:sz w:val="11"/>
              </w:rPr>
              <w:t>C_zon</w:t>
            </w:r>
          </w:p>
        </w:tc>
        <w:tc>
          <w:tcPr>
            <w:tcW w:w="1800" w:type="dxa"/>
            <w:tcMar>
              <w:top w:w="80" w:type="dxa"/>
              <w:left w:w="90" w:type="dxa"/>
              <w:bottom w:w="80" w:type="dxa"/>
              <w:right w:w="90" w:type="dxa"/>
            </w:tcMar>
          </w:tcPr>
          <w:p w14:paraId="5FC63AED">
            <w:r>
              <w:rPr>
                <w:sz w:val="11"/>
              </w:rPr>
              <w:t>4.200e5 J/K prior</w:t>
            </w:r>
          </w:p>
        </w:tc>
        <w:tc>
          <w:tcPr>
            <w:tcW w:w="1800" w:type="dxa"/>
            <w:tcMar>
              <w:top w:w="80" w:type="dxa"/>
              <w:left w:w="90" w:type="dxa"/>
              <w:bottom w:w="80" w:type="dxa"/>
              <w:right w:w="90" w:type="dxa"/>
            </w:tcMar>
          </w:tcPr>
          <w:p w14:paraId="42C74BD2">
            <w:r>
              <w:rPr>
                <w:sz w:val="11"/>
              </w:rPr>
              <w:t>4.413e5 J/K</w:t>
            </w:r>
          </w:p>
        </w:tc>
        <w:tc>
          <w:tcPr>
            <w:tcW w:w="1400" w:type="dxa"/>
            <w:tcMar>
              <w:top w:w="80" w:type="dxa"/>
              <w:left w:w="90" w:type="dxa"/>
              <w:bottom w:w="80" w:type="dxa"/>
              <w:right w:w="90" w:type="dxa"/>
            </w:tcMar>
          </w:tcPr>
          <w:p w14:paraId="336F0238">
            <w:r>
              <w:rPr>
                <w:sz w:val="11"/>
              </w:rPr>
              <w:t>+2.13e4 J/K</w:t>
            </w:r>
          </w:p>
        </w:tc>
        <w:tc>
          <w:tcPr>
            <w:tcW w:w="2660" w:type="dxa"/>
            <w:tcMar>
              <w:top w:w="80" w:type="dxa"/>
              <w:left w:w="90" w:type="dxa"/>
              <w:bottom w:w="80" w:type="dxa"/>
              <w:right w:w="90" w:type="dxa"/>
            </w:tcMar>
          </w:tcPr>
          <w:p w14:paraId="47DB6A1E">
            <w:r>
              <w:rPr>
                <w:sz w:val="11"/>
              </w:rPr>
              <w:t>+5.1%; physically plausible update</w:t>
            </w:r>
          </w:p>
        </w:tc>
      </w:tr>
      <w:tr w14:paraId="28DC8F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30E5FCFC">
            <w:r>
              <w:rPr>
                <w:sz w:val="11"/>
              </w:rPr>
              <w:t>v3 hourly</w:t>
            </w:r>
          </w:p>
        </w:tc>
        <w:tc>
          <w:tcPr>
            <w:tcW w:w="1800" w:type="dxa"/>
            <w:tcMar>
              <w:top w:w="80" w:type="dxa"/>
              <w:left w:w="90" w:type="dxa"/>
              <w:bottom w:w="80" w:type="dxa"/>
              <w:right w:w="90" w:type="dxa"/>
            </w:tcMar>
          </w:tcPr>
          <w:p w14:paraId="687170FD">
            <w:r>
              <w:rPr>
                <w:sz w:val="11"/>
              </w:rPr>
              <w:t>1.557 C</w:t>
            </w:r>
          </w:p>
        </w:tc>
        <w:tc>
          <w:tcPr>
            <w:tcW w:w="1800" w:type="dxa"/>
            <w:tcMar>
              <w:top w:w="80" w:type="dxa"/>
              <w:left w:w="90" w:type="dxa"/>
              <w:bottom w:w="80" w:type="dxa"/>
              <w:right w:w="90" w:type="dxa"/>
            </w:tcMar>
          </w:tcPr>
          <w:p w14:paraId="44A0B921">
            <w:r>
              <w:rPr>
                <w:sz w:val="11"/>
              </w:rPr>
              <w:t>0.876 C v3 15-min</w:t>
            </w:r>
          </w:p>
        </w:tc>
        <w:tc>
          <w:tcPr>
            <w:tcW w:w="1400" w:type="dxa"/>
            <w:tcMar>
              <w:top w:w="80" w:type="dxa"/>
              <w:left w:w="90" w:type="dxa"/>
              <w:bottom w:w="80" w:type="dxa"/>
              <w:right w:w="90" w:type="dxa"/>
            </w:tcMar>
          </w:tcPr>
          <w:p w14:paraId="7E92EB5B">
            <w:r>
              <w:rPr>
                <w:sz w:val="11"/>
              </w:rPr>
              <w:t>-0.681 C</w:t>
            </w:r>
          </w:p>
        </w:tc>
        <w:tc>
          <w:tcPr>
            <w:tcW w:w="2660" w:type="dxa"/>
            <w:tcMar>
              <w:top w:w="80" w:type="dxa"/>
              <w:left w:w="90" w:type="dxa"/>
              <w:bottom w:w="80" w:type="dxa"/>
              <w:right w:w="90" w:type="dxa"/>
            </w:tcMar>
          </w:tcPr>
          <w:p w14:paraId="6BA1687C">
            <w:r>
              <w:rPr>
                <w:sz w:val="11"/>
              </w:rPr>
              <w:t>74.6% of v3-to-v3.5 gap is corpus shift</w:t>
            </w:r>
          </w:p>
        </w:tc>
      </w:tr>
      <w:tr w14:paraId="6A89BF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6BBC651E">
            <w:r>
              <w:rPr>
                <w:sz w:val="11"/>
              </w:rPr>
              <w:t>v3 15-min to v3.5</w:t>
            </w:r>
          </w:p>
        </w:tc>
        <w:tc>
          <w:tcPr>
            <w:tcW w:w="1800" w:type="dxa"/>
            <w:tcMar>
              <w:top w:w="80" w:type="dxa"/>
              <w:left w:w="90" w:type="dxa"/>
              <w:bottom w:w="80" w:type="dxa"/>
              <w:right w:w="90" w:type="dxa"/>
            </w:tcMar>
          </w:tcPr>
          <w:p w14:paraId="767BDE85">
            <w:r>
              <w:rPr>
                <w:sz w:val="11"/>
              </w:rPr>
              <w:t>0.876 C</w:t>
            </w:r>
          </w:p>
        </w:tc>
        <w:tc>
          <w:tcPr>
            <w:tcW w:w="1800" w:type="dxa"/>
            <w:tcMar>
              <w:top w:w="80" w:type="dxa"/>
              <w:left w:w="90" w:type="dxa"/>
              <w:bottom w:w="80" w:type="dxa"/>
              <w:right w:w="90" w:type="dxa"/>
            </w:tcMar>
          </w:tcPr>
          <w:p w14:paraId="5C916AB0">
            <w:r>
              <w:rPr>
                <w:sz w:val="11"/>
              </w:rPr>
              <w:t>0.644 C</w:t>
            </w:r>
          </w:p>
        </w:tc>
        <w:tc>
          <w:tcPr>
            <w:tcW w:w="1400" w:type="dxa"/>
            <w:tcMar>
              <w:top w:w="80" w:type="dxa"/>
              <w:left w:w="90" w:type="dxa"/>
              <w:bottom w:w="80" w:type="dxa"/>
              <w:right w:w="90" w:type="dxa"/>
            </w:tcMar>
          </w:tcPr>
          <w:p w14:paraId="258B8DD5">
            <w:r>
              <w:rPr>
                <w:sz w:val="11"/>
              </w:rPr>
              <w:t>-0.232 C</w:t>
            </w:r>
          </w:p>
        </w:tc>
        <w:tc>
          <w:tcPr>
            <w:tcW w:w="2660" w:type="dxa"/>
            <w:tcMar>
              <w:top w:w="80" w:type="dxa"/>
              <w:left w:w="90" w:type="dxa"/>
              <w:bottom w:w="80" w:type="dxa"/>
              <w:right w:w="90" w:type="dxa"/>
            </w:tcMar>
          </w:tcPr>
          <w:p w14:paraId="533C5A31">
            <w:r>
              <w:rPr>
                <w:sz w:val="11"/>
              </w:rPr>
              <w:t>25.4% of gap is Stage A/B/C calibration</w:t>
            </w:r>
          </w:p>
        </w:tc>
      </w:tr>
    </w:tbl>
    <w:p w14:paraId="4ABAF4EB">
      <w:r>
        <w:rPr>
          <w:i/>
          <w:color w:val="555555"/>
          <w:sz w:val="18"/>
        </w:rPr>
        <w:t>Table 3. Block 1 calibration and matched-corpus metrics. Full per-episode and residual diagnostics are in the supplementary material.</w:t>
      </w:r>
    </w:p>
    <w:p w14:paraId="3D70C998">
      <w:pPr>
        <w:pStyle w:val="3"/>
      </w:pPr>
      <w:r>
        <w:t>5.3 Matched-corpus decomposition</w:t>
      </w:r>
    </w:p>
    <w:p w14:paraId="0AEEFDB6">
      <w:pPr>
        <w:jc w:val="center"/>
      </w:pPr>
      <w:r>
        <w:drawing>
          <wp:inline distT="0" distB="0" distL="0" distR="0">
            <wp:extent cx="5669280" cy="2743200"/>
            <wp:effectExtent l="0" t="0" r="0" b="0"/>
            <wp:docPr id="6" name="q1eng_fig06"/>
            <wp:cNvGraphicFramePr/>
            <a:graphic xmlns:a="http://schemas.openxmlformats.org/drawingml/2006/main">
              <a:graphicData uri="http://schemas.openxmlformats.org/drawingml/2006/picture">
                <pic:pic xmlns:pic="http://schemas.openxmlformats.org/drawingml/2006/picture">
                  <pic:nvPicPr>
                    <pic:cNvPr id="6" name="q1eng_fig06"/>
                    <pic:cNvPicPr/>
                  </pic:nvPicPr>
                  <pic:blipFill>
                    <a:blip r:embed="rId11"/>
                    <a:stretch>
                      <a:fillRect/>
                    </a:stretch>
                  </pic:blipFill>
                  <pic:spPr>
                    <a:xfrm>
                      <a:off x="0" y="0"/>
                      <a:ext cx="5669280" cy="2743200"/>
                    </a:xfrm>
                    <a:prstGeom prst="rect">
                      <a:avLst/>
                    </a:prstGeom>
                  </pic:spPr>
                </pic:pic>
              </a:graphicData>
            </a:graphic>
          </wp:inline>
        </w:drawing>
      </w:r>
    </w:p>
    <w:p w14:paraId="51504EF9">
      <w:r>
        <w:rPr>
          <w:i/>
          <w:color w:val="555555"/>
          <w:sz w:val="18"/>
        </w:rPr>
        <w:t>Figure 6. Matched-corpus waterfall decomposition. The plot separates the 15-minute corpus contribution from the additional Stage A/B/C calibration contribution.</w:t>
      </w:r>
    </w:p>
    <w:p w14:paraId="6DC33E04">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r>
        <w:t>This decomposition bounds the calibration claim. The move from the legacy hourly v3 corpus to a matched 15 min v3 corpus reduces 24 h RMSE_T from 1.557 C to 0.876 C, explaining 74.6% of the original v3-to-v3.5 gap. Stage A/B/C then reduces the matched-corpus error further from 0.876 C to 0.644 C, explaining the remaining 25.4%. We therefore do not claim that physics alone explains the full improvement; the defensible claim is that corpus resolution and physical calibration jointly produce the final predictive-fidelity gain.</w:t>
      </w:r>
    </w:p>
    <w:p>
      <w:r>
        <w:t>Numerically, the total apparent 24 h gain from legacy v3 to calibrated v3.5 is Delta_total = 1.557 - 0.644 = 0.913 C. The corpus-resolution term is Delta_corpus = 1.557 - 0.876 = 0.681 C, while the calibrated-physics term is Delta_cal = 0.876 - 0.644 = 0.232 C. The attribution ratios are Delta_corpus / Delta_total = 74.6% and Delta_cal / Delta_total = 25.4%. This is why the paper describes Stage A/B/C as a real but bounded calibration contribution rather than the sole source of the fidelity gain.</w:t>
      </w:r>
    </w:p>
    <w:p w14:paraId="6EFF1327">
      <w:pPr>
        <w:pStyle w:val="3"/>
      </w:pPr>
      <w:r>
        <w:t>5.4 Fidelity-to-control gap</w:t>
      </w:r>
    </w:p>
    <w:p w14:paraId="62C37030">
      <w:pPr>
        <w:jc w:val="center"/>
      </w:pPr>
      <w:r>
        <w:drawing>
          <wp:inline distT="0" distB="0" distL="0" distR="0">
            <wp:extent cx="5303520" cy="3108960"/>
            <wp:effectExtent l="0" t="0" r="0" b="0"/>
            <wp:docPr id="7" name="q1eng_fig07"/>
            <wp:cNvGraphicFramePr/>
            <a:graphic xmlns:a="http://schemas.openxmlformats.org/drawingml/2006/main">
              <a:graphicData uri="http://schemas.openxmlformats.org/drawingml/2006/picture">
                <pic:pic xmlns:pic="http://schemas.openxmlformats.org/drawingml/2006/picture">
                  <pic:nvPicPr>
                    <pic:cNvPr id="7" name="q1eng_fig07"/>
                    <pic:cNvPicPr/>
                  </pic:nvPicPr>
                  <pic:blipFill>
                    <a:blip r:embed="rId12"/>
                    <a:stretch>
                      <a:fillRect/>
                    </a:stretch>
                  </pic:blipFill>
                  <pic:spPr>
                    <a:xfrm>
                      <a:off x="0" y="0"/>
                      <a:ext cx="5303520" cy="3108960"/>
                    </a:xfrm>
                    <a:prstGeom prst="rect">
                      <a:avLst/>
                    </a:prstGeom>
                  </pic:spPr>
                </pic:pic>
              </a:graphicData>
            </a:graphic>
          </wp:inline>
        </w:drawing>
      </w:r>
    </w:p>
    <w:p w14:paraId="67331D69">
      <w:r>
        <w:rPr>
          <w:i/>
          <w:color w:val="555555"/>
          <w:sz w:val="18"/>
        </w:rPr>
        <w:t>Figure 7. Predictive fidelity vs live control utility. Calibrated v3.5 is the strongest offline predictor but the weakest direct RL rollout backend; hybrid role separation recovers live utility.</w:t>
      </w:r>
    </w:p>
    <w:p w14:paraId="53A1E30F">
      <w:pPr>
        <w:jc w:val="center"/>
      </w:pPr>
      <w:r>
        <w:drawing>
          <wp:inline distT="0" distB="0" distL="0" distR="0">
            <wp:extent cx="6126480" cy="4206240"/>
            <wp:effectExtent l="0" t="0" r="0" b="0"/>
            <wp:docPr id="8" name="q1eng_fig08"/>
            <wp:cNvGraphicFramePr/>
            <a:graphic xmlns:a="http://schemas.openxmlformats.org/drawingml/2006/main">
              <a:graphicData uri="http://schemas.openxmlformats.org/drawingml/2006/picture">
                <pic:pic xmlns:pic="http://schemas.openxmlformats.org/drawingml/2006/picture">
                  <pic:nvPicPr>
                    <pic:cNvPr id="8" name="q1eng_fig08"/>
                    <pic:cNvPicPr/>
                  </pic:nvPicPr>
                  <pic:blipFill>
                    <a:blip r:embed="rId13"/>
                    <a:stretch>
                      <a:fillRect/>
                    </a:stretch>
                  </pic:blipFill>
                  <pic:spPr>
                    <a:xfrm>
                      <a:off x="0" y="0"/>
                      <a:ext cx="6126480" cy="4206240"/>
                    </a:xfrm>
                    <a:prstGeom prst="rect">
                      <a:avLst/>
                    </a:prstGeom>
                  </pic:spPr>
                </pic:pic>
              </a:graphicData>
            </a:graphic>
          </wp:inline>
        </w:drawing>
      </w:r>
    </w:p>
    <w:p w14:paraId="5C23683B">
      <w:r>
        <w:rPr>
          <w:i/>
          <w:color w:val="555555"/>
          <w:sz w:val="18"/>
        </w:rPr>
        <w:t>Figure 8. Live BOPTEST closed-loop traces for pure v3, direct v3.5, and hybrid_l010. The trace view shows the comfort-band behaviour, supply commands, and power response behind the aggregate KPIs.</w:t>
      </w:r>
    </w:p>
    <w:p w14:paraId="2E6FB2F8">
      <w:pPr>
        <w:jc w:val="center"/>
      </w:pPr>
      <w:r>
        <w:drawing>
          <wp:inline distT="0" distB="0" distL="0" distR="0">
            <wp:extent cx="6126480" cy="2743200"/>
            <wp:effectExtent l="0" t="0" r="0" b="0"/>
            <wp:docPr id="9" name="q1eng_fig09"/>
            <wp:cNvGraphicFramePr/>
            <a:graphic xmlns:a="http://schemas.openxmlformats.org/drawingml/2006/main">
              <a:graphicData uri="http://schemas.openxmlformats.org/drawingml/2006/picture">
                <pic:pic xmlns:pic="http://schemas.openxmlformats.org/drawingml/2006/picture">
                  <pic:nvPicPr>
                    <pic:cNvPr id="9" name="q1eng_fig09"/>
                    <pic:cNvPicPr/>
                  </pic:nvPicPr>
                  <pic:blipFill>
                    <a:blip r:embed="rId14"/>
                    <a:stretch>
                      <a:fillRect/>
                    </a:stretch>
                  </pic:blipFill>
                  <pic:spPr>
                    <a:xfrm>
                      <a:off x="0" y="0"/>
                      <a:ext cx="6126480" cy="2743200"/>
                    </a:xfrm>
                    <a:prstGeom prst="rect">
                      <a:avLst/>
                    </a:prstGeom>
                  </pic:spPr>
                </pic:pic>
              </a:graphicData>
            </a:graphic>
          </wp:inline>
        </w:drawing>
      </w:r>
    </w:p>
    <w:p w14:paraId="7E0EF6D4">
      <w:r>
        <w:rPr>
          <w:i/>
          <w:color w:val="555555"/>
          <w:sz w:val="18"/>
        </w:rPr>
        <w:t>Figure 9. Action distribution and phase portrait. Direct v3.5 PPO exhibits bang-bang action saturation and extreme action response relative to temperature error, explaining its live transfer failure.</w:t>
      </w:r>
    </w:p>
    <w:p w14:paraId="111C471B">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r>
        <w:t>The live-control deltas are large enough to rule out a minor tuning explanation. Direct-v3.5 PPO reaches approximately 4.32-4.40 C live RMSE_T with comfort violation around 77-82%, whereas the hybrid controller is around 0.61-0.63 C RMSE_T with low single-digit violation on the same targeted windows. Thus, the failure is not that v3.5 is an inaccurate predictor; it is that direct PPO training on v3.5 induces a brittle policy distribution.</w:t>
      </w:r>
    </w:p>
    <w:p>
      <w:r>
        <w:t>The action distribution and phase portrait in Figure 9 provide the mechanism-level explanation. The direct-v3.5 policy enters saturated bang-bang action regimes and produces extreme actions for modest temperature errors. Hybridization avoids this by preserving v3 as the smooth rollout model while using frozen v3.5 only as a physical disagreement penalty.</w:t>
      </w:r>
    </w:p>
    <w:p>
      <w:r>
        <w:t>The resulting hybrid reward can be summarized as r_hybrid = r_comfort + r_smooth + r_energy - lambda_T |T_v3 - T_v35| - lambda_P |P_v3 - P_v35|. This expression makes the engineering role separation explicit: the policy state transition is still generated by v3, while v3.5 contributes a physical consistency cost but does not define the rollout dynamics.</w:t>
      </w:r>
    </w:p>
    <w:p>
      <w:r>
        <w:t>The hybrid backend also remains computationally feasible for reinforcement learning. In the CPU speed benchmark it sustains approximately 1787 environment steps per second, about 85x faster than the live BOPTEST RTE HTTP-Docker loop used for validation. The hybrid result is therefore not only more stable in live control; it is also fast enough to remain a practical PPO training backend.</w:t>
      </w:r>
    </w:p>
    <w:p>
      <w:pPr>
        <w:pStyle w:val="Heading2"/>
      </w:pPr>
      <w:r>
        <w:t>5.5 Block 1 conclusion</w:t>
      </w:r>
    </w:p>
    <w:p>
      <w:r>
        <w:t>Block 1 closes with a deliberately asymmetric conclusion. As a predictive digital twin, calibrated v3.5 is supported: Stage A/B/C reduces 24 h rollout RMSE_T from 1.466 C to 0.644 C, reduces power MAE from 810 W to 482 W, and identifies a physically plausible C_zon = 4.413e5 J/K. The residual distribution, error CDF, and Stage-B convergence diagnostics show that this is not a single-metric artifact.</w:t>
      </w:r>
    </w:p>
    <w:p>
      <w:r>
        <w:t>As a direct RL rollout environment, however, calibrated v3.5 is rejected. PPO trained directly on v3.5 enters saturated action regimes and fails live BOPTEST validation despite the model's stronger offline predictive fidelity. This falsifies the simple assumption that the most accurate surrogate is automatically the best policy-training environment.</w:t>
      </w:r>
    </w:p>
    <w:p>
      <w:r>
        <w:t>The constructive outcome is role separation. The v3 surrogate remains the rollout backend because it provides smooth and computationally cheap dynamics for PPO; calibrated v3.5 is retained as a frozen physical teacher through disagreement regularization. This conclusion is the dependency passed to Block 2: controller validation must test the hybrid role assignment, not merely compare surrogate RMSE values.</w:t>
      </w:r>
    </w:p>
    <w:p w14:paraId="75BA3EE8">
      <w:pPr>
        <w:pStyle w:val="2"/>
      </w:pPr>
      <w:r>
        <w:t>6. Results II: Control Performance</w:t>
      </w:r>
    </w:p>
    <w:p w14:paraId="7391BC6F">
      <w:pPr>
        <w:pStyle w:val="3"/>
      </w:pPr>
      <w:r>
        <w:t>6.1 Block 2 objective and controller families</w:t>
      </w:r>
    </w:p>
    <w:p w14:paraId="02660913">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14:paraId="447AE3A6">
      <w:pPr>
        <w:pStyle w:val="3"/>
      </w:pPr>
      <w:r>
        <w:t>6.2 Thermostatic PPO and HDRL</w:t>
      </w:r>
    </w:p>
    <w:p w14:paraId="04A6F0E4">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14:paraId="5644FAD3">
      <w:pPr>
        <w:pStyle w:val="3"/>
      </w:pPr>
      <w:r>
        <w:t>6.3 MORL, observation interface and seed variance</w:t>
      </w:r>
    </w:p>
    <w:p w14:paraId="2353DB70">
      <w:pPr>
        <w:jc w:val="center"/>
      </w:pPr>
      <w:r>
        <w:drawing>
          <wp:inline distT="0" distB="0" distL="0" distR="0">
            <wp:extent cx="5303520" cy="3200400"/>
            <wp:effectExtent l="0" t="0" r="0" b="0"/>
            <wp:docPr id="10" name="q1eng_fig10"/>
            <wp:cNvGraphicFramePr/>
            <a:graphic xmlns:a="http://schemas.openxmlformats.org/drawingml/2006/main">
              <a:graphicData uri="http://schemas.openxmlformats.org/drawingml/2006/picture">
                <pic:pic xmlns:pic="http://schemas.openxmlformats.org/drawingml/2006/picture">
                  <pic:nvPicPr>
                    <pic:cNvPr id="10" name="q1eng_fig10"/>
                    <pic:cNvPicPr/>
                  </pic:nvPicPr>
                  <pic:blipFill>
                    <a:blip r:embed="rId15"/>
                    <a:stretch>
                      <a:fillRect/>
                    </a:stretch>
                  </pic:blipFill>
                  <pic:spPr>
                    <a:xfrm>
                      <a:off x="0" y="0"/>
                      <a:ext cx="5303520" cy="3200400"/>
                    </a:xfrm>
                    <a:prstGeom prst="rect">
                      <a:avLst/>
                    </a:prstGeom>
                  </pic:spPr>
                </pic:pic>
              </a:graphicData>
            </a:graphic>
          </wp:inline>
        </w:drawing>
      </w:r>
    </w:p>
    <w:p w14:paraId="31892C98">
      <w:r>
        <w:rPr>
          <w:i/>
          <w:color w:val="555555"/>
          <w:sz w:val="18"/>
        </w:rPr>
        <w:t>Figure 10. MORL comfort-energy Pareto front with canonical seed-variance information. Energy-only scalarization collapses, comfort-only has the lowest m_s, and practical 75/25 remains seed-sensitive.</w:t>
      </w:r>
    </w:p>
    <w:p w14:paraId="114E378E">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1650"/>
        <w:gridCol w:w="3050"/>
        <w:gridCol w:w="1550"/>
        <w:gridCol w:w="1610"/>
      </w:tblGrid>
      <w:tr w14:paraId="45148C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E5C37B">
            <w:r>
              <w:rPr>
                <w:b/>
                <w:sz w:val="11"/>
              </w:rPr>
              <w:t>Family / policy</w:t>
            </w:r>
          </w:p>
        </w:tc>
        <w:tc>
          <w:tcPr>
            <w:tcW w:w="1650" w:type="dxa"/>
            <w:shd w:val="clear" w:color="auto" w:fill="EAF2F8"/>
            <w:tcMar>
              <w:top w:w="80" w:type="dxa"/>
              <w:left w:w="90" w:type="dxa"/>
              <w:bottom w:w="80" w:type="dxa"/>
              <w:right w:w="90" w:type="dxa"/>
            </w:tcMar>
          </w:tcPr>
          <w:p w14:paraId="7CEF30BC">
            <w:r>
              <w:rPr>
                <w:b/>
                <w:sz w:val="11"/>
              </w:rPr>
              <w:t>Best backend or variant</w:t>
            </w:r>
          </w:p>
        </w:tc>
        <w:tc>
          <w:tcPr>
            <w:tcW w:w="3050" w:type="dxa"/>
            <w:shd w:val="clear" w:color="auto" w:fill="EAF2F8"/>
            <w:tcMar>
              <w:top w:w="80" w:type="dxa"/>
              <w:left w:w="90" w:type="dxa"/>
              <w:bottom w:w="80" w:type="dxa"/>
              <w:right w:w="90" w:type="dxa"/>
            </w:tcMar>
          </w:tcPr>
          <w:p w14:paraId="3FA45B4E">
            <w:r>
              <w:rPr>
                <w:b/>
                <w:sz w:val="11"/>
              </w:rPr>
              <w:t>Primary result</w:t>
            </w:r>
          </w:p>
        </w:tc>
        <w:tc>
          <w:tcPr>
            <w:tcW w:w="1550" w:type="dxa"/>
            <w:shd w:val="clear" w:color="auto" w:fill="EAF2F8"/>
            <w:tcMar>
              <w:top w:w="80" w:type="dxa"/>
              <w:left w:w="90" w:type="dxa"/>
              <w:bottom w:w="80" w:type="dxa"/>
              <w:right w:w="90" w:type="dxa"/>
            </w:tcMar>
          </w:tcPr>
          <w:p w14:paraId="17C329A0">
            <w:r>
              <w:rPr>
                <w:b/>
                <w:sz w:val="11"/>
              </w:rPr>
              <w:t>m_s / variance</w:t>
            </w:r>
          </w:p>
        </w:tc>
        <w:tc>
          <w:tcPr>
            <w:tcW w:w="1610" w:type="dxa"/>
            <w:shd w:val="clear" w:color="auto" w:fill="EAF2F8"/>
            <w:tcMar>
              <w:top w:w="80" w:type="dxa"/>
              <w:left w:w="90" w:type="dxa"/>
              <w:bottom w:w="80" w:type="dxa"/>
              <w:right w:w="90" w:type="dxa"/>
            </w:tcMar>
          </w:tcPr>
          <w:p w14:paraId="097B1A23">
            <w:r>
              <w:rPr>
                <w:b/>
                <w:sz w:val="11"/>
              </w:rPr>
              <w:t>Verdict</w:t>
            </w:r>
          </w:p>
        </w:tc>
      </w:tr>
      <w:tr w14:paraId="7796AC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2273184">
            <w:r>
              <w:rPr>
                <w:sz w:val="11"/>
              </w:rPr>
              <w:t>Thermostatic PPO</w:t>
            </w:r>
          </w:p>
        </w:tc>
        <w:tc>
          <w:tcPr>
            <w:tcW w:w="1650" w:type="dxa"/>
            <w:tcMar>
              <w:top w:w="80" w:type="dxa"/>
              <w:left w:w="90" w:type="dxa"/>
              <w:bottom w:w="80" w:type="dxa"/>
              <w:right w:w="90" w:type="dxa"/>
            </w:tcMar>
          </w:tcPr>
          <w:p w14:paraId="38DC7291">
            <w:r>
              <w:rPr>
                <w:sz w:val="11"/>
              </w:rPr>
              <w:t>hybrid_l010</w:t>
            </w:r>
          </w:p>
        </w:tc>
        <w:tc>
          <w:tcPr>
            <w:tcW w:w="3050" w:type="dxa"/>
            <w:tcMar>
              <w:top w:w="80" w:type="dxa"/>
              <w:left w:w="90" w:type="dxa"/>
              <w:bottom w:w="80" w:type="dxa"/>
              <w:right w:w="90" w:type="dxa"/>
            </w:tcMar>
          </w:tcPr>
          <w:p w14:paraId="4DE51784">
            <w:r>
              <w:rPr>
                <w:sz w:val="11"/>
              </w:rPr>
              <w:t>Peak/typical RMSE 0.633 / 0.612 C</w:t>
            </w:r>
          </w:p>
        </w:tc>
        <w:tc>
          <w:tcPr>
            <w:tcW w:w="1550" w:type="dxa"/>
            <w:tcMar>
              <w:top w:w="80" w:type="dxa"/>
              <w:left w:w="90" w:type="dxa"/>
              <w:bottom w:w="80" w:type="dxa"/>
              <w:right w:w="90" w:type="dxa"/>
            </w:tcMar>
          </w:tcPr>
          <w:p w14:paraId="4A1425CD">
            <w:r>
              <w:rPr>
                <w:sz w:val="11"/>
              </w:rPr>
              <w:t>m_s 0.0866 / 0.0411</w:t>
            </w:r>
          </w:p>
        </w:tc>
        <w:tc>
          <w:tcPr>
            <w:tcW w:w="1610" w:type="dxa"/>
            <w:tcMar>
              <w:top w:w="80" w:type="dxa"/>
              <w:left w:w="90" w:type="dxa"/>
              <w:bottom w:w="80" w:type="dxa"/>
              <w:right w:w="90" w:type="dxa"/>
            </w:tcMar>
          </w:tcPr>
          <w:p w14:paraId="7AC458D9">
            <w:r>
              <w:rPr>
                <w:sz w:val="11"/>
              </w:rPr>
              <w:t>Hybrid regularization supported</w:t>
            </w:r>
          </w:p>
        </w:tc>
      </w:tr>
      <w:tr w14:paraId="1A6F3F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04DFF7CD">
            <w:r>
              <w:rPr>
                <w:sz w:val="11"/>
              </w:rPr>
              <w:t>Direct v3.5 PPO</w:t>
            </w:r>
          </w:p>
        </w:tc>
        <w:tc>
          <w:tcPr>
            <w:tcW w:w="1650" w:type="dxa"/>
            <w:tcMar>
              <w:top w:w="80" w:type="dxa"/>
              <w:left w:w="90" w:type="dxa"/>
              <w:bottom w:w="80" w:type="dxa"/>
              <w:right w:w="90" w:type="dxa"/>
            </w:tcMar>
          </w:tcPr>
          <w:p w14:paraId="7CFFDA49">
            <w:r>
              <w:rPr>
                <w:sz w:val="11"/>
              </w:rPr>
              <w:t>standalone calibrated v3.5</w:t>
            </w:r>
          </w:p>
        </w:tc>
        <w:tc>
          <w:tcPr>
            <w:tcW w:w="3050" w:type="dxa"/>
            <w:tcMar>
              <w:top w:w="80" w:type="dxa"/>
              <w:left w:w="90" w:type="dxa"/>
              <w:bottom w:w="80" w:type="dxa"/>
              <w:right w:w="90" w:type="dxa"/>
            </w:tcMar>
          </w:tcPr>
          <w:p w14:paraId="376E05DB">
            <w:r>
              <w:rPr>
                <w:sz w:val="11"/>
              </w:rPr>
              <w:t>Live RMSE 4.32 / 4.40 C</w:t>
            </w:r>
          </w:p>
        </w:tc>
        <w:tc>
          <w:tcPr>
            <w:tcW w:w="1550" w:type="dxa"/>
            <w:tcMar>
              <w:top w:w="80" w:type="dxa"/>
              <w:left w:w="90" w:type="dxa"/>
              <w:bottom w:w="80" w:type="dxa"/>
              <w:right w:w="90" w:type="dxa"/>
            </w:tcMar>
          </w:tcPr>
          <w:p w14:paraId="1706284F">
            <w:r>
              <w:rPr>
                <w:sz w:val="11"/>
              </w:rPr>
              <w:t>m_s &gt; 1.0</w:t>
            </w:r>
          </w:p>
        </w:tc>
        <w:tc>
          <w:tcPr>
            <w:tcW w:w="1610" w:type="dxa"/>
            <w:tcMar>
              <w:top w:w="80" w:type="dxa"/>
              <w:left w:w="90" w:type="dxa"/>
              <w:bottom w:w="80" w:type="dxa"/>
              <w:right w:w="90" w:type="dxa"/>
            </w:tcMar>
          </w:tcPr>
          <w:p w14:paraId="7077000A">
            <w:r>
              <w:rPr>
                <w:sz w:val="11"/>
              </w:rPr>
              <w:t>Negative control</w:t>
            </w:r>
          </w:p>
        </w:tc>
      </w:tr>
      <w:tr w14:paraId="5DF380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CE7CFA1">
            <w:r>
              <w:rPr>
                <w:sz w:val="11"/>
              </w:rPr>
              <w:t>HDRL</w:t>
            </w:r>
          </w:p>
        </w:tc>
        <w:tc>
          <w:tcPr>
            <w:tcW w:w="1650" w:type="dxa"/>
            <w:tcMar>
              <w:top w:w="80" w:type="dxa"/>
              <w:left w:w="90" w:type="dxa"/>
              <w:bottom w:w="80" w:type="dxa"/>
              <w:right w:w="90" w:type="dxa"/>
            </w:tcMar>
          </w:tcPr>
          <w:p w14:paraId="000CCAE7">
            <w:r>
              <w:rPr>
                <w:sz w:val="11"/>
              </w:rPr>
              <w:t>lambda_temp=0</w:t>
            </w:r>
          </w:p>
        </w:tc>
        <w:tc>
          <w:tcPr>
            <w:tcW w:w="3050" w:type="dxa"/>
            <w:tcMar>
              <w:top w:w="80" w:type="dxa"/>
              <w:left w:w="90" w:type="dxa"/>
              <w:bottom w:w="80" w:type="dxa"/>
              <w:right w:w="90" w:type="dxa"/>
            </w:tcMar>
          </w:tcPr>
          <w:p w14:paraId="5E69FA60">
            <w:r>
              <w:rPr>
                <w:sz w:val="11"/>
              </w:rPr>
              <w:t>Temperature regularizer hurts hierarchy</w:t>
            </w:r>
          </w:p>
        </w:tc>
        <w:tc>
          <w:tcPr>
            <w:tcW w:w="1550" w:type="dxa"/>
            <w:tcMar>
              <w:top w:w="80" w:type="dxa"/>
              <w:left w:w="90" w:type="dxa"/>
              <w:bottom w:w="80" w:type="dxa"/>
              <w:right w:w="90" w:type="dxa"/>
            </w:tcMar>
          </w:tcPr>
          <w:p w14:paraId="01A22FB9">
            <w:r>
              <w:rPr>
                <w:sz w:val="11"/>
              </w:rPr>
              <w:t>best at lambda=0</w:t>
            </w:r>
          </w:p>
        </w:tc>
        <w:tc>
          <w:tcPr>
            <w:tcW w:w="1610" w:type="dxa"/>
            <w:tcMar>
              <w:top w:w="80" w:type="dxa"/>
              <w:left w:w="90" w:type="dxa"/>
              <w:bottom w:w="80" w:type="dxa"/>
              <w:right w:w="90" w:type="dxa"/>
            </w:tcMar>
          </w:tcPr>
          <w:p w14:paraId="2DEF7865">
            <w:r>
              <w:rPr>
                <w:sz w:val="11"/>
              </w:rPr>
              <w:t>Controller-family specificity</w:t>
            </w:r>
          </w:p>
        </w:tc>
      </w:tr>
      <w:tr w14:paraId="634E77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538A2DE">
            <w:r>
              <w:rPr>
                <w:sz w:val="11"/>
              </w:rPr>
              <w:t>MORL 17D</w:t>
            </w:r>
          </w:p>
        </w:tc>
        <w:tc>
          <w:tcPr>
            <w:tcW w:w="1650" w:type="dxa"/>
            <w:tcMar>
              <w:top w:w="80" w:type="dxa"/>
              <w:left w:w="90" w:type="dxa"/>
              <w:bottom w:w="80" w:type="dxa"/>
              <w:right w:w="90" w:type="dxa"/>
            </w:tcMar>
          </w:tcPr>
          <w:p w14:paraId="251A8161">
            <w:r>
              <w:rPr>
                <w:sz w:val="11"/>
              </w:rPr>
              <w:t>power-only hybrid</w:t>
            </w:r>
          </w:p>
        </w:tc>
        <w:tc>
          <w:tcPr>
            <w:tcW w:w="3050" w:type="dxa"/>
            <w:tcMar>
              <w:top w:w="80" w:type="dxa"/>
              <w:left w:w="90" w:type="dxa"/>
              <w:bottom w:w="80" w:type="dxa"/>
              <w:right w:w="90" w:type="dxa"/>
            </w:tcMar>
          </w:tcPr>
          <w:p w14:paraId="1A12ED47">
            <w:r>
              <w:rPr>
                <w:sz w:val="11"/>
              </w:rPr>
              <w:t>Pareto sweep usable after 17D interface</w:t>
            </w:r>
          </w:p>
        </w:tc>
        <w:tc>
          <w:tcPr>
            <w:tcW w:w="1550" w:type="dxa"/>
            <w:tcMar>
              <w:top w:w="80" w:type="dxa"/>
              <w:left w:w="90" w:type="dxa"/>
              <w:bottom w:w="80" w:type="dxa"/>
              <w:right w:w="90" w:type="dxa"/>
            </w:tcMar>
          </w:tcPr>
          <w:p w14:paraId="0D57F638">
            <w:r>
              <w:rPr>
                <w:sz w:val="11"/>
              </w:rPr>
              <w:t>canonical N=5 high variance</w:t>
            </w:r>
          </w:p>
        </w:tc>
        <w:tc>
          <w:tcPr>
            <w:tcW w:w="1610" w:type="dxa"/>
            <w:tcMar>
              <w:top w:w="80" w:type="dxa"/>
              <w:left w:w="90" w:type="dxa"/>
              <w:bottom w:w="80" w:type="dxa"/>
              <w:right w:w="90" w:type="dxa"/>
            </w:tcMar>
          </w:tcPr>
          <w:p w14:paraId="69A055A0">
            <w:r>
              <w:rPr>
                <w:sz w:val="11"/>
              </w:rPr>
              <w:t>Promising but not stable</w:t>
            </w:r>
          </w:p>
        </w:tc>
      </w:tr>
      <w:tr w14:paraId="562770E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2E5A113">
            <w:r>
              <w:rPr>
                <w:sz w:val="11"/>
              </w:rPr>
              <w:t>MORL N=5 test</w:t>
            </w:r>
          </w:p>
        </w:tc>
        <w:tc>
          <w:tcPr>
            <w:tcW w:w="1650" w:type="dxa"/>
            <w:tcMar>
              <w:top w:w="80" w:type="dxa"/>
              <w:left w:w="90" w:type="dxa"/>
              <w:bottom w:w="80" w:type="dxa"/>
              <w:right w:w="90" w:type="dxa"/>
            </w:tcMar>
          </w:tcPr>
          <w:p w14:paraId="3A949FA6">
            <w:r>
              <w:rPr>
                <w:sz w:val="11"/>
              </w:rPr>
              <w:t>neutral/practical canonicals</w:t>
            </w:r>
          </w:p>
        </w:tc>
        <w:tc>
          <w:tcPr>
            <w:tcW w:w="3050" w:type="dxa"/>
            <w:tcMar>
              <w:top w:w="80" w:type="dxa"/>
              <w:left w:w="90" w:type="dxa"/>
              <w:bottom w:w="80" w:type="dxa"/>
              <w:right w:w="90" w:type="dxa"/>
            </w:tcMar>
          </w:tcPr>
          <w:p w14:paraId="36EC0591">
            <w:r>
              <w:rPr>
                <w:sz w:val="11"/>
              </w:rPr>
              <w:t>Replay deterministic; action-saturation hypothesis falsified</w:t>
            </w:r>
          </w:p>
        </w:tc>
        <w:tc>
          <w:tcPr>
            <w:tcW w:w="1550" w:type="dxa"/>
            <w:tcMar>
              <w:top w:w="80" w:type="dxa"/>
              <w:left w:w="90" w:type="dxa"/>
              <w:bottom w:w="80" w:type="dxa"/>
              <w:right w:w="90" w:type="dxa"/>
            </w:tcMar>
          </w:tcPr>
          <w:p w14:paraId="20191EA8">
            <w:r>
              <w:rPr>
                <w:sz w:val="11"/>
              </w:rPr>
              <w:t>sigma/mean &gt; threshold</w:t>
            </w:r>
          </w:p>
        </w:tc>
        <w:tc>
          <w:tcPr>
            <w:tcW w:w="1610" w:type="dxa"/>
            <w:tcMar>
              <w:top w:w="80" w:type="dxa"/>
              <w:left w:w="90" w:type="dxa"/>
              <w:bottom w:w="80" w:type="dxa"/>
              <w:right w:w="90" w:type="dxa"/>
            </w:tcMar>
          </w:tcPr>
          <w:p w14:paraId="2650615E">
            <w:r>
              <w:rPr>
                <w:sz w:val="11"/>
              </w:rPr>
              <w:t>Report with limitations</w:t>
            </w:r>
          </w:p>
        </w:tc>
      </w:tr>
    </w:tbl>
    <w:p w14:paraId="13E6AB6A">
      <w:r>
        <w:rPr>
          <w:i/>
          <w:color w:val="555555"/>
          <w:sz w:val="18"/>
        </w:rPr>
        <w:t>Table 5. Block 2 controller-family and MORL summary. Detailed lambda sweeps, per-seed tables and monthly diagnostics are in the supplementary material.</w:t>
      </w:r>
    </w:p>
    <w:p w14:paraId="13A8C023">
      <w:pPr>
        <w:pStyle w:val="3"/>
      </w:pPr>
      <w:r>
        <w:t>6.4 Seasonal variance heatmap interpretation</w:t>
      </w:r>
    </w:p>
    <w:p w14:paraId="7F5543B8">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14:paraId="3D8E0EE2">
      <w:pPr>
        <w:pStyle w:val="2"/>
      </w:pPr>
      <w:r>
        <w:t>7. Results III: Transferability and Generalization</w:t>
      </w:r>
    </w:p>
    <w:p w14:paraId="0B1F340D">
      <w:pPr>
        <w:pStyle w:val="3"/>
      </w:pPr>
      <w:r>
        <w:t>7.1 Block 3 objective and transfer protocol</w:t>
      </w:r>
    </w:p>
    <w:p w14:paraId="504B96C5">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14:paraId="2F01607B">
      <w:pPr>
        <w:pStyle w:val="3"/>
      </w:pPr>
      <w:r>
        <w:t>7.2 Controller-side transfer</w:t>
      </w:r>
    </w:p>
    <w:p w14:paraId="5D1CBFB5">
      <w:pPr>
        <w:jc w:val="center"/>
      </w:pPr>
      <w:r>
        <w:drawing>
          <wp:inline distT="0" distB="0" distL="0" distR="0">
            <wp:extent cx="5303520" cy="3291840"/>
            <wp:effectExtent l="0" t="0" r="0" b="0"/>
            <wp:docPr id="11" name="q1eng_fig11"/>
            <wp:cNvGraphicFramePr/>
            <a:graphic xmlns:a="http://schemas.openxmlformats.org/drawingml/2006/main">
              <a:graphicData uri="http://schemas.openxmlformats.org/drawingml/2006/picture">
                <pic:pic xmlns:pic="http://schemas.openxmlformats.org/drawingml/2006/picture">
                  <pic:nvPicPr>
                    <pic:cNvPr id="11" name="q1eng_fig11"/>
                    <pic:cNvPicPr/>
                  </pic:nvPicPr>
                  <pic:blipFill>
                    <a:blip r:embed="rId16"/>
                    <a:stretch>
                      <a:fillRect/>
                    </a:stretch>
                  </pic:blipFill>
                  <pic:spPr>
                    <a:xfrm>
                      <a:off x="0" y="0"/>
                      <a:ext cx="5303520" cy="3291840"/>
                    </a:xfrm>
                    <a:prstGeom prst="rect">
                      <a:avLst/>
                    </a:prstGeom>
                  </pic:spPr>
                </pic:pic>
              </a:graphicData>
            </a:graphic>
          </wp:inline>
        </w:drawing>
      </w:r>
    </w:p>
    <w:p w14:paraId="16E76C3C">
      <w:r>
        <w:rPr>
          <w:i/>
          <w:color w:val="555555"/>
          <w:sz w:val="18"/>
        </w:rPr>
        <w:t>Figure 11. Block 3 comfort-energy deployment plane. Residential hydronic testcases fail the m_s threshold while saving energy; the commercial testcase passes the threshold but incurs a large energy penalty.</w:t>
      </w:r>
    </w:p>
    <w:p w14:paraId="118691E0">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14:paraId="7C5D0F9A">
      <w:pPr>
        <w:pStyle w:val="3"/>
      </w:pPr>
      <w:r>
        <w:t>7.3 Surrogate-side transfer</w:t>
      </w:r>
    </w:p>
    <w:p w14:paraId="27E8C0DC">
      <w:pPr>
        <w:jc w:val="center"/>
      </w:pPr>
      <w:r>
        <w:drawing>
          <wp:inline distT="0" distB="0" distL="0" distR="0">
            <wp:extent cx="5394960" cy="3291840"/>
            <wp:effectExtent l="0" t="0" r="0" b="0"/>
            <wp:docPr id="12" name="q1eng_fig12"/>
            <wp:cNvGraphicFramePr/>
            <a:graphic xmlns:a="http://schemas.openxmlformats.org/drawingml/2006/main">
              <a:graphicData uri="http://schemas.openxmlformats.org/drawingml/2006/picture">
                <pic:pic xmlns:pic="http://schemas.openxmlformats.org/drawingml/2006/picture">
                  <pic:nvPicPr>
                    <pic:cNvPr id="12" name="q1eng_fig12"/>
                    <pic:cNvPicPr/>
                  </pic:nvPicPr>
                  <pic:blipFill>
                    <a:blip r:embed="rId17"/>
                    <a:stretch>
                      <a:fillRect/>
                    </a:stretch>
                  </pic:blipFill>
                  <pic:spPr>
                    <a:xfrm>
                      <a:off x="0" y="0"/>
                      <a:ext cx="5394960" cy="3291840"/>
                    </a:xfrm>
                    <a:prstGeom prst="rect">
                      <a:avLst/>
                    </a:prstGeom>
                  </pic:spPr>
                </pic:pic>
              </a:graphicData>
            </a:graphic>
          </wp:inline>
        </w:drawing>
      </w:r>
    </w:p>
    <w:p w14:paraId="52CE3D90">
      <w:r>
        <w:rPr>
          <w:i/>
          <w:color w:val="555555"/>
          <w:sz w:val="18"/>
        </w:rPr>
        <w:t>Figure 12. C_zon hypothesis interval test across hydronic testcases. Observed ratios support the 1.7–2.2× uniform hydronic-family hypothesis and falsify the 3–10× scale-dependent hypothesis for the tested cases.</w:t>
      </w:r>
    </w:p>
    <w:p w14:paraId="3B35163A">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550"/>
        <w:gridCol w:w="550"/>
        <w:gridCol w:w="650"/>
        <w:gridCol w:w="650"/>
        <w:gridCol w:w="850"/>
        <w:gridCol w:w="850"/>
        <w:gridCol w:w="850"/>
        <w:gridCol w:w="2960"/>
      </w:tblGrid>
      <w:tr w14:paraId="4BE711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27CD8725">
            <w:r>
              <w:rPr>
                <w:b/>
                <w:sz w:val="10"/>
              </w:rPr>
              <w:t>Testcase</w:t>
            </w:r>
          </w:p>
        </w:tc>
        <w:tc>
          <w:tcPr>
            <w:tcW w:w="550" w:type="dxa"/>
            <w:shd w:val="clear" w:color="auto" w:fill="EAF2F8"/>
            <w:tcMar>
              <w:top w:w="80" w:type="dxa"/>
              <w:left w:w="90" w:type="dxa"/>
              <w:bottom w:w="80" w:type="dxa"/>
              <w:right w:w="90" w:type="dxa"/>
            </w:tcMar>
          </w:tcPr>
          <w:p w14:paraId="2B9F46AF">
            <w:r>
              <w:rPr>
                <w:b/>
                <w:sz w:val="10"/>
              </w:rPr>
              <w:t>None</w:t>
            </w:r>
          </w:p>
        </w:tc>
        <w:tc>
          <w:tcPr>
            <w:tcW w:w="550" w:type="dxa"/>
            <w:shd w:val="clear" w:color="auto" w:fill="EAF2F8"/>
            <w:tcMar>
              <w:top w:w="80" w:type="dxa"/>
              <w:left w:w="90" w:type="dxa"/>
              <w:bottom w:w="80" w:type="dxa"/>
              <w:right w:w="90" w:type="dxa"/>
            </w:tcMar>
          </w:tcPr>
          <w:p w14:paraId="282D63F0">
            <w:r>
              <w:rPr>
                <w:b/>
                <w:sz w:val="10"/>
              </w:rPr>
              <w:t>Full</w:t>
            </w:r>
          </w:p>
        </w:tc>
        <w:tc>
          <w:tcPr>
            <w:tcW w:w="650" w:type="dxa"/>
            <w:shd w:val="clear" w:color="auto" w:fill="EAF2F8"/>
            <w:tcMar>
              <w:top w:w="80" w:type="dxa"/>
              <w:left w:w="90" w:type="dxa"/>
              <w:bottom w:w="80" w:type="dxa"/>
              <w:right w:w="90" w:type="dxa"/>
            </w:tcMar>
          </w:tcPr>
          <w:p w14:paraId="0F09B926">
            <w:r>
              <w:rPr>
                <w:b/>
                <w:sz w:val="10"/>
              </w:rPr>
              <w:t>m_s RL</w:t>
            </w:r>
          </w:p>
        </w:tc>
        <w:tc>
          <w:tcPr>
            <w:tcW w:w="650" w:type="dxa"/>
            <w:shd w:val="clear" w:color="auto" w:fill="EAF2F8"/>
            <w:tcMar>
              <w:top w:w="80" w:type="dxa"/>
              <w:left w:w="90" w:type="dxa"/>
              <w:bottom w:w="80" w:type="dxa"/>
              <w:right w:w="90" w:type="dxa"/>
            </w:tcMar>
          </w:tcPr>
          <w:p w14:paraId="097CE275">
            <w:r>
              <w:rPr>
                <w:b/>
                <w:sz w:val="10"/>
              </w:rPr>
              <w:t>m_s PI</w:t>
            </w:r>
          </w:p>
        </w:tc>
        <w:tc>
          <w:tcPr>
            <w:tcW w:w="850" w:type="dxa"/>
            <w:shd w:val="clear" w:color="auto" w:fill="EAF2F8"/>
            <w:tcMar>
              <w:top w:w="80" w:type="dxa"/>
              <w:left w:w="90" w:type="dxa"/>
              <w:bottom w:w="80" w:type="dxa"/>
              <w:right w:w="90" w:type="dxa"/>
            </w:tcMar>
          </w:tcPr>
          <w:p w14:paraId="7CCA95A3">
            <w:r>
              <w:rPr>
                <w:b/>
                <w:sz w:val="10"/>
              </w:rPr>
              <w:t>Energy delta</w:t>
            </w:r>
          </w:p>
        </w:tc>
        <w:tc>
          <w:tcPr>
            <w:tcW w:w="850" w:type="dxa"/>
            <w:shd w:val="clear" w:color="auto" w:fill="EAF2F8"/>
            <w:tcMar>
              <w:top w:w="80" w:type="dxa"/>
              <w:left w:w="90" w:type="dxa"/>
              <w:bottom w:w="80" w:type="dxa"/>
              <w:right w:w="90" w:type="dxa"/>
            </w:tcMar>
          </w:tcPr>
          <w:p w14:paraId="7053F2E8">
            <w:r>
              <w:rPr>
                <w:b/>
                <w:sz w:val="10"/>
              </w:rPr>
              <w:t>Full RMSE gain</w:t>
            </w:r>
          </w:p>
        </w:tc>
        <w:tc>
          <w:tcPr>
            <w:tcW w:w="850" w:type="dxa"/>
            <w:shd w:val="clear" w:color="auto" w:fill="EAF2F8"/>
            <w:tcMar>
              <w:top w:w="80" w:type="dxa"/>
              <w:left w:w="90" w:type="dxa"/>
              <w:bottom w:w="80" w:type="dxa"/>
              <w:right w:w="90" w:type="dxa"/>
            </w:tcMar>
          </w:tcPr>
          <w:p w14:paraId="00EFFB61">
            <w:r>
              <w:rPr>
                <w:b/>
                <w:sz w:val="10"/>
              </w:rPr>
              <w:t>C_zon ratio</w:t>
            </w:r>
          </w:p>
        </w:tc>
        <w:tc>
          <w:tcPr>
            <w:tcW w:w="2960" w:type="dxa"/>
            <w:shd w:val="clear" w:color="auto" w:fill="EAF2F8"/>
            <w:tcMar>
              <w:top w:w="80" w:type="dxa"/>
              <w:left w:w="90" w:type="dxa"/>
              <w:bottom w:w="80" w:type="dxa"/>
              <w:right w:w="90" w:type="dxa"/>
            </w:tcMar>
          </w:tcPr>
          <w:p w14:paraId="131A91DE">
            <w:r>
              <w:rPr>
                <w:b/>
                <w:sz w:val="10"/>
              </w:rPr>
              <w:t>Interpretation</w:t>
            </w:r>
          </w:p>
        </w:tc>
      </w:tr>
      <w:tr w14:paraId="7A4BFF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08E1876">
            <w:r>
              <w:rPr>
                <w:sz w:val="10"/>
              </w:rPr>
              <w:t>bestest_hydronic_heat_pump</w:t>
            </w:r>
          </w:p>
        </w:tc>
        <w:tc>
          <w:tcPr>
            <w:tcW w:w="550" w:type="dxa"/>
            <w:tcMar>
              <w:top w:w="80" w:type="dxa"/>
              <w:left w:w="90" w:type="dxa"/>
              <w:bottom w:w="80" w:type="dxa"/>
              <w:right w:w="90" w:type="dxa"/>
            </w:tcMar>
          </w:tcPr>
          <w:p w14:paraId="7CE0A656">
            <w:r>
              <w:rPr>
                <w:sz w:val="10"/>
              </w:rPr>
              <w:t>FAIL</w:t>
            </w:r>
          </w:p>
        </w:tc>
        <w:tc>
          <w:tcPr>
            <w:tcW w:w="550" w:type="dxa"/>
            <w:tcMar>
              <w:top w:w="80" w:type="dxa"/>
              <w:left w:w="90" w:type="dxa"/>
              <w:bottom w:w="80" w:type="dxa"/>
              <w:right w:w="90" w:type="dxa"/>
            </w:tcMar>
          </w:tcPr>
          <w:p w14:paraId="0E4955CF">
            <w:r>
              <w:rPr>
                <w:sz w:val="10"/>
              </w:rPr>
              <w:t>FAIL</w:t>
            </w:r>
          </w:p>
        </w:tc>
        <w:tc>
          <w:tcPr>
            <w:tcW w:w="650" w:type="dxa"/>
            <w:tcMar>
              <w:top w:w="80" w:type="dxa"/>
              <w:left w:w="90" w:type="dxa"/>
              <w:bottom w:w="80" w:type="dxa"/>
              <w:right w:w="90" w:type="dxa"/>
            </w:tcMar>
          </w:tcPr>
          <w:p w14:paraId="794D8DE6">
            <w:r>
              <w:rPr>
                <w:sz w:val="10"/>
              </w:rPr>
              <w:t>0.665</w:t>
            </w:r>
          </w:p>
        </w:tc>
        <w:tc>
          <w:tcPr>
            <w:tcW w:w="650" w:type="dxa"/>
            <w:tcMar>
              <w:top w:w="80" w:type="dxa"/>
              <w:left w:w="90" w:type="dxa"/>
              <w:bottom w:w="80" w:type="dxa"/>
              <w:right w:w="90" w:type="dxa"/>
            </w:tcMar>
          </w:tcPr>
          <w:p w14:paraId="39529002">
            <w:r>
              <w:rPr>
                <w:sz w:val="10"/>
              </w:rPr>
              <w:t>0.464</w:t>
            </w:r>
          </w:p>
        </w:tc>
        <w:tc>
          <w:tcPr>
            <w:tcW w:w="850" w:type="dxa"/>
            <w:tcMar>
              <w:top w:w="80" w:type="dxa"/>
              <w:left w:w="90" w:type="dxa"/>
              <w:bottom w:w="80" w:type="dxa"/>
              <w:right w:w="90" w:type="dxa"/>
            </w:tcMar>
          </w:tcPr>
          <w:p w14:paraId="788AFD4D">
            <w:r>
              <w:rPr>
                <w:sz w:val="10"/>
              </w:rPr>
              <w:t>-7.3%</w:t>
            </w:r>
          </w:p>
        </w:tc>
        <w:tc>
          <w:tcPr>
            <w:tcW w:w="850" w:type="dxa"/>
            <w:tcMar>
              <w:top w:w="80" w:type="dxa"/>
              <w:left w:w="90" w:type="dxa"/>
              <w:bottom w:w="80" w:type="dxa"/>
              <w:right w:w="90" w:type="dxa"/>
            </w:tcMar>
          </w:tcPr>
          <w:p w14:paraId="6BD73387">
            <w:r>
              <w:rPr>
                <w:sz w:val="10"/>
              </w:rPr>
              <w:t>60.2%</w:t>
            </w:r>
          </w:p>
        </w:tc>
        <w:tc>
          <w:tcPr>
            <w:tcW w:w="850" w:type="dxa"/>
            <w:tcMar>
              <w:top w:w="80" w:type="dxa"/>
              <w:left w:w="90" w:type="dxa"/>
              <w:bottom w:w="80" w:type="dxa"/>
              <w:right w:w="90" w:type="dxa"/>
            </w:tcMar>
          </w:tcPr>
          <w:p w14:paraId="5EBEFE81">
            <w:r>
              <w:rPr>
                <w:sz w:val="10"/>
              </w:rPr>
              <w:t>1.89x</w:t>
            </w:r>
          </w:p>
        </w:tc>
        <w:tc>
          <w:tcPr>
            <w:tcW w:w="2960" w:type="dxa"/>
            <w:tcMar>
              <w:top w:w="80" w:type="dxa"/>
              <w:left w:w="90" w:type="dxa"/>
              <w:bottom w:w="80" w:type="dxa"/>
              <w:right w:w="90" w:type="dxa"/>
            </w:tcMar>
          </w:tcPr>
          <w:p w14:paraId="702CE5A7">
            <w:r>
              <w:rPr>
                <w:sz w:val="10"/>
              </w:rPr>
              <w:t>Residential hydronic heat-pump transfer fails on controller safety but succeeds on full surrogate recalibration.</w:t>
            </w:r>
          </w:p>
        </w:tc>
      </w:tr>
      <w:tr w14:paraId="5FDE62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8477AC0">
            <w:r>
              <w:rPr>
                <w:sz w:val="10"/>
              </w:rPr>
              <w:t>bestest_hydronic</w:t>
            </w:r>
          </w:p>
        </w:tc>
        <w:tc>
          <w:tcPr>
            <w:tcW w:w="550" w:type="dxa"/>
            <w:tcMar>
              <w:top w:w="80" w:type="dxa"/>
              <w:left w:w="90" w:type="dxa"/>
              <w:bottom w:w="80" w:type="dxa"/>
              <w:right w:w="90" w:type="dxa"/>
            </w:tcMar>
          </w:tcPr>
          <w:p w14:paraId="4C5E1D5C">
            <w:r>
              <w:rPr>
                <w:sz w:val="10"/>
              </w:rPr>
              <w:t>FAIL</w:t>
            </w:r>
          </w:p>
        </w:tc>
        <w:tc>
          <w:tcPr>
            <w:tcW w:w="550" w:type="dxa"/>
            <w:tcMar>
              <w:top w:w="80" w:type="dxa"/>
              <w:left w:w="90" w:type="dxa"/>
              <w:bottom w:w="80" w:type="dxa"/>
              <w:right w:w="90" w:type="dxa"/>
            </w:tcMar>
          </w:tcPr>
          <w:p w14:paraId="28C698E1">
            <w:r>
              <w:rPr>
                <w:sz w:val="10"/>
              </w:rPr>
              <w:t>FAIL</w:t>
            </w:r>
          </w:p>
        </w:tc>
        <w:tc>
          <w:tcPr>
            <w:tcW w:w="650" w:type="dxa"/>
            <w:tcMar>
              <w:top w:w="80" w:type="dxa"/>
              <w:left w:w="90" w:type="dxa"/>
              <w:bottom w:w="80" w:type="dxa"/>
              <w:right w:w="90" w:type="dxa"/>
            </w:tcMar>
          </w:tcPr>
          <w:p w14:paraId="3A43DEFA">
            <w:r>
              <w:rPr>
                <w:sz w:val="10"/>
              </w:rPr>
              <w:t>0.976</w:t>
            </w:r>
          </w:p>
        </w:tc>
        <w:tc>
          <w:tcPr>
            <w:tcW w:w="650" w:type="dxa"/>
            <w:tcMar>
              <w:top w:w="80" w:type="dxa"/>
              <w:left w:w="90" w:type="dxa"/>
              <w:bottom w:w="80" w:type="dxa"/>
              <w:right w:w="90" w:type="dxa"/>
            </w:tcMar>
          </w:tcPr>
          <w:p w14:paraId="618BF921">
            <w:r>
              <w:rPr>
                <w:sz w:val="10"/>
              </w:rPr>
              <w:t>0.750</w:t>
            </w:r>
          </w:p>
        </w:tc>
        <w:tc>
          <w:tcPr>
            <w:tcW w:w="850" w:type="dxa"/>
            <w:tcMar>
              <w:top w:w="80" w:type="dxa"/>
              <w:left w:w="90" w:type="dxa"/>
              <w:bottom w:w="80" w:type="dxa"/>
              <w:right w:w="90" w:type="dxa"/>
            </w:tcMar>
          </w:tcPr>
          <w:p w14:paraId="48354E2F">
            <w:r>
              <w:rPr>
                <w:sz w:val="10"/>
              </w:rPr>
              <w:t>-5.8%</w:t>
            </w:r>
          </w:p>
        </w:tc>
        <w:tc>
          <w:tcPr>
            <w:tcW w:w="850" w:type="dxa"/>
            <w:tcMar>
              <w:top w:w="80" w:type="dxa"/>
              <w:left w:w="90" w:type="dxa"/>
              <w:bottom w:w="80" w:type="dxa"/>
              <w:right w:w="90" w:type="dxa"/>
            </w:tcMar>
          </w:tcPr>
          <w:p w14:paraId="1AF59822">
            <w:r>
              <w:rPr>
                <w:sz w:val="10"/>
              </w:rPr>
              <w:t>87.4%</w:t>
            </w:r>
          </w:p>
        </w:tc>
        <w:tc>
          <w:tcPr>
            <w:tcW w:w="850" w:type="dxa"/>
            <w:tcMar>
              <w:top w:w="80" w:type="dxa"/>
              <w:left w:w="90" w:type="dxa"/>
              <w:bottom w:w="80" w:type="dxa"/>
              <w:right w:w="90" w:type="dxa"/>
            </w:tcMar>
          </w:tcPr>
          <w:p w14:paraId="7733FE3C">
            <w:r>
              <w:rPr>
                <w:sz w:val="10"/>
              </w:rPr>
              <w:t>1.95x</w:t>
            </w:r>
          </w:p>
        </w:tc>
        <w:tc>
          <w:tcPr>
            <w:tcW w:w="2960" w:type="dxa"/>
            <w:tcMar>
              <w:top w:w="80" w:type="dxa"/>
              <w:left w:w="90" w:type="dxa"/>
              <w:bottom w:w="80" w:type="dxa"/>
              <w:right w:w="90" w:type="dxa"/>
            </w:tcMar>
          </w:tcPr>
          <w:p w14:paraId="7785F12D">
            <w:r>
              <w:rPr>
                <w:sz w:val="10"/>
              </w:rPr>
              <w:t>Residential hydronic transfer replicates controller-side FAIL and surrogate-side PASS.</w:t>
            </w:r>
          </w:p>
        </w:tc>
      </w:tr>
      <w:tr w14:paraId="73F3AE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5798FAD">
            <w:r>
              <w:rPr>
                <w:sz w:val="10"/>
              </w:rPr>
              <w:t>singlezone_commercial_hydronic</w:t>
            </w:r>
          </w:p>
        </w:tc>
        <w:tc>
          <w:tcPr>
            <w:tcW w:w="550" w:type="dxa"/>
            <w:tcMar>
              <w:top w:w="80" w:type="dxa"/>
              <w:left w:w="90" w:type="dxa"/>
              <w:bottom w:w="80" w:type="dxa"/>
              <w:right w:w="90" w:type="dxa"/>
            </w:tcMar>
          </w:tcPr>
          <w:p w14:paraId="0B336FF8">
            <w:r>
              <w:rPr>
                <w:sz w:val="10"/>
              </w:rPr>
              <w:t>PASS</w:t>
            </w:r>
          </w:p>
        </w:tc>
        <w:tc>
          <w:tcPr>
            <w:tcW w:w="550" w:type="dxa"/>
            <w:tcMar>
              <w:top w:w="80" w:type="dxa"/>
              <w:left w:w="90" w:type="dxa"/>
              <w:bottom w:w="80" w:type="dxa"/>
              <w:right w:w="90" w:type="dxa"/>
            </w:tcMar>
          </w:tcPr>
          <w:p w14:paraId="07127232">
            <w:r>
              <w:rPr>
                <w:sz w:val="10"/>
              </w:rPr>
              <w:t>PASS</w:t>
            </w:r>
          </w:p>
        </w:tc>
        <w:tc>
          <w:tcPr>
            <w:tcW w:w="650" w:type="dxa"/>
            <w:tcMar>
              <w:top w:w="80" w:type="dxa"/>
              <w:left w:w="90" w:type="dxa"/>
              <w:bottom w:w="80" w:type="dxa"/>
              <w:right w:w="90" w:type="dxa"/>
            </w:tcMar>
          </w:tcPr>
          <w:p w14:paraId="7B26CBD3">
            <w:r>
              <w:rPr>
                <w:sz w:val="10"/>
              </w:rPr>
              <w:t>0.431</w:t>
            </w:r>
          </w:p>
        </w:tc>
        <w:tc>
          <w:tcPr>
            <w:tcW w:w="650" w:type="dxa"/>
            <w:tcMar>
              <w:top w:w="80" w:type="dxa"/>
              <w:left w:w="90" w:type="dxa"/>
              <w:bottom w:w="80" w:type="dxa"/>
              <w:right w:w="90" w:type="dxa"/>
            </w:tcMar>
          </w:tcPr>
          <w:p w14:paraId="30B55FD7">
            <w:r>
              <w:rPr>
                <w:sz w:val="10"/>
              </w:rPr>
              <w:t>0.628</w:t>
            </w:r>
          </w:p>
        </w:tc>
        <w:tc>
          <w:tcPr>
            <w:tcW w:w="850" w:type="dxa"/>
            <w:tcMar>
              <w:top w:w="80" w:type="dxa"/>
              <w:left w:w="90" w:type="dxa"/>
              <w:bottom w:w="80" w:type="dxa"/>
              <w:right w:w="90" w:type="dxa"/>
            </w:tcMar>
          </w:tcPr>
          <w:p w14:paraId="13A3C055">
            <w:r>
              <w:rPr>
                <w:sz w:val="10"/>
              </w:rPr>
              <w:t>35.3%</w:t>
            </w:r>
          </w:p>
        </w:tc>
        <w:tc>
          <w:tcPr>
            <w:tcW w:w="850" w:type="dxa"/>
            <w:tcMar>
              <w:top w:w="80" w:type="dxa"/>
              <w:left w:w="90" w:type="dxa"/>
              <w:bottom w:w="80" w:type="dxa"/>
              <w:right w:w="90" w:type="dxa"/>
            </w:tcMar>
          </w:tcPr>
          <w:p w14:paraId="149563C4">
            <w:r>
              <w:rPr>
                <w:sz w:val="10"/>
              </w:rPr>
              <w:t>87.8%</w:t>
            </w:r>
          </w:p>
        </w:tc>
        <w:tc>
          <w:tcPr>
            <w:tcW w:w="850" w:type="dxa"/>
            <w:tcMar>
              <w:top w:w="80" w:type="dxa"/>
              <w:left w:w="90" w:type="dxa"/>
              <w:bottom w:w="80" w:type="dxa"/>
              <w:right w:w="90" w:type="dxa"/>
            </w:tcMar>
          </w:tcPr>
          <w:p w14:paraId="578954AF">
            <w:r>
              <w:rPr>
                <w:sz w:val="10"/>
              </w:rPr>
              <w:t>1.91x</w:t>
            </w:r>
          </w:p>
        </w:tc>
        <w:tc>
          <w:tcPr>
            <w:tcW w:w="2960" w:type="dxa"/>
            <w:tcMar>
              <w:top w:w="80" w:type="dxa"/>
              <w:left w:w="90" w:type="dxa"/>
              <w:bottom w:w="80" w:type="dxa"/>
              <w:right w:w="90" w:type="dxa"/>
            </w:tcMar>
          </w:tcPr>
          <w:p w14:paraId="299E747F">
            <w:r>
              <w:rPr>
                <w:sz w:val="10"/>
              </w:rPr>
              <w:t>Commercial stretch falsifies expected controller FAIL: safety passes but energy increases substantially; surrogate-side PASS and C_zon ratio remains near 1.9x.</w:t>
            </w:r>
          </w:p>
        </w:tc>
      </w:tr>
    </w:tbl>
    <w:p w14:paraId="10CF52D4">
      <w:r>
        <w:rPr>
          <w:i/>
          <w:color w:val="555555"/>
          <w:sz w:val="18"/>
        </w:rPr>
        <w:t>Table 6. Block 3 transfer matrix, combining adapters, controller verdicts, surrogate gains, and C_zon re-identification.</w:t>
      </w:r>
    </w:p>
    <w:p w14:paraId="336DCDD6">
      <w:pPr>
        <w:pStyle w:val="3"/>
      </w:pPr>
      <w:r>
        <w:t>7.4 Component-level transferability conclusion</w:t>
      </w:r>
    </w:p>
    <w:p w14:paraId="5AB52D08">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14:paraId="1331502B">
      <w:pPr>
        <w:pStyle w:val="2"/>
      </w:pPr>
      <w:r>
        <w:t>8. Discussion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250"/>
        <w:gridCol w:w="2400"/>
        <w:gridCol w:w="2200"/>
        <w:gridCol w:w="1250"/>
        <w:gridCol w:w="2260"/>
      </w:tblGrid>
      <w:tr w14:paraId="3FF9B6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shd w:val="clear" w:color="auto" w:fill="EAF2F8"/>
            <w:tcMar>
              <w:top w:w="80" w:type="dxa"/>
              <w:left w:w="90" w:type="dxa"/>
              <w:bottom w:w="80" w:type="dxa"/>
              <w:right w:w="90" w:type="dxa"/>
            </w:tcMar>
          </w:tcPr>
          <w:p w14:paraId="14BF6239">
            <w:r>
              <w:rPr>
                <w:b/>
                <w:sz w:val="10"/>
              </w:rPr>
              <w:t>Hypothesis</w:t>
            </w:r>
          </w:p>
        </w:tc>
        <w:tc>
          <w:tcPr>
            <w:tcW w:w="2400" w:type="dxa"/>
            <w:shd w:val="clear" w:color="auto" w:fill="EAF2F8"/>
            <w:tcMar>
              <w:top w:w="80" w:type="dxa"/>
              <w:left w:w="90" w:type="dxa"/>
              <w:bottom w:w="80" w:type="dxa"/>
              <w:right w:w="90" w:type="dxa"/>
            </w:tcMar>
          </w:tcPr>
          <w:p w14:paraId="21D7322C">
            <w:r>
              <w:rPr>
                <w:b/>
                <w:sz w:val="10"/>
              </w:rPr>
              <w:t>Pre-registered claim</w:t>
            </w:r>
          </w:p>
        </w:tc>
        <w:tc>
          <w:tcPr>
            <w:tcW w:w="2200" w:type="dxa"/>
            <w:shd w:val="clear" w:color="auto" w:fill="EAF2F8"/>
            <w:tcMar>
              <w:top w:w="80" w:type="dxa"/>
              <w:left w:w="90" w:type="dxa"/>
              <w:bottom w:w="80" w:type="dxa"/>
              <w:right w:w="90" w:type="dxa"/>
            </w:tcMar>
          </w:tcPr>
          <w:p w14:paraId="3E9FB0F2">
            <w:r>
              <w:rPr>
                <w:b/>
                <w:sz w:val="10"/>
              </w:rPr>
              <w:t>Operational criterion</w:t>
            </w:r>
          </w:p>
        </w:tc>
        <w:tc>
          <w:tcPr>
            <w:tcW w:w="1250" w:type="dxa"/>
            <w:shd w:val="clear" w:color="auto" w:fill="EAF2F8"/>
            <w:tcMar>
              <w:top w:w="80" w:type="dxa"/>
              <w:left w:w="90" w:type="dxa"/>
              <w:bottom w:w="80" w:type="dxa"/>
              <w:right w:w="90" w:type="dxa"/>
            </w:tcMar>
          </w:tcPr>
          <w:p w14:paraId="668ABF85">
            <w:r>
              <w:rPr>
                <w:b/>
                <w:sz w:val="10"/>
              </w:rPr>
              <w:t>Verdict</w:t>
            </w:r>
          </w:p>
        </w:tc>
        <w:tc>
          <w:tcPr>
            <w:tcW w:w="2260" w:type="dxa"/>
            <w:shd w:val="clear" w:color="auto" w:fill="EAF2F8"/>
            <w:tcMar>
              <w:top w:w="80" w:type="dxa"/>
              <w:left w:w="90" w:type="dxa"/>
              <w:bottom w:w="80" w:type="dxa"/>
              <w:right w:w="90" w:type="dxa"/>
            </w:tcMar>
          </w:tcPr>
          <w:p w14:paraId="1C63614F">
            <w:r>
              <w:rPr>
                <w:b/>
                <w:sz w:val="10"/>
              </w:rPr>
              <w:t>Evidence</w:t>
            </w:r>
          </w:p>
        </w:tc>
      </w:tr>
      <w:tr w14:paraId="774B8A8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2D22520D">
            <w:r>
              <w:rPr>
                <w:sz w:val="10"/>
              </w:rPr>
              <w:t>H1 strong</w:t>
            </w:r>
          </w:p>
        </w:tc>
        <w:tc>
          <w:tcPr>
            <w:tcW w:w="2400" w:type="dxa"/>
            <w:tcMar>
              <w:top w:w="80" w:type="dxa"/>
              <w:left w:w="90" w:type="dxa"/>
              <w:bottom w:w="80" w:type="dxa"/>
              <w:right w:w="90" w:type="dxa"/>
            </w:tcMar>
          </w:tcPr>
          <w:p w14:paraId="2B6D37B6">
            <w:r>
              <w:rPr>
                <w:sz w:val="10"/>
              </w:rPr>
              <w:t>Frozen recipe transfers directly</w:t>
            </w:r>
          </w:p>
        </w:tc>
        <w:tc>
          <w:tcPr>
            <w:tcW w:w="2200" w:type="dxa"/>
            <w:tcMar>
              <w:top w:w="80" w:type="dxa"/>
              <w:left w:w="90" w:type="dxa"/>
              <w:bottom w:w="80" w:type="dxa"/>
              <w:right w:w="90" w:type="dxa"/>
            </w:tcMar>
          </w:tcPr>
          <w:p w14:paraId="7A5DE54D">
            <w:r>
              <w:rPr>
                <w:sz w:val="10"/>
              </w:rPr>
              <w:t>mode=none PASS on &gt;=2/3 without severe KPI penalty</w:t>
            </w:r>
          </w:p>
        </w:tc>
        <w:tc>
          <w:tcPr>
            <w:tcW w:w="1250" w:type="dxa"/>
            <w:tcMar>
              <w:top w:w="80" w:type="dxa"/>
              <w:left w:w="90" w:type="dxa"/>
              <w:bottom w:w="80" w:type="dxa"/>
              <w:right w:w="90" w:type="dxa"/>
            </w:tcMar>
          </w:tcPr>
          <w:p w14:paraId="31D57C19">
            <w:r>
              <w:rPr>
                <w:sz w:val="10"/>
              </w:rPr>
              <w:t>Falsified</w:t>
            </w:r>
          </w:p>
        </w:tc>
        <w:tc>
          <w:tcPr>
            <w:tcW w:w="2260" w:type="dxa"/>
            <w:tcMar>
              <w:top w:w="80" w:type="dxa"/>
              <w:left w:w="90" w:type="dxa"/>
              <w:bottom w:w="80" w:type="dxa"/>
              <w:right w:w="90" w:type="dxa"/>
            </w:tcMar>
          </w:tcPr>
          <w:p w14:paraId="331038D4">
            <w:r>
              <w:rPr>
                <w:sz w:val="10"/>
              </w:rPr>
              <w:t>Residential hydronic cases fail; commercial passes m_s but +35.3% energy.</w:t>
            </w:r>
          </w:p>
        </w:tc>
      </w:tr>
      <w:tr w14:paraId="0D775B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3C4A06">
            <w:r>
              <w:rPr>
                <w:sz w:val="10"/>
              </w:rPr>
              <w:t>H2 medium</w:t>
            </w:r>
          </w:p>
        </w:tc>
        <w:tc>
          <w:tcPr>
            <w:tcW w:w="2400" w:type="dxa"/>
            <w:tcMar>
              <w:top w:w="80" w:type="dxa"/>
              <w:left w:w="90" w:type="dxa"/>
              <w:bottom w:w="80" w:type="dxa"/>
              <w:right w:w="90" w:type="dxa"/>
            </w:tcMar>
          </w:tcPr>
          <w:p w14:paraId="3383DEE0">
            <w:r>
              <w:rPr>
                <w:sz w:val="10"/>
              </w:rPr>
              <w:t>Partial surrogate recalibration is sufficient</w:t>
            </w:r>
          </w:p>
        </w:tc>
        <w:tc>
          <w:tcPr>
            <w:tcW w:w="2200" w:type="dxa"/>
            <w:tcMar>
              <w:top w:w="80" w:type="dxa"/>
              <w:left w:w="90" w:type="dxa"/>
              <w:bottom w:w="80" w:type="dxa"/>
              <w:right w:w="90" w:type="dxa"/>
            </w:tcMar>
          </w:tcPr>
          <w:p w14:paraId="7238F0C9">
            <w:r>
              <w:rPr>
                <w:sz w:val="10"/>
              </w:rPr>
              <w:t>Stage C only improves controller verdict</w:t>
            </w:r>
          </w:p>
        </w:tc>
        <w:tc>
          <w:tcPr>
            <w:tcW w:w="1250" w:type="dxa"/>
            <w:tcMar>
              <w:top w:w="80" w:type="dxa"/>
              <w:left w:w="90" w:type="dxa"/>
              <w:bottom w:w="80" w:type="dxa"/>
              <w:right w:w="90" w:type="dxa"/>
            </w:tcMar>
          </w:tcPr>
          <w:p w14:paraId="67CC611A">
            <w:r>
              <w:rPr>
                <w:sz w:val="10"/>
              </w:rPr>
              <w:t>Falsified structurally</w:t>
            </w:r>
          </w:p>
        </w:tc>
        <w:tc>
          <w:tcPr>
            <w:tcW w:w="2260" w:type="dxa"/>
            <w:tcMar>
              <w:top w:w="80" w:type="dxa"/>
              <w:left w:w="90" w:type="dxa"/>
              <w:bottom w:w="80" w:type="dxa"/>
              <w:right w:w="90" w:type="dxa"/>
            </w:tcMar>
          </w:tcPr>
          <w:p w14:paraId="2A25F3EA">
            <w:r>
              <w:rPr>
                <w:sz w:val="10"/>
              </w:rPr>
              <w:t>Controller frozen, so live KPI cannot change from none.</w:t>
            </w:r>
          </w:p>
        </w:tc>
      </w:tr>
      <w:tr w14:paraId="7560C5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F50B1D">
            <w:r>
              <w:rPr>
                <w:sz w:val="10"/>
              </w:rPr>
              <w:t>H3 weak surrogate side</w:t>
            </w:r>
          </w:p>
        </w:tc>
        <w:tc>
          <w:tcPr>
            <w:tcW w:w="2400" w:type="dxa"/>
            <w:tcMar>
              <w:top w:w="80" w:type="dxa"/>
              <w:left w:w="90" w:type="dxa"/>
              <w:bottom w:w="80" w:type="dxa"/>
              <w:right w:w="90" w:type="dxa"/>
            </w:tcMar>
          </w:tcPr>
          <w:p w14:paraId="38934CBD">
            <w:r>
              <w:rPr>
                <w:sz w:val="10"/>
              </w:rPr>
              <w:t>Full recalibration gives useful target twin</w:t>
            </w:r>
          </w:p>
        </w:tc>
        <w:tc>
          <w:tcPr>
            <w:tcW w:w="2200" w:type="dxa"/>
            <w:tcMar>
              <w:top w:w="80" w:type="dxa"/>
              <w:left w:w="90" w:type="dxa"/>
              <w:bottom w:w="80" w:type="dxa"/>
              <w:right w:w="90" w:type="dxa"/>
            </w:tcMar>
          </w:tcPr>
          <w:p w14:paraId="1FD6873A">
            <w:r>
              <w:rPr>
                <w:sz w:val="10"/>
              </w:rPr>
              <w:t>RMSE_T improves under full Stage A/B/C</w:t>
            </w:r>
          </w:p>
        </w:tc>
        <w:tc>
          <w:tcPr>
            <w:tcW w:w="1250" w:type="dxa"/>
            <w:tcMar>
              <w:top w:w="80" w:type="dxa"/>
              <w:left w:w="90" w:type="dxa"/>
              <w:bottom w:w="80" w:type="dxa"/>
              <w:right w:w="90" w:type="dxa"/>
            </w:tcMar>
          </w:tcPr>
          <w:p w14:paraId="0D674952">
            <w:r>
              <w:rPr>
                <w:sz w:val="10"/>
              </w:rPr>
              <w:t>Supported</w:t>
            </w:r>
          </w:p>
        </w:tc>
        <w:tc>
          <w:tcPr>
            <w:tcW w:w="2260" w:type="dxa"/>
            <w:tcMar>
              <w:top w:w="80" w:type="dxa"/>
              <w:left w:w="90" w:type="dxa"/>
              <w:bottom w:w="80" w:type="dxa"/>
              <w:right w:w="90" w:type="dxa"/>
            </w:tcMar>
          </w:tcPr>
          <w:p w14:paraId="4D2D0BC9">
            <w:r>
              <w:rPr>
                <w:sz w:val="10"/>
              </w:rPr>
              <w:t>60.2-87.8% RMSE_T improvement across N=3.</w:t>
            </w:r>
          </w:p>
        </w:tc>
      </w:tr>
      <w:tr w14:paraId="69B46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5FDD427B">
            <w:r>
              <w:rPr>
                <w:sz w:val="10"/>
              </w:rPr>
              <w:t>H3 weak controller side</w:t>
            </w:r>
          </w:p>
        </w:tc>
        <w:tc>
          <w:tcPr>
            <w:tcW w:w="2400" w:type="dxa"/>
            <w:tcMar>
              <w:top w:w="80" w:type="dxa"/>
              <w:left w:w="90" w:type="dxa"/>
              <w:bottom w:w="80" w:type="dxa"/>
              <w:right w:w="90" w:type="dxa"/>
            </w:tcMar>
          </w:tcPr>
          <w:p w14:paraId="2744CAF6">
            <w:r>
              <w:rPr>
                <w:sz w:val="10"/>
              </w:rPr>
              <w:t>Full surrogate recalibration rescues frozen controller</w:t>
            </w:r>
          </w:p>
        </w:tc>
        <w:tc>
          <w:tcPr>
            <w:tcW w:w="2200" w:type="dxa"/>
            <w:tcMar>
              <w:top w:w="80" w:type="dxa"/>
              <w:left w:w="90" w:type="dxa"/>
              <w:bottom w:w="80" w:type="dxa"/>
              <w:right w:w="90" w:type="dxa"/>
            </w:tcMar>
          </w:tcPr>
          <w:p w14:paraId="75652B81">
            <w:r>
              <w:rPr>
                <w:sz w:val="10"/>
              </w:rPr>
              <w:t>Controller PASS after full</w:t>
            </w:r>
          </w:p>
        </w:tc>
        <w:tc>
          <w:tcPr>
            <w:tcW w:w="1250" w:type="dxa"/>
            <w:tcMar>
              <w:top w:w="80" w:type="dxa"/>
              <w:left w:w="90" w:type="dxa"/>
              <w:bottom w:w="80" w:type="dxa"/>
              <w:right w:w="90" w:type="dxa"/>
            </w:tcMar>
          </w:tcPr>
          <w:p w14:paraId="0707C895">
            <w:r>
              <w:rPr>
                <w:sz w:val="10"/>
              </w:rPr>
              <w:t>Falsified/split</w:t>
            </w:r>
          </w:p>
        </w:tc>
        <w:tc>
          <w:tcPr>
            <w:tcW w:w="2260" w:type="dxa"/>
            <w:tcMar>
              <w:top w:w="80" w:type="dxa"/>
              <w:left w:w="90" w:type="dxa"/>
              <w:bottom w:w="80" w:type="dxa"/>
              <w:right w:w="90" w:type="dxa"/>
            </w:tcMar>
          </w:tcPr>
          <w:p w14:paraId="12039177">
            <w:r>
              <w:rPr>
                <w:sz w:val="10"/>
              </w:rPr>
              <w:t>Surrogate succeeds, controller remains regime-dependent.</w:t>
            </w:r>
          </w:p>
        </w:tc>
      </w:tr>
      <w:tr w14:paraId="00B42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4F623230">
            <w:r>
              <w:rPr>
                <w:sz w:val="10"/>
              </w:rPr>
              <w:t>MORL action-saturation</w:t>
            </w:r>
          </w:p>
        </w:tc>
        <w:tc>
          <w:tcPr>
            <w:tcW w:w="2400" w:type="dxa"/>
            <w:tcMar>
              <w:top w:w="80" w:type="dxa"/>
              <w:left w:w="90" w:type="dxa"/>
              <w:bottom w:w="80" w:type="dxa"/>
              <w:right w:w="90" w:type="dxa"/>
            </w:tcMar>
          </w:tcPr>
          <w:p w14:paraId="0C6A1A43">
            <w:r>
              <w:rPr>
                <w:sz w:val="10"/>
              </w:rPr>
              <w:t>N=3 seasonal inversion persists at N=5</w:t>
            </w:r>
          </w:p>
        </w:tc>
        <w:tc>
          <w:tcPr>
            <w:tcW w:w="2200" w:type="dxa"/>
            <w:tcMar>
              <w:top w:w="80" w:type="dxa"/>
              <w:left w:w="90" w:type="dxa"/>
              <w:bottom w:w="80" w:type="dxa"/>
              <w:right w:w="90" w:type="dxa"/>
            </w:tcMar>
          </w:tcPr>
          <w:p w14:paraId="1D85DAA3">
            <w:r>
              <w:rPr>
                <w:sz w:val="10"/>
              </w:rPr>
              <w:t>Feb sigma &lt;0.005 and winter ratio &gt;20x</w:t>
            </w:r>
          </w:p>
        </w:tc>
        <w:tc>
          <w:tcPr>
            <w:tcW w:w="1250" w:type="dxa"/>
            <w:tcMar>
              <w:top w:w="80" w:type="dxa"/>
              <w:left w:w="90" w:type="dxa"/>
              <w:bottom w:w="80" w:type="dxa"/>
              <w:right w:w="90" w:type="dxa"/>
            </w:tcMar>
          </w:tcPr>
          <w:p w14:paraId="6751BAA3">
            <w:r>
              <w:rPr>
                <w:sz w:val="10"/>
              </w:rPr>
              <w:t>Falsified</w:t>
            </w:r>
          </w:p>
        </w:tc>
        <w:tc>
          <w:tcPr>
            <w:tcW w:w="2260" w:type="dxa"/>
            <w:tcMar>
              <w:top w:w="80" w:type="dxa"/>
              <w:left w:w="90" w:type="dxa"/>
              <w:bottom w:w="80" w:type="dxa"/>
              <w:right w:w="90" w:type="dxa"/>
            </w:tcMar>
          </w:tcPr>
          <w:p w14:paraId="60C95CAD">
            <w:r>
              <w:rPr>
                <w:sz w:val="10"/>
              </w:rPr>
              <w:t>Feb sigma rose and inversion collapsed at N=5.</w:t>
            </w:r>
          </w:p>
        </w:tc>
      </w:tr>
    </w:tbl>
    <w:p w14:paraId="16A30AA2">
      <w:r>
        <w:rPr>
          <w:i/>
          <w:color w:val="555555"/>
          <w:sz w:val="18"/>
        </w:rPr>
        <w:t>Table 7. Hypothesis closure table. The audit trail maps each claim to the pre-registered protocol and post-result append-only records.</w:t>
      </w:r>
    </w:p>
    <w:p w14:paraId="74B75180">
      <w:pPr>
        <w:pStyle w:val="3"/>
      </w:pPr>
      <w:r>
        <w:t>8.1 Predictive validity versus RL training utility</w:t>
      </w:r>
    </w:p>
    <w:p w14:paraId="7772D26F">
      <w:r>
        <w:t>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14:paraId="17D1F0C0">
      <w:pPr>
        <w:pStyle w:val="3"/>
      </w:pPr>
      <w:r>
        <w:t>8.2 Controller-family specificity</w:t>
      </w:r>
    </w:p>
    <w:p w14:paraId="54F9CA74">
      <w:r>
        <w:t>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14:paraId="6973B67D">
      <w:pPr>
        <w:pStyle w:val="3"/>
      </w:pPr>
      <w:r>
        <w:t>8.3 Transferability boundary</w:t>
      </w:r>
    </w:p>
    <w:p w14:paraId="6A7C2E72">
      <w:r>
        <w:t>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14:paraId="4A0DF50A">
      <w:pPr>
        <w:pStyle w:val="3"/>
      </w:pPr>
      <w:r>
        <w:t>8.4 Step-size disclosure and pre-registration discipline</w:t>
      </w:r>
    </w:p>
    <w:p w14:paraId="219338C6">
      <w:r>
        <w:t>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14:paraId="0F79FFE7">
      <w:pPr>
        <w:pStyle w:val="3"/>
      </w:pPr>
      <w:r>
        <w:t>8.5 Positioning relative to related work</w:t>
      </w:r>
    </w:p>
    <w:p w14:paraId="11369B10">
      <w:r>
        <w:t>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14:paraId="14B2E74B">
      <w:pPr>
        <w:pStyle w:val="3"/>
      </w:pPr>
      <w:r>
        <w:t>8.6 Threats to validity</w:t>
      </w:r>
    </w:p>
    <w:p w14:paraId="08DE7B5F">
      <w:r>
        <w:t>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14:paraId="2234FDD4">
      <w:pPr>
        <w:pStyle w:val="2"/>
      </w:pPr>
      <w:r>
        <w:t>9. Conclusion</w:t>
      </w:r>
    </w:p>
    <w:p w14:paraId="392FD99C">
      <w:r>
        <w:t>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14:paraId="7C5FA343">
      <w:r>
        <w:t>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14:paraId="791F75F2">
      <w:r>
        <w:t>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14:paraId="0B5A25D0">
      <w:r>
        <w:t>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14:paraId="3B0CF506">
      <w:pPr>
        <w:pStyle w:val="2"/>
      </w:pPr>
      <w:r>
        <w:t>Data availability</w:t>
      </w:r>
    </w:p>
    <w:p w14:paraId="250FB146">
      <w:r>
        <w:t>All numerical values are sourced from CSV artifacts under reports/ and outputs/. The figure-source manifest is reports/article_real_figures_manifest.csv.</w:t>
      </w:r>
    </w:p>
    <w:p w14:paraId="0EF4F94D">
      <w:r>
        <w:br w:type="page"/>
      </w:r>
    </w:p>
    <w:p w14:paraId="734F79A2">
      <w:pPr>
        <w:pStyle w:val="2"/>
      </w:pPr>
      <w:r>
        <w:t>Supplementary Material: Hou and Evins Numerical Artifacts</w:t>
      </w:r>
    </w:p>
    <w:p w14:paraId="2FFB6489">
      <w:r>
        <w:t>The following tables summarize the eleven article-facing numerical artifacts adapted from the Hou-and-Evins surrogate reporting protocol [17]. The complete machine-readable versions remain in reports/hou_evins_*.csv.</w:t>
      </w:r>
    </w:p>
    <w:p w14:paraId="7AB46C4B">
      <w:pPr>
        <w:pStyle w:val="3"/>
      </w:pPr>
      <w:r>
        <w:t>S1. Sample generation (reports/hou_evins_sample_generation_table.csv)</w:t>
      </w:r>
    </w:p>
    <w:p w14:paraId="283F1637">
      <w:pPr>
        <w:pStyle w:val="3"/>
      </w:pPr>
      <w:r>
        <w:t>S2. Sample-size justification (reports/hou_evins_sample_size_justification_table.csv)</w:t>
      </w:r>
    </w:p>
    <w:p w14:paraId="184332D7">
      <w:pPr>
        <w:pStyle w:val="3"/>
      </w:pPr>
      <w:r>
        <w:t>S3. Split representativeness (reports/hou_evins_split_representativeness_table.csv)</w:t>
      </w:r>
    </w:p>
    <w:p w14:paraId="560D8825">
      <w:pPr>
        <w:pStyle w:val="3"/>
      </w:pPr>
      <w:r>
        <w:t>S4. Stage A processing (reports/hou_evins_stage_a_processing_table.csv)</w:t>
      </w:r>
    </w:p>
    <w:p w14:paraId="4412A2C2">
      <w:pPr>
        <w:pStyle w:val="3"/>
      </w:pPr>
      <w:r>
        <w:t>S5. Feature significance and encoding (reports/hou_evins_feature_justification_table.csv)</w:t>
      </w:r>
    </w:p>
    <w:p w14:paraId="01516FC3">
      <w:pPr>
        <w:pStyle w:val="3"/>
      </w:pPr>
      <w:r>
        <w:t>S6. Scaling (reports/hou_evins_scaling_table.csv)</w:t>
      </w:r>
    </w:p>
    <w:p w14:paraId="243DA8A4">
      <w:pPr>
        <w:pStyle w:val="3"/>
      </w:pPr>
      <w:r>
        <w:t>S7. Input independence (reports/hou_evins_input_independence_table.csv)</w:t>
      </w:r>
    </w:p>
    <w:p w14:paraId="6332FF3D">
      <w:pPr>
        <w:pStyle w:val="3"/>
      </w:pPr>
      <w:r>
        <w:t>S8. Training hyperparameters (reports/hou_evins_training_hyperparams_table.csv)</w:t>
      </w:r>
    </w:p>
    <w:p w14:paraId="4D778662">
      <w:pPr>
        <w:pStyle w:val="3"/>
      </w:pPr>
      <w:r>
        <w:t>S9. Architecture justification (reports/hou_evins_architecture_justification_table.csv)</w:t>
      </w:r>
    </w:p>
    <w:p w14:paraId="3B43A408">
      <w:pPr>
        <w:pStyle w:val="3"/>
      </w:pPr>
      <w:r>
        <w:t>S10. Targeted sensitivity (reports/hou_evins_targeted_sensitivity_table.csv)</w:t>
      </w:r>
    </w:p>
    <w:p w14:paraId="797F036F">
      <w:pPr>
        <w:pStyle w:val="3"/>
      </w:pPr>
      <w:r>
        <w:t>S11. Predictive validity (reports/hou_evins_predictive_validity_table.csv)</w:t>
      </w:r>
    </w:p>
    <w:p w14:paraId="3625F9BC">
      <w:pPr>
        <w:pStyle w:val="2"/>
      </w:pPr>
      <w:r>
        <w:t>References</w:t>
      </w:r>
    </w:p>
    <w:p w14:paraId="1546773A">
      <w:r>
        <w:rPr>
          <w:sz w:val="18"/>
        </w:rPr>
        <w:t>[1] Zhang S, Ma M, Zhou N, Yan J. GLOBUS: Global building renovation potential by 2070. arXiv preprint arXiv:2406.04133, 2024.</w:t>
      </w:r>
    </w:p>
    <w:p w14:paraId="2DE4A9AF">
      <w:r>
        <w:rPr>
          <w:sz w:val="18"/>
        </w:rPr>
        <w:t>[2] Arroyo J, Spiessens F, Helsen L. Comparison of optimal control techniques for building energy management. Frontiers in Built Environment. 2022;8:849754. doi:10.3389/fbuil.2022.849754.</w:t>
      </w:r>
    </w:p>
    <w:p w14:paraId="0636EAC2">
      <w:r>
        <w:rPr>
          <w:sz w:val="18"/>
        </w:rPr>
        <w:t>[3] Arroyo J, Spiessens F, Helsen L. Identification of multi-zone grey-box building models for use in model predictive control. Journal of Building Performance Simulation. 2020;13(4):472-486. doi:10.1080/19401493.2020.1770861.</w:t>
      </w:r>
    </w:p>
    <w:p w14:paraId="68BF49C5">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14:paraId="26429B7D">
      <w:r>
        <w:rPr>
          <w:sz w:val="18"/>
        </w:rPr>
        <w:t>[5] Arroyo J, Manna C, Spiessens F, Helsen L. An OpenAI-Gym environment for the Building Optimization Testing Framework. Proceedings of the 17th IBPSA Conference; 2021 Sep 1-3; Bruges, Belgium.</w:t>
      </w:r>
    </w:p>
    <w:p w14:paraId="38F9ADC8">
      <w:r>
        <w:rPr>
          <w:sz w:val="18"/>
        </w:rPr>
        <w:t>[6] Wang D, Zheng W, Wang Z, Wang Y, Pang X, Wang W. Comparison of reinforcement learning and model predictive control for building energy system optimization. Applied Thermal Engineering. 2023;228:120430. doi:10.1016/j.applthermaleng.2023.120430.</w:t>
      </w:r>
    </w:p>
    <w:p w14:paraId="61AE2380">
      <w:r>
        <w:rPr>
          <w:sz w:val="18"/>
        </w:rPr>
        <w:t>[7] Arroyo J, Manna C, Spiessens F, Helsen L. Reinforced model predictive control for building energy management. Applied Energy. 2022;309:118346. doi:10.1016/j.apenergy.2021.118346.</w:t>
      </w:r>
    </w:p>
    <w:p w14:paraId="272A1C9A">
      <w:r>
        <w:rPr>
          <w:sz w:val="18"/>
        </w:rPr>
        <w:t>[8] Drgona J, Tuor AR, Chandan V, Vrabie DL. Physics-constrained deep learning of multi-zone building thermal dynamics. arXiv preprint arXiv:2011.05987, 2020.</w:t>
      </w:r>
    </w:p>
    <w:p w14:paraId="2904CB8B">
      <w:r>
        <w:rPr>
          <w:sz w:val="18"/>
        </w:rPr>
        <w:t>[9] Jiang Z, Lee YM. Deep transfer learning for thermal dynamics modeling in smart buildings. arXiv preprint arXiv:1911.03318, 2019.</w:t>
      </w:r>
    </w:p>
    <w:p w14:paraId="2273D907">
      <w:r>
        <w:rPr>
          <w:sz w:val="18"/>
        </w:rPr>
        <w:t>[10] Xu S, Wang Y, Wang Y, O'Neill Z, Zhu Q. One for many: transfer learning for building HVAC control. arXiv preprint arXiv:2008.03625, 2020.</w:t>
      </w:r>
    </w:p>
    <w:p w14:paraId="63FCC504">
      <w:r>
        <w:rPr>
          <w:sz w:val="18"/>
        </w:rPr>
        <w:t>[11] Fierro G, Prakash AK, Blum D, Bender J, Paulson E, Wetter M. Notes paper: enabling building application development with simulated digital twins. BuildSys '22; 2022 Nov 9-10; Boston, MA, USA. doi:10.1145/3563357.3564060.</w:t>
      </w:r>
    </w:p>
    <w:p w14:paraId="63385B08">
      <w:r>
        <w:rPr>
          <w:sz w:val="18"/>
        </w:rPr>
        <w:t>[12] Mostafavi S, Song C, Sharma A, Goyal R, Brito A. Benchmarking model predictive control algorithms in Building Optimization Testing Framework. arXiv preprint arXiv:2301.13447, 2023.</w:t>
      </w:r>
    </w:p>
    <w:p w14:paraId="6B2E3EC5">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14:paraId="2E696AD9">
      <w:r>
        <w:rPr>
          <w:sz w:val="18"/>
        </w:rPr>
        <w:t>[14] Bekal GU, Ghareeb A, Pujari A. Continual reinforcement learning for HVAC systems control: integrating hypernetworks and transfer learning. arXiv preprint arXiv:2503.19212, 2025.</w:t>
      </w:r>
    </w:p>
    <w:p w14:paraId="3CAC3C12">
      <w:r>
        <w:rPr>
          <w:sz w:val="18"/>
        </w:rPr>
        <w:t>[15] Ruiz de Vargas JM, Raisch F, Nagy Z, Pinson P, Goebel C. Counter-Dyna: data-efficient RL-based HVAC control using counterfactual building models. arXiv preprint arXiv:2605.04555, 2026.</w:t>
      </w:r>
    </w:p>
    <w:p w14:paraId="4657C797">
      <w:r>
        <w:rPr>
          <w:sz w:val="18"/>
        </w:rPr>
        <w:t>[16] Al Sayed K et al. Reinforcement learning for HVAC control in intelligent buildings: a technical and conceptual review. Journal of Building Engineering. 2024;95:110085.</w:t>
      </w:r>
    </w:p>
    <w:p w14:paraId="234DF362">
      <w:r>
        <w:rPr>
          <w:sz w:val="18"/>
        </w:rPr>
        <w:t>[17] Hou J, Evins R. A protocol for developing and evaluating neural network-based surrogate models and its application to building energy prediction. Renewable and Sustainable Energy Reviews. 2024;193:114283.</w:t>
      </w:r>
    </w:p>
    <w:p w14:paraId="36BDCF68">
      <w:r>
        <w:rPr>
          <w:sz w:val="18"/>
        </w:rPr>
        <w:t>[18] Gao H et al. Successful application of predictive information in deep reinforcement learning control: a case study based on an office building HVAC system. Energy. 2024;291:130344.</w:t>
      </w:r>
    </w:p>
    <w:p w14:paraId="5EB63DE0">
      <w:r>
        <w:rPr>
          <w:sz w:val="18"/>
        </w:rPr>
        <w:t>[19] Wang Z et al. Safe deep reinforcement learning for building energy management. Applied Energy. 2025;377:124328.</w:t>
      </w:r>
    </w:p>
    <w:p w14:paraId="1F2F312A">
      <w:r>
        <w:rPr>
          <w:sz w:val="18"/>
        </w:rPr>
        <w:t>[20] Hedayat Z, Ziarati SR, Manganelli M. A physics-informed reinforcement learning framework for HVAC optimization: thermodynamically-constrained DDPG with uncertainty-aware safety verification. 2025.</w:t>
      </w:r>
    </w:p>
    <w:p w14:paraId="502F7E9B">
      <w:r>
        <w:rPr>
          <w:sz w:val="18"/>
        </w:rPr>
        <w:t>[21] Liao B et al. Year-round operational optimization of HVAC systems using hierarchical deep reinforcement learning with multi-objective reward mechanisms. Applied Energy. 2025;390:125816.</w:t>
      </w:r>
    </w:p>
    <w:p w14:paraId="14B8638F">
      <w:r>
        <w:rPr>
          <w:sz w:val="18"/>
        </w:rPr>
        <w:t>[22] Roijers DM, Vamplew P, Whiteson S, Dazeley R. A survey of multi-objective sequential decision-making. Journal of Artificial Intelligence Research. 2013;48:67-113.</w:t>
      </w:r>
    </w:p>
    <w:p w14:paraId="4CB2B4AF">
      <w:r>
        <w:rPr>
          <w:sz w:val="18"/>
        </w:rPr>
        <w:t>[23] Coraci D et al. A scalable approach for real-world implementation of DRL controllers in buildings based on online transfer learning: the HiLo case study. Energy and Buildings. 2025;329:115254.</w:t>
      </w:r>
    </w:p>
    <w:p w14:paraId="4C5FBF63">
      <w:r>
        <w:rPr>
          <w:sz w:val="18"/>
        </w:rPr>
        <w:t>[24] Hou J et al. Multi-source transfer learning method for enhancing the deployment of deep reinforcement learning in multi-zone building HVAC control. Energy and Buildings. 2024;322:114696.</w:t>
      </w:r>
    </w:p>
    <w:p w14:paraId="485FFE00">
      <w:r>
        <w:rPr>
          <w:sz w:val="18"/>
        </w:rPr>
        <w:t>[25] Kadamala P et al. Enhancing HVAC control systems through transfer learning with deep reinforcement learning agents. Smart Energy. 2024;13:100131.</w:t>
      </w:r>
    </w:p>
    <w:p w14:paraId="22A36F28">
      <w:r>
        <w:rPr>
          <w:sz w:val="18"/>
        </w:rPr>
        <w:t>[26] Coraci D et al. An innovative heterogeneous transfer learning framework to enhance the scalability of deep reinforcement learning controllers for building energy management. Building Simulation. 2024;17:739-770.</w:t>
      </w:r>
    </w:p>
    <w:p w14:paraId="2DDA21E5">
      <w:r>
        <w:rPr>
          <w:sz w:val="18"/>
        </w:rPr>
        <w:t>[27] Samani MR et al. Distribution shift, generalization and OOD challenge in offline reinforcement learning: a comprehensive survey. Neural Computing and Applications. 2026.</w:t>
      </w:r>
    </w:p>
    <w:p w14:paraId="7693F630">
      <w:r>
        <w:rPr>
          <w:sz w:val="18"/>
        </w:rPr>
        <w:t>[28] Savino M et al. Deploying deep reinforcement learning for low-level HVAC control in multi-zone buildings: a comparative study with ASHRAE G36 sequences. Energy and Buildings. 2025;348:116456.</w:t>
      </w:r>
    </w:p>
    <w:p w14:paraId="7C376E03">
      <w:r>
        <w:rPr>
          <w:sz w:val="18"/>
        </w:rPr>
        <w:t>[29] Sun Y et al. Individual room air-conditioning control in high-insulation residential building during winter: a deep reinforcement learning-based control model for reducing energy consumption. Energy and Buildings. 2024;323:114799.</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67D86"/>
    <w:rsid w:val="274765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8924</Words>
  <Characters>56960</Characters>
  <Lines>0</Lines>
  <Paragraphs>0</Paragraphs>
  <TotalTime>3</TotalTime>
  <ScaleCrop>false</ScaleCrop>
  <LinksUpToDate>false</LinksUpToDate>
  <CharactersWithSpaces>65431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2026-06-01T13:20:33Z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1B43E6E04EB647BAB0D25EFBB0E5C1C1_12</vt:lpwstr>
  </property>
</Properties>
</file>