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rPr>
          <w:i/>
        </w:rPr>
        <w:t>Keywords: HVAC control; deep reinforcement learning; digital twin; physics-informed machine learning; BOPTEST; multi-objective reinforcement learning.</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14:paraId="74189AB7">
            <w:r>
              <w:rPr>
                <w:b/>
                <w:sz w:val="10"/>
              </w:rPr>
              <w:t>Reference</w:t>
            </w:r>
          </w:p>
        </w:tc>
        <w:tc>
          <w:tcPr>
            <w:tcW w:w="1050" w:type="dxa"/>
            <w:shd w:val="clear" w:color="auto" w:fill="EAF2F8"/>
            <w:tcMar>
              <w:top w:w="80" w:type="dxa"/>
              <w:left w:w="90" w:type="dxa"/>
              <w:bottom w:w="80" w:type="dxa"/>
              <w:right w:w="90" w:type="dxa"/>
            </w:tcMar>
          </w:tcPr>
          <w:p w14:paraId="7C4A8377">
            <w:r>
              <w:rPr>
                <w:b/>
                <w:sz w:val="10"/>
              </w:rPr>
              <w:t>Domain</w:t>
            </w:r>
          </w:p>
        </w:tc>
        <w:tc>
          <w:tcPr>
            <w:tcW w:w="1100" w:type="dxa"/>
            <w:shd w:val="clear" w:color="auto" w:fill="EAF2F8"/>
            <w:tcMar>
              <w:top w:w="80" w:type="dxa"/>
              <w:left w:w="90" w:type="dxa"/>
              <w:bottom w:w="80" w:type="dxa"/>
              <w:right w:w="90" w:type="dxa"/>
            </w:tcMar>
          </w:tcPr>
          <w:p w14:paraId="59E9CFD0">
            <w:r>
              <w:rPr>
                <w:b/>
                <w:sz w:val="10"/>
              </w:rPr>
              <w:t>Method</w:t>
            </w:r>
          </w:p>
        </w:tc>
        <w:tc>
          <w:tcPr>
            <w:tcW w:w="1150" w:type="dxa"/>
            <w:shd w:val="clear" w:color="auto" w:fill="EAF2F8"/>
            <w:tcMar>
              <w:top w:w="80" w:type="dxa"/>
              <w:left w:w="90" w:type="dxa"/>
              <w:bottom w:w="80" w:type="dxa"/>
              <w:right w:w="90" w:type="dxa"/>
            </w:tcMar>
          </w:tcPr>
          <w:p w14:paraId="5776F499">
            <w:r>
              <w:rPr>
                <w:b/>
                <w:sz w:val="10"/>
              </w:rPr>
              <w:t>Training env.</w:t>
            </w:r>
          </w:p>
        </w:tc>
        <w:tc>
          <w:tcPr>
            <w:tcW w:w="1050" w:type="dxa"/>
            <w:shd w:val="clear" w:color="auto" w:fill="EAF2F8"/>
            <w:tcMar>
              <w:top w:w="80" w:type="dxa"/>
              <w:left w:w="90" w:type="dxa"/>
              <w:bottom w:w="80" w:type="dxa"/>
              <w:right w:w="90" w:type="dxa"/>
            </w:tcMar>
          </w:tcPr>
          <w:p w14:paraId="568D3F2C">
            <w:r>
              <w:rPr>
                <w:b/>
                <w:sz w:val="10"/>
              </w:rPr>
              <w:t>Model type</w:t>
            </w:r>
          </w:p>
        </w:tc>
        <w:tc>
          <w:tcPr>
            <w:tcW w:w="1050" w:type="dxa"/>
            <w:shd w:val="clear" w:color="auto" w:fill="EAF2F8"/>
            <w:tcMar>
              <w:top w:w="80" w:type="dxa"/>
              <w:left w:w="90" w:type="dxa"/>
              <w:bottom w:w="80" w:type="dxa"/>
              <w:right w:w="90" w:type="dxa"/>
            </w:tcMar>
          </w:tcPr>
          <w:p w14:paraId="35A5E83A">
            <w:r>
              <w:rPr>
                <w:b/>
                <w:sz w:val="10"/>
              </w:rPr>
              <w:t>Objective</w:t>
            </w:r>
          </w:p>
        </w:tc>
        <w:tc>
          <w:tcPr>
            <w:tcW w:w="1300" w:type="dxa"/>
            <w:shd w:val="clear" w:color="auto" w:fill="EAF2F8"/>
            <w:tcMar>
              <w:top w:w="80" w:type="dxa"/>
              <w:left w:w="90" w:type="dxa"/>
              <w:bottom w:w="80" w:type="dxa"/>
              <w:right w:w="90" w:type="dxa"/>
            </w:tcMar>
          </w:tcPr>
          <w:p w14:paraId="5EDD3FAB">
            <w:r>
              <w:rPr>
                <w:b/>
                <w:sz w:val="10"/>
              </w:rPr>
              <w:t>Key limitation</w:t>
            </w:r>
          </w:p>
        </w:tc>
        <w:tc>
          <w:tcPr>
            <w:tcW w:w="2660" w:type="dxa"/>
            <w:shd w:val="clear" w:color="auto" w:fill="EAF2F8"/>
            <w:tcMar>
              <w:top w:w="80" w:type="dxa"/>
              <w:left w:w="90" w:type="dxa"/>
              <w:bottom w:w="80" w:type="dxa"/>
              <w:right w:w="90" w:type="dxa"/>
            </w:tcMar>
          </w:tcPr>
          <w:p w14:paraId="717656D6">
            <w:r>
              <w:rPr>
                <w:b/>
                <w:sz w:val="10"/>
              </w:rP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6C3F5501">
            <w:r>
              <w:rPr>
                <w:sz w:val="10"/>
              </w:rPr>
              <w:t>Hou &amp; Evins [17]</w:t>
            </w:r>
          </w:p>
        </w:tc>
        <w:tc>
          <w:tcPr>
            <w:tcW w:w="1050" w:type="dxa"/>
            <w:tcMar>
              <w:top w:w="80" w:type="dxa"/>
              <w:left w:w="90" w:type="dxa"/>
              <w:bottom w:w="80" w:type="dxa"/>
              <w:right w:w="90" w:type="dxa"/>
            </w:tcMar>
          </w:tcPr>
          <w:p w14:paraId="35CB600B">
            <w:r>
              <w:rPr>
                <w:sz w:val="10"/>
              </w:rPr>
              <w:t>Surrogate validation</w:t>
            </w:r>
          </w:p>
        </w:tc>
        <w:tc>
          <w:tcPr>
            <w:tcW w:w="1100" w:type="dxa"/>
            <w:tcMar>
              <w:top w:w="80" w:type="dxa"/>
              <w:left w:w="90" w:type="dxa"/>
              <w:bottom w:w="80" w:type="dxa"/>
              <w:right w:w="90" w:type="dxa"/>
            </w:tcMar>
          </w:tcPr>
          <w:p w14:paraId="4201DBBB">
            <w:r>
              <w:rPr>
                <w:sz w:val="10"/>
              </w:rPr>
              <w:t>Reporting protocol</w:t>
            </w:r>
          </w:p>
        </w:tc>
        <w:tc>
          <w:tcPr>
            <w:tcW w:w="1150" w:type="dxa"/>
            <w:tcMar>
              <w:top w:w="80" w:type="dxa"/>
              <w:left w:w="90" w:type="dxa"/>
              <w:bottom w:w="80" w:type="dxa"/>
              <w:right w:w="90" w:type="dxa"/>
            </w:tcMar>
          </w:tcPr>
          <w:p w14:paraId="26277ED4">
            <w:r>
              <w:rPr>
                <w:sz w:val="10"/>
              </w:rPr>
              <w:t>Offline traces</w:t>
            </w:r>
          </w:p>
        </w:tc>
        <w:tc>
          <w:tcPr>
            <w:tcW w:w="1050" w:type="dxa"/>
            <w:tcMar>
              <w:top w:w="80" w:type="dxa"/>
              <w:left w:w="90" w:type="dxa"/>
              <w:bottom w:w="80" w:type="dxa"/>
              <w:right w:w="90" w:type="dxa"/>
            </w:tcMar>
          </w:tcPr>
          <w:p w14:paraId="544E19A3">
            <w:r>
              <w:rPr>
                <w:sz w:val="10"/>
              </w:rPr>
              <w:t>NN surrogate</w:t>
            </w:r>
          </w:p>
        </w:tc>
        <w:tc>
          <w:tcPr>
            <w:tcW w:w="1050" w:type="dxa"/>
            <w:tcMar>
              <w:top w:w="80" w:type="dxa"/>
              <w:left w:w="90" w:type="dxa"/>
              <w:bottom w:w="80" w:type="dxa"/>
              <w:right w:w="90" w:type="dxa"/>
            </w:tcMar>
          </w:tcPr>
          <w:p w14:paraId="07C96FED">
            <w:r>
              <w:rPr>
                <w:sz w:val="10"/>
              </w:rPr>
              <w:t>Predictive validity</w:t>
            </w:r>
          </w:p>
        </w:tc>
        <w:tc>
          <w:tcPr>
            <w:tcW w:w="1300" w:type="dxa"/>
            <w:tcMar>
              <w:top w:w="80" w:type="dxa"/>
              <w:left w:w="90" w:type="dxa"/>
              <w:bottom w:w="80" w:type="dxa"/>
              <w:right w:w="90" w:type="dxa"/>
            </w:tcMar>
          </w:tcPr>
          <w:p w14:paraId="1E991FC8">
            <w:r>
              <w:rPr>
                <w:sz w:val="10"/>
              </w:rPr>
              <w:t>No RL utility test</w:t>
            </w:r>
          </w:p>
        </w:tc>
        <w:tc>
          <w:tcPr>
            <w:tcW w:w="2660" w:type="dxa"/>
            <w:tcMar>
              <w:top w:w="80" w:type="dxa"/>
              <w:left w:w="90" w:type="dxa"/>
              <w:bottom w:w="80" w:type="dxa"/>
              <w:right w:w="90" w:type="dxa"/>
            </w:tcMar>
          </w:tcPr>
          <w:p w14:paraId="787D32B5">
            <w:r>
              <w:rPr>
                <w:sz w:val="10"/>
              </w:rPr>
              <w:t>Extends protocol to closed-loop RL and transfer.</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5EBFC1E4">
            <w:r>
              <w:rPr>
                <w:sz w:val="10"/>
              </w:rPr>
              <w:t>Gao et al. [18]</w:t>
            </w:r>
          </w:p>
        </w:tc>
        <w:tc>
          <w:tcPr>
            <w:tcW w:w="1050" w:type="dxa"/>
            <w:tcMar>
              <w:top w:w="80" w:type="dxa"/>
              <w:left w:w="90" w:type="dxa"/>
              <w:bottom w:w="80" w:type="dxa"/>
              <w:right w:w="90" w:type="dxa"/>
            </w:tcMar>
          </w:tcPr>
          <w:p w14:paraId="0F61FC24">
            <w:r>
              <w:rPr>
                <w:sz w:val="10"/>
              </w:rPr>
              <w:t>HVAC DRL</w:t>
            </w:r>
          </w:p>
        </w:tc>
        <w:tc>
          <w:tcPr>
            <w:tcW w:w="1100" w:type="dxa"/>
            <w:tcMar>
              <w:top w:w="80" w:type="dxa"/>
              <w:left w:w="90" w:type="dxa"/>
              <w:bottom w:w="80" w:type="dxa"/>
              <w:right w:w="90" w:type="dxa"/>
            </w:tcMar>
          </w:tcPr>
          <w:p w14:paraId="7406E6F3">
            <w:r>
              <w:rPr>
                <w:sz w:val="10"/>
              </w:rPr>
              <w:t>Predictive information</w:t>
            </w:r>
          </w:p>
        </w:tc>
        <w:tc>
          <w:tcPr>
            <w:tcW w:w="1150" w:type="dxa"/>
            <w:tcMar>
              <w:top w:w="80" w:type="dxa"/>
              <w:left w:w="90" w:type="dxa"/>
              <w:bottom w:w="80" w:type="dxa"/>
              <w:right w:w="90" w:type="dxa"/>
            </w:tcMar>
          </w:tcPr>
          <w:p w14:paraId="30523BDB">
            <w:r>
              <w:rPr>
                <w:sz w:val="10"/>
              </w:rPr>
              <w:t>Simulation</w:t>
            </w:r>
          </w:p>
        </w:tc>
        <w:tc>
          <w:tcPr>
            <w:tcW w:w="1050" w:type="dxa"/>
            <w:tcMar>
              <w:top w:w="80" w:type="dxa"/>
              <w:left w:w="90" w:type="dxa"/>
              <w:bottom w:w="80" w:type="dxa"/>
              <w:right w:w="90" w:type="dxa"/>
            </w:tcMar>
          </w:tcPr>
          <w:p w14:paraId="171A9415">
            <w:r>
              <w:rPr>
                <w:sz w:val="10"/>
              </w:rPr>
              <w:t>GRU predictor</w:t>
            </w:r>
          </w:p>
        </w:tc>
        <w:tc>
          <w:tcPr>
            <w:tcW w:w="1050" w:type="dxa"/>
            <w:tcMar>
              <w:top w:w="80" w:type="dxa"/>
              <w:left w:w="90" w:type="dxa"/>
              <w:bottom w:w="80" w:type="dxa"/>
              <w:right w:w="90" w:type="dxa"/>
            </w:tcMar>
          </w:tcPr>
          <w:p w14:paraId="3868A479">
            <w:r>
              <w:rPr>
                <w:sz w:val="10"/>
              </w:rPr>
              <w:t>Comfort-energy</w:t>
            </w:r>
          </w:p>
        </w:tc>
        <w:tc>
          <w:tcPr>
            <w:tcW w:w="1300" w:type="dxa"/>
            <w:tcMar>
              <w:top w:w="80" w:type="dxa"/>
              <w:left w:w="90" w:type="dxa"/>
              <w:bottom w:w="80" w:type="dxa"/>
              <w:right w:w="90" w:type="dxa"/>
            </w:tcMar>
          </w:tcPr>
          <w:p w14:paraId="1B0D78DC">
            <w:r>
              <w:rPr>
                <w:sz w:val="10"/>
              </w:rPr>
              <w:t>Predictive signal assumed useful</w:t>
            </w:r>
          </w:p>
        </w:tc>
        <w:tc>
          <w:tcPr>
            <w:tcW w:w="2660" w:type="dxa"/>
            <w:tcMar>
              <w:top w:w="80" w:type="dxa"/>
              <w:left w:w="90" w:type="dxa"/>
              <w:bottom w:w="80" w:type="dxa"/>
              <w:right w:w="90" w:type="dxa"/>
            </w:tcMar>
          </w:tcPr>
          <w:p w14:paraId="32502229">
            <w:r>
              <w:rPr>
                <w:sz w:val="10"/>
              </w:rPr>
              <w:t>Shows predictive fidelity can hurt as rollout backend.</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E00A5F7">
            <w:r>
              <w:rPr>
                <w:sz w:val="10"/>
              </w:rPr>
              <w:t>Wang et al. [19]</w:t>
            </w:r>
          </w:p>
        </w:tc>
        <w:tc>
          <w:tcPr>
            <w:tcW w:w="1050" w:type="dxa"/>
            <w:tcMar>
              <w:top w:w="80" w:type="dxa"/>
              <w:left w:w="90" w:type="dxa"/>
              <w:bottom w:w="80" w:type="dxa"/>
              <w:right w:w="90" w:type="dxa"/>
            </w:tcMar>
          </w:tcPr>
          <w:p w14:paraId="2F1897F8">
            <w:r>
              <w:rPr>
                <w:sz w:val="10"/>
              </w:rPr>
              <w:t>Safe DRL</w:t>
            </w:r>
          </w:p>
        </w:tc>
        <w:tc>
          <w:tcPr>
            <w:tcW w:w="1100" w:type="dxa"/>
            <w:tcMar>
              <w:top w:w="80" w:type="dxa"/>
              <w:left w:w="90" w:type="dxa"/>
              <w:bottom w:w="80" w:type="dxa"/>
              <w:right w:w="90" w:type="dxa"/>
            </w:tcMar>
          </w:tcPr>
          <w:p w14:paraId="3DCC4E45">
            <w:r>
              <w:rPr>
                <w:sz w:val="10"/>
              </w:rPr>
              <w:t>MPC filter</w:t>
            </w:r>
          </w:p>
        </w:tc>
        <w:tc>
          <w:tcPr>
            <w:tcW w:w="1150" w:type="dxa"/>
            <w:tcMar>
              <w:top w:w="80" w:type="dxa"/>
              <w:left w:w="90" w:type="dxa"/>
              <w:bottom w:w="80" w:type="dxa"/>
              <w:right w:w="90" w:type="dxa"/>
            </w:tcMar>
          </w:tcPr>
          <w:p w14:paraId="43CCE8EF">
            <w:r>
              <w:rPr>
                <w:sz w:val="10"/>
              </w:rPr>
              <w:t>Control loop</w:t>
            </w:r>
          </w:p>
        </w:tc>
        <w:tc>
          <w:tcPr>
            <w:tcW w:w="1050" w:type="dxa"/>
            <w:tcMar>
              <w:top w:w="80" w:type="dxa"/>
              <w:left w:w="90" w:type="dxa"/>
              <w:bottom w:w="80" w:type="dxa"/>
              <w:right w:w="90" w:type="dxa"/>
            </w:tcMar>
          </w:tcPr>
          <w:p w14:paraId="6FE778F3">
            <w:r>
              <w:rPr>
                <w:sz w:val="10"/>
              </w:rPr>
              <w:t>Safety filter</w:t>
            </w:r>
          </w:p>
        </w:tc>
        <w:tc>
          <w:tcPr>
            <w:tcW w:w="1050" w:type="dxa"/>
            <w:tcMar>
              <w:top w:w="80" w:type="dxa"/>
              <w:left w:w="90" w:type="dxa"/>
              <w:bottom w:w="80" w:type="dxa"/>
              <w:right w:w="90" w:type="dxa"/>
            </w:tcMar>
          </w:tcPr>
          <w:p w14:paraId="2E40E03F">
            <w:r>
              <w:rPr>
                <w:sz w:val="10"/>
              </w:rPr>
              <w:t>Safe actions</w:t>
            </w:r>
          </w:p>
        </w:tc>
        <w:tc>
          <w:tcPr>
            <w:tcW w:w="1300" w:type="dxa"/>
            <w:tcMar>
              <w:top w:w="80" w:type="dxa"/>
              <w:left w:w="90" w:type="dxa"/>
              <w:bottom w:w="80" w:type="dxa"/>
              <w:right w:w="90" w:type="dxa"/>
            </w:tcMar>
          </w:tcPr>
          <w:p w14:paraId="342DCC67">
            <w:r>
              <w:rPr>
                <w:sz w:val="10"/>
              </w:rPr>
              <w:t>Hard safety layer</w:t>
            </w:r>
          </w:p>
        </w:tc>
        <w:tc>
          <w:tcPr>
            <w:tcW w:w="2660" w:type="dxa"/>
            <w:tcMar>
              <w:top w:w="80" w:type="dxa"/>
              <w:left w:w="90" w:type="dxa"/>
              <w:bottom w:w="80" w:type="dxa"/>
              <w:right w:w="90" w:type="dxa"/>
            </w:tcMar>
          </w:tcPr>
          <w:p w14:paraId="48DFFDDC">
            <w:r>
              <w:rPr>
                <w:sz w:val="10"/>
              </w:rPr>
              <w:t>Tests soft physical regularization.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02B8079A">
            <w:r>
              <w:rPr>
                <w:sz w:val="10"/>
              </w:rPr>
              <w:t>Liao et al. [21]</w:t>
            </w:r>
          </w:p>
        </w:tc>
        <w:tc>
          <w:tcPr>
            <w:tcW w:w="1050" w:type="dxa"/>
            <w:tcMar>
              <w:top w:w="80" w:type="dxa"/>
              <w:left w:w="90" w:type="dxa"/>
              <w:bottom w:w="80" w:type="dxa"/>
              <w:right w:w="90" w:type="dxa"/>
            </w:tcMar>
          </w:tcPr>
          <w:p w14:paraId="681A18DD">
            <w:r>
              <w:rPr>
                <w:sz w:val="10"/>
              </w:rPr>
              <w:t>HDRL HVAC</w:t>
            </w:r>
          </w:p>
        </w:tc>
        <w:tc>
          <w:tcPr>
            <w:tcW w:w="1100" w:type="dxa"/>
            <w:tcMar>
              <w:top w:w="80" w:type="dxa"/>
              <w:left w:w="90" w:type="dxa"/>
              <w:bottom w:w="80" w:type="dxa"/>
              <w:right w:w="90" w:type="dxa"/>
            </w:tcMar>
          </w:tcPr>
          <w:p w14:paraId="51FB3AA3">
            <w:r>
              <w:rPr>
                <w:sz w:val="10"/>
              </w:rPr>
              <w:t>Hierarchical RL</w:t>
            </w:r>
          </w:p>
        </w:tc>
        <w:tc>
          <w:tcPr>
            <w:tcW w:w="1150" w:type="dxa"/>
            <w:tcMar>
              <w:top w:w="80" w:type="dxa"/>
              <w:left w:w="90" w:type="dxa"/>
              <w:bottom w:w="80" w:type="dxa"/>
              <w:right w:w="90" w:type="dxa"/>
            </w:tcMar>
          </w:tcPr>
          <w:p w14:paraId="24F96201">
            <w:r>
              <w:rPr>
                <w:sz w:val="10"/>
              </w:rPr>
              <w:t>Simulation</w:t>
            </w:r>
          </w:p>
        </w:tc>
        <w:tc>
          <w:tcPr>
            <w:tcW w:w="1050" w:type="dxa"/>
            <w:tcMar>
              <w:top w:w="80" w:type="dxa"/>
              <w:left w:w="90" w:type="dxa"/>
              <w:bottom w:w="80" w:type="dxa"/>
              <w:right w:w="90" w:type="dxa"/>
            </w:tcMar>
          </w:tcPr>
          <w:p w14:paraId="0AF4A9C6">
            <w:r>
              <w:rPr>
                <w:sz w:val="10"/>
              </w:rPr>
              <w:t>Controller hierarchy</w:t>
            </w:r>
          </w:p>
        </w:tc>
        <w:tc>
          <w:tcPr>
            <w:tcW w:w="1050" w:type="dxa"/>
            <w:tcMar>
              <w:top w:w="80" w:type="dxa"/>
              <w:left w:w="90" w:type="dxa"/>
              <w:bottom w:w="80" w:type="dxa"/>
              <w:right w:w="90" w:type="dxa"/>
            </w:tcMar>
          </w:tcPr>
          <w:p w14:paraId="3563E915">
            <w:r>
              <w:rPr>
                <w:sz w:val="10"/>
              </w:rPr>
              <w:t>Comfort/energy</w:t>
            </w:r>
          </w:p>
        </w:tc>
        <w:tc>
          <w:tcPr>
            <w:tcW w:w="1300" w:type="dxa"/>
            <w:tcMar>
              <w:top w:w="80" w:type="dxa"/>
              <w:left w:w="90" w:type="dxa"/>
              <w:bottom w:w="80" w:type="dxa"/>
              <w:right w:w="90" w:type="dxa"/>
            </w:tcMar>
          </w:tcPr>
          <w:p w14:paraId="353A1D2F">
            <w:r>
              <w:rPr>
                <w:sz w:val="10"/>
              </w:rPr>
              <w:t>No surrogate-role audit</w:t>
            </w:r>
          </w:p>
        </w:tc>
        <w:tc>
          <w:tcPr>
            <w:tcW w:w="2660" w:type="dxa"/>
            <w:tcMar>
              <w:top w:w="80" w:type="dxa"/>
              <w:left w:w="90" w:type="dxa"/>
              <w:bottom w:w="80" w:type="dxa"/>
              <w:right w:w="90" w:type="dxa"/>
            </w:tcMar>
          </w:tcPr>
          <w:p w14:paraId="060C93C2">
            <w:r>
              <w:rPr>
                <w:sz w:val="10"/>
              </w:rPr>
              <w:t>Tests controller-family specificity.</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42A9EC53">
            <w:r>
              <w:rPr>
                <w:sz w:val="10"/>
              </w:rPr>
              <w:t>Coraci et al. [23]</w:t>
            </w:r>
          </w:p>
        </w:tc>
        <w:tc>
          <w:tcPr>
            <w:tcW w:w="1050" w:type="dxa"/>
            <w:tcMar>
              <w:top w:w="80" w:type="dxa"/>
              <w:left w:w="90" w:type="dxa"/>
              <w:bottom w:w="80" w:type="dxa"/>
              <w:right w:w="90" w:type="dxa"/>
            </w:tcMar>
          </w:tcPr>
          <w:p w14:paraId="3074016F">
            <w:r>
              <w:rPr>
                <w:sz w:val="10"/>
              </w:rPr>
              <w:t>Transfer</w:t>
            </w:r>
          </w:p>
        </w:tc>
        <w:tc>
          <w:tcPr>
            <w:tcW w:w="1100" w:type="dxa"/>
            <w:tcMar>
              <w:top w:w="80" w:type="dxa"/>
              <w:left w:w="90" w:type="dxa"/>
              <w:bottom w:w="80" w:type="dxa"/>
              <w:right w:w="90" w:type="dxa"/>
            </w:tcMar>
          </w:tcPr>
          <w:p w14:paraId="45FDEF74">
            <w:r>
              <w:rPr>
                <w:sz w:val="10"/>
              </w:rPr>
              <w:t>Online transfer</w:t>
            </w:r>
          </w:p>
        </w:tc>
        <w:tc>
          <w:tcPr>
            <w:tcW w:w="1150" w:type="dxa"/>
            <w:tcMar>
              <w:top w:w="80" w:type="dxa"/>
              <w:left w:w="90" w:type="dxa"/>
              <w:bottom w:w="80" w:type="dxa"/>
              <w:right w:w="90" w:type="dxa"/>
            </w:tcMar>
          </w:tcPr>
          <w:p w14:paraId="0D8D29A8">
            <w:r>
              <w:rPr>
                <w:sz w:val="10"/>
              </w:rPr>
              <w:t>Target adaptation</w:t>
            </w:r>
          </w:p>
        </w:tc>
        <w:tc>
          <w:tcPr>
            <w:tcW w:w="1050" w:type="dxa"/>
            <w:tcMar>
              <w:top w:w="80" w:type="dxa"/>
              <w:left w:w="90" w:type="dxa"/>
              <w:bottom w:w="80" w:type="dxa"/>
              <w:right w:w="90" w:type="dxa"/>
            </w:tcMar>
          </w:tcPr>
          <w:p w14:paraId="2E672D75">
            <w:r>
              <w:rPr>
                <w:sz w:val="10"/>
              </w:rPr>
              <w:t>Controller adaptation</w:t>
            </w:r>
          </w:p>
        </w:tc>
        <w:tc>
          <w:tcPr>
            <w:tcW w:w="1050" w:type="dxa"/>
            <w:tcMar>
              <w:top w:w="80" w:type="dxa"/>
              <w:left w:w="90" w:type="dxa"/>
              <w:bottom w:w="80" w:type="dxa"/>
              <w:right w:w="90" w:type="dxa"/>
            </w:tcMar>
          </w:tcPr>
          <w:p w14:paraId="7FC2D2F4">
            <w:r>
              <w:rPr>
                <w:sz w:val="10"/>
              </w:rPr>
              <w:t>Deployment</w:t>
            </w:r>
          </w:p>
        </w:tc>
        <w:tc>
          <w:tcPr>
            <w:tcW w:w="1300" w:type="dxa"/>
            <w:tcMar>
              <w:top w:w="80" w:type="dxa"/>
              <w:left w:w="90" w:type="dxa"/>
              <w:bottom w:w="80" w:type="dxa"/>
              <w:right w:w="90" w:type="dxa"/>
            </w:tcMar>
          </w:tcPr>
          <w:p w14:paraId="58387D9E">
            <w:r>
              <w:rPr>
                <w:sz w:val="10"/>
              </w:rPr>
              <w:t>Allows policy adaptation</w:t>
            </w:r>
          </w:p>
        </w:tc>
        <w:tc>
          <w:tcPr>
            <w:tcW w:w="2660" w:type="dxa"/>
            <w:tcMar>
              <w:top w:w="80" w:type="dxa"/>
              <w:left w:w="90" w:type="dxa"/>
              <w:bottom w:w="80" w:type="dxa"/>
              <w:right w:w="90" w:type="dxa"/>
            </w:tcMar>
          </w:tcPr>
          <w:p w14:paraId="5CD283FB">
            <w:r>
              <w:rPr>
                <w:sz w:val="10"/>
              </w:rPr>
              <w:t>Separates surrogate transfer from frozen-controller transfer.</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96871C3">
            <w:r>
              <w:rPr>
                <w:sz w:val="10"/>
              </w:rPr>
              <w:t>Offline RL survey [27]</w:t>
            </w:r>
          </w:p>
        </w:tc>
        <w:tc>
          <w:tcPr>
            <w:tcW w:w="1050" w:type="dxa"/>
            <w:tcMar>
              <w:top w:w="80" w:type="dxa"/>
              <w:left w:w="90" w:type="dxa"/>
              <w:bottom w:w="80" w:type="dxa"/>
              <w:right w:w="90" w:type="dxa"/>
            </w:tcMar>
          </w:tcPr>
          <w:p w14:paraId="4664E5E6">
            <w:r>
              <w:rPr>
                <w:sz w:val="10"/>
              </w:rPr>
              <w:t>RL methodology</w:t>
            </w:r>
          </w:p>
        </w:tc>
        <w:tc>
          <w:tcPr>
            <w:tcW w:w="1100" w:type="dxa"/>
            <w:tcMar>
              <w:top w:w="80" w:type="dxa"/>
              <w:left w:w="90" w:type="dxa"/>
              <w:bottom w:w="80" w:type="dxa"/>
              <w:right w:w="90" w:type="dxa"/>
            </w:tcMar>
          </w:tcPr>
          <w:p w14:paraId="4A05E7F2">
            <w:r>
              <w:rPr>
                <w:sz w:val="10"/>
              </w:rPr>
              <w:t>Distribution shift</w:t>
            </w:r>
          </w:p>
        </w:tc>
        <w:tc>
          <w:tcPr>
            <w:tcW w:w="1150" w:type="dxa"/>
            <w:tcMar>
              <w:top w:w="80" w:type="dxa"/>
              <w:left w:w="90" w:type="dxa"/>
              <w:bottom w:w="80" w:type="dxa"/>
              <w:right w:w="90" w:type="dxa"/>
            </w:tcMar>
          </w:tcPr>
          <w:p w14:paraId="18419505">
            <w:r>
              <w:rPr>
                <w:sz w:val="10"/>
              </w:rPr>
              <w:t>Offline data</w:t>
            </w:r>
          </w:p>
        </w:tc>
        <w:tc>
          <w:tcPr>
            <w:tcW w:w="1050" w:type="dxa"/>
            <w:tcMar>
              <w:top w:w="80" w:type="dxa"/>
              <w:left w:w="90" w:type="dxa"/>
              <w:bottom w:w="80" w:type="dxa"/>
              <w:right w:w="90" w:type="dxa"/>
            </w:tcMar>
          </w:tcPr>
          <w:p w14:paraId="6A0DBB6A">
            <w:r>
              <w:rPr>
                <w:sz w:val="10"/>
              </w:rPr>
              <w:t>Policy/data support</w:t>
            </w:r>
          </w:p>
        </w:tc>
        <w:tc>
          <w:tcPr>
            <w:tcW w:w="1050" w:type="dxa"/>
            <w:tcMar>
              <w:top w:w="80" w:type="dxa"/>
              <w:left w:w="90" w:type="dxa"/>
              <w:bottom w:w="80" w:type="dxa"/>
              <w:right w:w="90" w:type="dxa"/>
            </w:tcMar>
          </w:tcPr>
          <w:p w14:paraId="251CE64C">
            <w:r>
              <w:rPr>
                <w:sz w:val="10"/>
              </w:rPr>
              <w:t>OOD robustness</w:t>
            </w:r>
          </w:p>
        </w:tc>
        <w:tc>
          <w:tcPr>
            <w:tcW w:w="1300" w:type="dxa"/>
            <w:tcMar>
              <w:top w:w="80" w:type="dxa"/>
              <w:left w:w="90" w:type="dxa"/>
              <w:bottom w:w="80" w:type="dxa"/>
              <w:right w:w="90" w:type="dxa"/>
            </w:tcMar>
          </w:tcPr>
          <w:p w14:paraId="671CD40D">
            <w:r>
              <w:rPr>
                <w:sz w:val="10"/>
              </w:rPr>
              <w:t>Generic RL</w:t>
            </w:r>
          </w:p>
        </w:tc>
        <w:tc>
          <w:tcPr>
            <w:tcW w:w="2660" w:type="dxa"/>
            <w:tcMar>
              <w:top w:w="80" w:type="dxa"/>
              <w:left w:w="90" w:type="dxa"/>
              <w:bottom w:w="80" w:type="dxa"/>
              <w:right w:w="90" w:type="dxa"/>
            </w:tcMar>
          </w:tcPr>
          <w:p w14:paraId="63D51F8C">
            <w:r>
              <w:rPr>
                <w:sz w:val="10"/>
              </w:rPr>
              <w:t>Shows surrogate-induced shift in HVAC control.</w:t>
            </w:r>
          </w:p>
        </w:tc>
      </w:tr>
    </w:tbl>
    <w:p w14:paraId="07734ADA">
      <w:r>
        <w:rPr>
          <w:i/>
          <w:color w:val="555555"/>
          <w:sz w:val="18"/>
        </w:rPr>
        <w:t>Table 1. Literature positioning and research gap. Detailed literature notes are reported in the supplementary material.</w:t>
      </w:r>
    </w:p>
    <w:p w14:paraId="7B728418">
      <w:pPr>
        <w:pStyle w:val="3"/>
      </w:pPr>
      <w:r>
        <w:t>2.1 Deep reinforcement learning for HVAC control</w:t>
      </w:r>
    </w:p>
    <w:p w14:paraId="7D7A8031">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14:paraId="7E9F3D41">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14:paraId="03E6CCEF">
      <w:pPr>
        <w:pStyle w:val="3"/>
      </w:pPr>
      <w:r>
        <w:t>2.2 Surrogate and digital twin models for building energy</w:t>
      </w:r>
    </w:p>
    <w:p w14:paraId="4BC3E8EA">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14:paraId="73E0608A">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14:paraId="53836A0E">
      <w:pPr>
        <w:pStyle w:val="3"/>
      </w:pPr>
      <w:r>
        <w:t>2.3 Physics-informed and safety-aware learning</w:t>
      </w:r>
    </w:p>
    <w:p w14:paraId="307B3EEE">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14:paraId="701109EF">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14:paraId="4FC92235">
      <w:pPr>
        <w:pStyle w:val="3"/>
      </w:pPr>
      <w:r>
        <w:t>2.4 Multi-objective RL and Pareto analysis</w:t>
      </w:r>
    </w:p>
    <w:p w14:paraId="6126B080">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14:paraId="3718ECDB">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14:paraId="009D0706">
      <w:pPr>
        <w:pStyle w:val="3"/>
      </w:pPr>
      <w:r>
        <w:t>2.5 Transfer learning and cross-testcase generalization</w:t>
      </w:r>
    </w:p>
    <w:p w14:paraId="1611514B">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14:paraId="2AA44667">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14:paraId="581ADE55">
      <w:pPr>
        <w:pStyle w:val="3"/>
      </w:pPr>
      <w:r>
        <w:t xml:space="preserve">2.6 </w:t>
      </w:r>
      <w:r>
        <w:rPr>
          <w:rFonts w:hint="default"/>
          <w:lang w:val="en-US"/>
        </w:rPr>
        <w:t xml:space="preserve">Runtime Speed </w:t>
      </w:r>
      <w:r>
        <w:t>BOPTEST benchmarking</w:t>
      </w:r>
    </w:p>
    <w:p w14:paraId="60FD1E5E">
      <w:pPr>
        <w:spacing w:after="160"/>
        <w:jc w:val="both"/>
        <w:rPr>
          <w:rFonts w:ascii="Arial" w:hAnsi="Arial" w:eastAsia="Arial" w:cs="Arial"/>
          <w:b w:val="0"/>
          <w:bCs w:val="0"/>
          <w:i w:val="0"/>
          <w:iCs w:val="0"/>
          <w:sz w:val="22"/>
          <w:szCs w:val="22"/>
        </w:rPr>
      </w:pPr>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18D3F8B9">
      <w:pPr>
        <w:rPr>
          <w:rFonts w:ascii="Arial" w:hAnsi="Arial" w:eastAsia="Arial" w:cs="Arial"/>
          <w:b w:val="0"/>
          <w:bCs w:val="0"/>
          <w:i w:val="0"/>
          <w:iCs w:val="0"/>
          <w:sz w:val="22"/>
          <w:szCs w:val="22"/>
        </w:rPr>
      </w:pPr>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14:paraId="761C2B2F">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18442F69">
      <w:pPr>
        <w:spacing w:after="160"/>
        <w:jc w:val="both"/>
      </w:pPr>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6D02EDC3">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p>
    <w:p w14:paraId="19A0D3E2"/>
    <w:p w14:paraId="68E91E0D"/>
    <w:p w14:paraId="56C60D96">
      <w:pPr>
        <w:pStyle w:val="2"/>
      </w:pPr>
      <w:r>
        <w:t>3. Methodology</w:t>
      </w:r>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3.1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3.2 Surrogate roles and model variants</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3"/>
      </w:pPr>
      <w:r>
        <w:t>3.3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3"/>
      </w:pPr>
      <w:r>
        <w:t>3.4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3"/>
      </w:pPr>
      <w:r>
        <w:t>3.5 Hybrid backend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3.6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3.7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bookmarkStart w:id="0" w:name="_GoBack"/>
      <w:bookmarkEnd w:id="0"/>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disclosure and pre-registration discipline</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8924</Words>
  <Characters>56960</Characters>
  <Lines>0</Lines>
  <Paragraphs>0</Paragraphs>
  <TotalTime>3</TotalTime>
  <ScaleCrop>false</ScaleCrop>
  <LinksUpToDate>false</LinksUpToDate>
  <CharactersWithSpaces>65431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2026-06-01T13:20:33Z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