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1CBE">
      <w:pPr>
        <w:jc w:val="center"/>
        <w:rPr>
          <w:sz w:val="36"/>
          <w:szCs w:val="36"/>
        </w:rPr>
      </w:pPr>
      <w:r>
        <w:rPr>
          <w:sz w:val="36"/>
          <w:szCs w:val="36"/>
        </w:rPr>
        <w:t>Deep Reinforcement Learning for Energy-Efficient Consumption Management in Smart Buildings</w:t>
      </w:r>
    </w:p>
    <w:p w14:paraId="1F1B93C5">
      <w:pPr>
        <w:jc w:val="center"/>
        <w:rPr>
          <w:sz w:val="36"/>
          <w:szCs w:val="36"/>
        </w:rPr>
      </w:pPr>
      <w:r>
        <w:rPr>
          <w:b/>
          <w:sz w:val="36"/>
          <w:szCs w:val="36"/>
        </w:rPr>
        <w:t>A Calibrated Physical Twin as Soft Regularizer for HVAC Control</w:t>
      </w:r>
    </w:p>
    <w:p w14:paraId="29C64EE4">
      <w:pPr>
        <w:pStyle w:val="2"/>
      </w:pPr>
      <w:r>
        <w:t>Abstract</w:t>
      </w:r>
    </w:p>
    <w:p w14:paraId="20605129">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
      </w:r>
    </w:p>
    <w:p w14:paraId="032D4A60">
      <w:r>
        <w:rPr>
          <w:i/>
        </w:rPr>
        <w:t>Keywords: HVAC control; deep reinforcement learning; digital twin; physics-informed machine learning; BOPTEST; multi-objective reinforcement learning.</w:t>
      </w:r>
    </w:p>
    <w:p w14:paraId="1D360FDA">
      <w:pPr>
        <w:pStyle w:val="2"/>
      </w:pPr>
      <w:r>
        <w:t>1. Introduction</w:t>
      </w:r>
    </w:p>
    <w:p w14:paraId="031046B5">
      <w:pPr>
        <w:pStyle w:val="3"/>
      </w:pPr>
      <w:r>
        <w:rPr>
          <w:rFonts w:hint="default"/>
          <w:lang w:val="en-US"/>
        </w:rPr>
        <w:t xml:space="preserve">1.1 </w:t>
      </w:r>
      <w:r>
        <w:t>Motivation</w:t>
      </w:r>
    </w:p>
    <w:p w14:paraId="668CBEE2">
      <w: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
      </w:r>
    </w:p>
    <w:p w14:paraId="62FF2C05">
      <w: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
      </w:r>
    </w:p>
    <w:p w14:paraId="525064A5">
      <w: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
      </w:r>
    </w:p>
    <w:p w14:paraId="61D022F2">
      <w:pPr>
        <w:pStyle w:val="3"/>
      </w:pPr>
      <w:r>
        <w:rPr>
          <w:rFonts w:hint="default"/>
          <w:lang w:val="en-US"/>
        </w:rPr>
        <w:t xml:space="preserve">1.2 </w:t>
      </w:r>
      <w:r>
        <w:t>Gap</w:t>
      </w:r>
    </w:p>
    <w:p w14:paraId="241A1E97">
      <w: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
      </w:r>
    </w:p>
    <w:p w14:paraId="4430214C">
      <w:r>
        <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
      </w:r>
    </w:p>
    <w:p w14:paraId="13379A91">
      <w:pPr>
        <w:pStyle w:val="3"/>
      </w:pPr>
      <w:r>
        <w:rPr>
          <w:rFonts w:hint="default"/>
          <w:lang w:val="en-US"/>
        </w:rPr>
        <w:t xml:space="preserve">1.3 </w:t>
      </w:r>
      <w:r>
        <w:t>Hypothesis and study design</w:t>
      </w:r>
    </w:p>
    <w:p w14:paraId="6DBA19EA">
      <w:r>
        <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
      </w:r>
    </w:p>
    <w:p w14:paraId="768D7C13">
      <w:r>
        <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
      </w:r>
    </w:p>
    <w:p w14:paraId="751B53E5">
      <w:pPr>
        <w:pStyle w:val="3"/>
      </w:pPr>
      <w:r>
        <w:rPr>
          <w:rFonts w:hint="default"/>
          <w:lang w:val="en-US"/>
        </w:rPr>
        <w:t xml:space="preserve">1.4 </w:t>
      </w:r>
      <w:r>
        <w:t>Contribution and results summary</w:t>
      </w:r>
    </w:p>
    <w:p w14:paraId="39DD2B2D">
      <w:r>
        <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
      </w:r>
    </w:p>
    <w:p w14:paraId="714CBB13">
      <w:r>
        <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
      </w:r>
    </w:p>
    <w:p w14:paraId="15861E7D">
      <w:r>
        <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14:paraId="5E8C5FD6">
      <w:pPr>
        <w:pStyle w:val="3"/>
      </w:pPr>
      <w:r>
        <w:t>Contributions</w:t>
      </w:r>
    </w:p>
    <w:p w14:paraId="76DA3D64">
      <w:r>
        <w:t>1. A comfort-oriented v3 surrogate for direct supply-temperature control and RL rollout generation.</w:t>
      </w:r>
    </w:p>
    <w:p w14:paraId="6F7C4504">
      <w:r>
        <w:t>2. A physically informed v3.5 grey-box surrogate with explicit C_zon identified through Stage A/B/C inverse calibration.</w:t>
      </w:r>
    </w:p>
    <w:p w14:paraId="62DB9DEE">
      <w:r>
        <w:t>3. A hybrid backend where v3 supplies the smooth RL dynamics and calibrated v3.5 acts as a frozen physical disagreement regularizer.</w:t>
      </w:r>
    </w:p>
    <w:p w14:paraId="2D3CB710">
      <w:r>
        <w:t>4. Controller-family-specific evidence: lambda_temp=0.10 for thermostatic PPO, lambda_temp=0.00 for HDRL and 17D MORL.</w:t>
      </w:r>
    </w:p>
    <w:p w14:paraId="47C9DE28">
      <w:r>
        <w:t>5. A pre-registered transferability analysis across three hydronic BOPTEST testcases, showing uniform surrogate-side transfer under full Stage A/B/C recalibration and regime-dependent frozen-controller transfer.</w:t>
      </w:r>
    </w:p>
    <w:p w14:paraId="475FFDB6">
      <w:r>
        <w:t>6. A reproducible Hou-and-Evins-style numerical audit with S1-S11 supplementary tables and real-data figures.</w:t>
      </w:r>
    </w:p>
    <w:p w14:paraId="57FF8EF2">
      <w:pPr>
        <w:pStyle w:val="2"/>
      </w:pPr>
      <w:r>
        <w:t>2. Related Work</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000"/>
        <w:gridCol w:w="1050"/>
        <w:gridCol w:w="1100"/>
        <w:gridCol w:w="1150"/>
        <w:gridCol w:w="1050"/>
        <w:gridCol w:w="1050"/>
        <w:gridCol w:w="1300"/>
        <w:gridCol w:w="2660"/>
      </w:tblGrid>
      <w:tr w14:paraId="2EB307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shd w:val="clear" w:color="auto" w:fill="EAF2F8"/>
            <w:tcMar>
              <w:top w:w="80" w:type="dxa"/>
              <w:left w:w="90" w:type="dxa"/>
              <w:bottom w:w="80" w:type="dxa"/>
              <w:right w:w="90" w:type="dxa"/>
            </w:tcMar>
          </w:tcPr>
          <w:p w14:paraId="74189AB7">
            <w:r>
              <w:rPr>
                <w:b/>
                <w:sz w:val="10"/>
              </w:rPr>
              <w:t>Reference</w:t>
            </w:r>
          </w:p>
        </w:tc>
        <w:tc>
          <w:tcPr>
            <w:tcW w:w="1050" w:type="dxa"/>
            <w:shd w:val="clear" w:color="auto" w:fill="EAF2F8"/>
            <w:tcMar>
              <w:top w:w="80" w:type="dxa"/>
              <w:left w:w="90" w:type="dxa"/>
              <w:bottom w:w="80" w:type="dxa"/>
              <w:right w:w="90" w:type="dxa"/>
            </w:tcMar>
          </w:tcPr>
          <w:p w14:paraId="7C4A8377">
            <w:r>
              <w:rPr>
                <w:b/>
                <w:sz w:val="10"/>
              </w:rPr>
              <w:t>Domain</w:t>
            </w:r>
          </w:p>
        </w:tc>
        <w:tc>
          <w:tcPr>
            <w:tcW w:w="1100" w:type="dxa"/>
            <w:shd w:val="clear" w:color="auto" w:fill="EAF2F8"/>
            <w:tcMar>
              <w:top w:w="80" w:type="dxa"/>
              <w:left w:w="90" w:type="dxa"/>
              <w:bottom w:w="80" w:type="dxa"/>
              <w:right w:w="90" w:type="dxa"/>
            </w:tcMar>
          </w:tcPr>
          <w:p w14:paraId="59E9CFD0">
            <w:r>
              <w:rPr>
                <w:b/>
                <w:sz w:val="10"/>
              </w:rPr>
              <w:t>Method</w:t>
            </w:r>
          </w:p>
        </w:tc>
        <w:tc>
          <w:tcPr>
            <w:tcW w:w="1150" w:type="dxa"/>
            <w:shd w:val="clear" w:color="auto" w:fill="EAF2F8"/>
            <w:tcMar>
              <w:top w:w="80" w:type="dxa"/>
              <w:left w:w="90" w:type="dxa"/>
              <w:bottom w:w="80" w:type="dxa"/>
              <w:right w:w="90" w:type="dxa"/>
            </w:tcMar>
          </w:tcPr>
          <w:p w14:paraId="5776F499">
            <w:r>
              <w:rPr>
                <w:b/>
                <w:sz w:val="10"/>
              </w:rPr>
              <w:t>Training env.</w:t>
            </w:r>
          </w:p>
        </w:tc>
        <w:tc>
          <w:tcPr>
            <w:tcW w:w="1050" w:type="dxa"/>
            <w:shd w:val="clear" w:color="auto" w:fill="EAF2F8"/>
            <w:tcMar>
              <w:top w:w="80" w:type="dxa"/>
              <w:left w:w="90" w:type="dxa"/>
              <w:bottom w:w="80" w:type="dxa"/>
              <w:right w:w="90" w:type="dxa"/>
            </w:tcMar>
          </w:tcPr>
          <w:p w14:paraId="568D3F2C">
            <w:r>
              <w:rPr>
                <w:b/>
                <w:sz w:val="10"/>
              </w:rPr>
              <w:t>Model type</w:t>
            </w:r>
          </w:p>
        </w:tc>
        <w:tc>
          <w:tcPr>
            <w:tcW w:w="1050" w:type="dxa"/>
            <w:shd w:val="clear" w:color="auto" w:fill="EAF2F8"/>
            <w:tcMar>
              <w:top w:w="80" w:type="dxa"/>
              <w:left w:w="90" w:type="dxa"/>
              <w:bottom w:w="80" w:type="dxa"/>
              <w:right w:w="90" w:type="dxa"/>
            </w:tcMar>
          </w:tcPr>
          <w:p w14:paraId="35A5E83A">
            <w:r>
              <w:rPr>
                <w:b/>
                <w:sz w:val="10"/>
              </w:rPr>
              <w:t>Objective</w:t>
            </w:r>
          </w:p>
        </w:tc>
        <w:tc>
          <w:tcPr>
            <w:tcW w:w="1300" w:type="dxa"/>
            <w:shd w:val="clear" w:color="auto" w:fill="EAF2F8"/>
            <w:tcMar>
              <w:top w:w="80" w:type="dxa"/>
              <w:left w:w="90" w:type="dxa"/>
              <w:bottom w:w="80" w:type="dxa"/>
              <w:right w:w="90" w:type="dxa"/>
            </w:tcMar>
          </w:tcPr>
          <w:p w14:paraId="5EDD3FAB">
            <w:r>
              <w:rPr>
                <w:b/>
                <w:sz w:val="10"/>
              </w:rPr>
              <w:t>Key limitation</w:t>
            </w:r>
          </w:p>
        </w:tc>
        <w:tc>
          <w:tcPr>
            <w:tcW w:w="2660" w:type="dxa"/>
            <w:shd w:val="clear" w:color="auto" w:fill="EAF2F8"/>
            <w:tcMar>
              <w:top w:w="80" w:type="dxa"/>
              <w:left w:w="90" w:type="dxa"/>
              <w:bottom w:w="80" w:type="dxa"/>
              <w:right w:w="90" w:type="dxa"/>
            </w:tcMar>
          </w:tcPr>
          <w:p w14:paraId="717656D6">
            <w:r>
              <w:rPr>
                <w:b/>
                <w:sz w:val="10"/>
              </w:rPr>
              <w:t>How this paper differs</w:t>
            </w:r>
          </w:p>
        </w:tc>
      </w:tr>
      <w:tr w14:paraId="4012FDC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6C3F5501">
            <w:r>
              <w:rPr>
                <w:sz w:val="10"/>
              </w:rPr>
              <w:t>Hou &amp; Evins [17]</w:t>
            </w:r>
          </w:p>
        </w:tc>
        <w:tc>
          <w:tcPr>
            <w:tcW w:w="1050" w:type="dxa"/>
            <w:tcMar>
              <w:top w:w="80" w:type="dxa"/>
              <w:left w:w="90" w:type="dxa"/>
              <w:bottom w:w="80" w:type="dxa"/>
              <w:right w:w="90" w:type="dxa"/>
            </w:tcMar>
          </w:tcPr>
          <w:p w14:paraId="35CB600B">
            <w:r>
              <w:rPr>
                <w:sz w:val="10"/>
              </w:rPr>
              <w:t>Surrogate validation</w:t>
            </w:r>
          </w:p>
        </w:tc>
        <w:tc>
          <w:tcPr>
            <w:tcW w:w="1100" w:type="dxa"/>
            <w:tcMar>
              <w:top w:w="80" w:type="dxa"/>
              <w:left w:w="90" w:type="dxa"/>
              <w:bottom w:w="80" w:type="dxa"/>
              <w:right w:w="90" w:type="dxa"/>
            </w:tcMar>
          </w:tcPr>
          <w:p w14:paraId="4201DBBB">
            <w:r>
              <w:rPr>
                <w:sz w:val="10"/>
              </w:rPr>
              <w:t>Reporting protocol</w:t>
            </w:r>
          </w:p>
        </w:tc>
        <w:tc>
          <w:tcPr>
            <w:tcW w:w="1150" w:type="dxa"/>
            <w:tcMar>
              <w:top w:w="80" w:type="dxa"/>
              <w:left w:w="90" w:type="dxa"/>
              <w:bottom w:w="80" w:type="dxa"/>
              <w:right w:w="90" w:type="dxa"/>
            </w:tcMar>
          </w:tcPr>
          <w:p w14:paraId="26277ED4">
            <w:r>
              <w:rPr>
                <w:sz w:val="10"/>
              </w:rPr>
              <w:t>Offline traces</w:t>
            </w:r>
          </w:p>
        </w:tc>
        <w:tc>
          <w:tcPr>
            <w:tcW w:w="1050" w:type="dxa"/>
            <w:tcMar>
              <w:top w:w="80" w:type="dxa"/>
              <w:left w:w="90" w:type="dxa"/>
              <w:bottom w:w="80" w:type="dxa"/>
              <w:right w:w="90" w:type="dxa"/>
            </w:tcMar>
          </w:tcPr>
          <w:p w14:paraId="544E19A3">
            <w:r>
              <w:rPr>
                <w:sz w:val="10"/>
              </w:rPr>
              <w:t>NN surrogate</w:t>
            </w:r>
          </w:p>
        </w:tc>
        <w:tc>
          <w:tcPr>
            <w:tcW w:w="1050" w:type="dxa"/>
            <w:tcMar>
              <w:top w:w="80" w:type="dxa"/>
              <w:left w:w="90" w:type="dxa"/>
              <w:bottom w:w="80" w:type="dxa"/>
              <w:right w:w="90" w:type="dxa"/>
            </w:tcMar>
          </w:tcPr>
          <w:p w14:paraId="07C96FED">
            <w:r>
              <w:rPr>
                <w:sz w:val="10"/>
              </w:rPr>
              <w:t>Predictive validity</w:t>
            </w:r>
          </w:p>
        </w:tc>
        <w:tc>
          <w:tcPr>
            <w:tcW w:w="1300" w:type="dxa"/>
            <w:tcMar>
              <w:top w:w="80" w:type="dxa"/>
              <w:left w:w="90" w:type="dxa"/>
              <w:bottom w:w="80" w:type="dxa"/>
              <w:right w:w="90" w:type="dxa"/>
            </w:tcMar>
          </w:tcPr>
          <w:p w14:paraId="1E991FC8">
            <w:r>
              <w:rPr>
                <w:sz w:val="10"/>
              </w:rPr>
              <w:t>No RL utility test</w:t>
            </w:r>
          </w:p>
        </w:tc>
        <w:tc>
          <w:tcPr>
            <w:tcW w:w="2660" w:type="dxa"/>
            <w:tcMar>
              <w:top w:w="80" w:type="dxa"/>
              <w:left w:w="90" w:type="dxa"/>
              <w:bottom w:w="80" w:type="dxa"/>
              <w:right w:w="90" w:type="dxa"/>
            </w:tcMar>
          </w:tcPr>
          <w:p w14:paraId="787D32B5">
            <w:r>
              <w:rPr>
                <w:sz w:val="10"/>
              </w:rPr>
              <w:t>Extends protocol to closed-loop RL and transfer.</w:t>
            </w:r>
          </w:p>
        </w:tc>
      </w:tr>
      <w:tr w14:paraId="01A263B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5EBFC1E4">
            <w:r>
              <w:rPr>
                <w:sz w:val="10"/>
              </w:rPr>
              <w:t>Gao et al. [18]</w:t>
            </w:r>
          </w:p>
        </w:tc>
        <w:tc>
          <w:tcPr>
            <w:tcW w:w="1050" w:type="dxa"/>
            <w:tcMar>
              <w:top w:w="80" w:type="dxa"/>
              <w:left w:w="90" w:type="dxa"/>
              <w:bottom w:w="80" w:type="dxa"/>
              <w:right w:w="90" w:type="dxa"/>
            </w:tcMar>
          </w:tcPr>
          <w:p w14:paraId="0F61FC24">
            <w:r>
              <w:rPr>
                <w:sz w:val="10"/>
              </w:rPr>
              <w:t>HVAC DRL</w:t>
            </w:r>
          </w:p>
        </w:tc>
        <w:tc>
          <w:tcPr>
            <w:tcW w:w="1100" w:type="dxa"/>
            <w:tcMar>
              <w:top w:w="80" w:type="dxa"/>
              <w:left w:w="90" w:type="dxa"/>
              <w:bottom w:w="80" w:type="dxa"/>
              <w:right w:w="90" w:type="dxa"/>
            </w:tcMar>
          </w:tcPr>
          <w:p w14:paraId="7406E6F3">
            <w:r>
              <w:rPr>
                <w:sz w:val="10"/>
              </w:rPr>
              <w:t>Predictive information</w:t>
            </w:r>
          </w:p>
        </w:tc>
        <w:tc>
          <w:tcPr>
            <w:tcW w:w="1150" w:type="dxa"/>
            <w:tcMar>
              <w:top w:w="80" w:type="dxa"/>
              <w:left w:w="90" w:type="dxa"/>
              <w:bottom w:w="80" w:type="dxa"/>
              <w:right w:w="90" w:type="dxa"/>
            </w:tcMar>
          </w:tcPr>
          <w:p w14:paraId="30523BDB">
            <w:r>
              <w:rPr>
                <w:sz w:val="10"/>
              </w:rPr>
              <w:t>Simulation</w:t>
            </w:r>
          </w:p>
        </w:tc>
        <w:tc>
          <w:tcPr>
            <w:tcW w:w="1050" w:type="dxa"/>
            <w:tcMar>
              <w:top w:w="80" w:type="dxa"/>
              <w:left w:w="90" w:type="dxa"/>
              <w:bottom w:w="80" w:type="dxa"/>
              <w:right w:w="90" w:type="dxa"/>
            </w:tcMar>
          </w:tcPr>
          <w:p w14:paraId="171A9415">
            <w:r>
              <w:rPr>
                <w:sz w:val="10"/>
              </w:rPr>
              <w:t>GRU predictor</w:t>
            </w:r>
          </w:p>
        </w:tc>
        <w:tc>
          <w:tcPr>
            <w:tcW w:w="1050" w:type="dxa"/>
            <w:tcMar>
              <w:top w:w="80" w:type="dxa"/>
              <w:left w:w="90" w:type="dxa"/>
              <w:bottom w:w="80" w:type="dxa"/>
              <w:right w:w="90" w:type="dxa"/>
            </w:tcMar>
          </w:tcPr>
          <w:p w14:paraId="3868A479">
            <w:r>
              <w:rPr>
                <w:sz w:val="10"/>
              </w:rPr>
              <w:t>Comfort-energy</w:t>
            </w:r>
          </w:p>
        </w:tc>
        <w:tc>
          <w:tcPr>
            <w:tcW w:w="1300" w:type="dxa"/>
            <w:tcMar>
              <w:top w:w="80" w:type="dxa"/>
              <w:left w:w="90" w:type="dxa"/>
              <w:bottom w:w="80" w:type="dxa"/>
              <w:right w:w="90" w:type="dxa"/>
            </w:tcMar>
          </w:tcPr>
          <w:p w14:paraId="1B0D78DC">
            <w:r>
              <w:rPr>
                <w:sz w:val="10"/>
              </w:rPr>
              <w:t>Predictive signal assumed useful</w:t>
            </w:r>
          </w:p>
        </w:tc>
        <w:tc>
          <w:tcPr>
            <w:tcW w:w="2660" w:type="dxa"/>
            <w:tcMar>
              <w:top w:w="80" w:type="dxa"/>
              <w:left w:w="90" w:type="dxa"/>
              <w:bottom w:w="80" w:type="dxa"/>
              <w:right w:w="90" w:type="dxa"/>
            </w:tcMar>
          </w:tcPr>
          <w:p w14:paraId="32502229">
            <w:r>
              <w:rPr>
                <w:sz w:val="10"/>
              </w:rPr>
              <w:t>Shows predictive fidelity can hurt as rollout backend.</w:t>
            </w:r>
          </w:p>
        </w:tc>
      </w:tr>
      <w:tr w14:paraId="466DC92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1E00A5F7">
            <w:r>
              <w:rPr>
                <w:sz w:val="10"/>
              </w:rPr>
              <w:t>Wang et al. [19]</w:t>
            </w:r>
          </w:p>
        </w:tc>
        <w:tc>
          <w:tcPr>
            <w:tcW w:w="1050" w:type="dxa"/>
            <w:tcMar>
              <w:top w:w="80" w:type="dxa"/>
              <w:left w:w="90" w:type="dxa"/>
              <w:bottom w:w="80" w:type="dxa"/>
              <w:right w:w="90" w:type="dxa"/>
            </w:tcMar>
          </w:tcPr>
          <w:p w14:paraId="2F1897F8">
            <w:r>
              <w:rPr>
                <w:sz w:val="10"/>
              </w:rPr>
              <w:t>Safe DRL</w:t>
            </w:r>
          </w:p>
        </w:tc>
        <w:tc>
          <w:tcPr>
            <w:tcW w:w="1100" w:type="dxa"/>
            <w:tcMar>
              <w:top w:w="80" w:type="dxa"/>
              <w:left w:w="90" w:type="dxa"/>
              <w:bottom w:w="80" w:type="dxa"/>
              <w:right w:w="90" w:type="dxa"/>
            </w:tcMar>
          </w:tcPr>
          <w:p w14:paraId="3DCC4E45">
            <w:r>
              <w:rPr>
                <w:sz w:val="10"/>
              </w:rPr>
              <w:t>MPC filter</w:t>
            </w:r>
          </w:p>
        </w:tc>
        <w:tc>
          <w:tcPr>
            <w:tcW w:w="1150" w:type="dxa"/>
            <w:tcMar>
              <w:top w:w="80" w:type="dxa"/>
              <w:left w:w="90" w:type="dxa"/>
              <w:bottom w:w="80" w:type="dxa"/>
              <w:right w:w="90" w:type="dxa"/>
            </w:tcMar>
          </w:tcPr>
          <w:p w14:paraId="43CCE8EF">
            <w:r>
              <w:rPr>
                <w:sz w:val="10"/>
              </w:rPr>
              <w:t>Control loop</w:t>
            </w:r>
          </w:p>
        </w:tc>
        <w:tc>
          <w:tcPr>
            <w:tcW w:w="1050" w:type="dxa"/>
            <w:tcMar>
              <w:top w:w="80" w:type="dxa"/>
              <w:left w:w="90" w:type="dxa"/>
              <w:bottom w:w="80" w:type="dxa"/>
              <w:right w:w="90" w:type="dxa"/>
            </w:tcMar>
          </w:tcPr>
          <w:p w14:paraId="6FE778F3">
            <w:r>
              <w:rPr>
                <w:sz w:val="10"/>
              </w:rPr>
              <w:t>Safety filter</w:t>
            </w:r>
          </w:p>
        </w:tc>
        <w:tc>
          <w:tcPr>
            <w:tcW w:w="1050" w:type="dxa"/>
            <w:tcMar>
              <w:top w:w="80" w:type="dxa"/>
              <w:left w:w="90" w:type="dxa"/>
              <w:bottom w:w="80" w:type="dxa"/>
              <w:right w:w="90" w:type="dxa"/>
            </w:tcMar>
          </w:tcPr>
          <w:p w14:paraId="2E40E03F">
            <w:r>
              <w:rPr>
                <w:sz w:val="10"/>
              </w:rPr>
              <w:t>Safe actions</w:t>
            </w:r>
          </w:p>
        </w:tc>
        <w:tc>
          <w:tcPr>
            <w:tcW w:w="1300" w:type="dxa"/>
            <w:tcMar>
              <w:top w:w="80" w:type="dxa"/>
              <w:left w:w="90" w:type="dxa"/>
              <w:bottom w:w="80" w:type="dxa"/>
              <w:right w:w="90" w:type="dxa"/>
            </w:tcMar>
          </w:tcPr>
          <w:p w14:paraId="342DCC67">
            <w:r>
              <w:rPr>
                <w:sz w:val="10"/>
              </w:rPr>
              <w:t>Hard safety layer</w:t>
            </w:r>
          </w:p>
        </w:tc>
        <w:tc>
          <w:tcPr>
            <w:tcW w:w="2660" w:type="dxa"/>
            <w:tcMar>
              <w:top w:w="80" w:type="dxa"/>
              <w:left w:w="90" w:type="dxa"/>
              <w:bottom w:w="80" w:type="dxa"/>
              <w:right w:w="90" w:type="dxa"/>
            </w:tcMar>
          </w:tcPr>
          <w:p w14:paraId="48DFFDDC">
            <w:r>
              <w:rPr>
                <w:sz w:val="10"/>
              </w:rPr>
              <w:t>Tests soft physical regularization.</w:t>
            </w:r>
          </w:p>
        </w:tc>
      </w:tr>
      <w:tr w14:paraId="5FDC74E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02B8079A">
            <w:r>
              <w:rPr>
                <w:sz w:val="10"/>
              </w:rPr>
              <w:t>Liao et al. [21]</w:t>
            </w:r>
          </w:p>
        </w:tc>
        <w:tc>
          <w:tcPr>
            <w:tcW w:w="1050" w:type="dxa"/>
            <w:tcMar>
              <w:top w:w="80" w:type="dxa"/>
              <w:left w:w="90" w:type="dxa"/>
              <w:bottom w:w="80" w:type="dxa"/>
              <w:right w:w="90" w:type="dxa"/>
            </w:tcMar>
          </w:tcPr>
          <w:p w14:paraId="681A18DD">
            <w:r>
              <w:rPr>
                <w:sz w:val="10"/>
              </w:rPr>
              <w:t>HDRL HVAC</w:t>
            </w:r>
          </w:p>
        </w:tc>
        <w:tc>
          <w:tcPr>
            <w:tcW w:w="1100" w:type="dxa"/>
            <w:tcMar>
              <w:top w:w="80" w:type="dxa"/>
              <w:left w:w="90" w:type="dxa"/>
              <w:bottom w:w="80" w:type="dxa"/>
              <w:right w:w="90" w:type="dxa"/>
            </w:tcMar>
          </w:tcPr>
          <w:p w14:paraId="51FB3AA3">
            <w:r>
              <w:rPr>
                <w:sz w:val="10"/>
              </w:rPr>
              <w:t>Hierarchical RL</w:t>
            </w:r>
          </w:p>
        </w:tc>
        <w:tc>
          <w:tcPr>
            <w:tcW w:w="1150" w:type="dxa"/>
            <w:tcMar>
              <w:top w:w="80" w:type="dxa"/>
              <w:left w:w="90" w:type="dxa"/>
              <w:bottom w:w="80" w:type="dxa"/>
              <w:right w:w="90" w:type="dxa"/>
            </w:tcMar>
          </w:tcPr>
          <w:p w14:paraId="24F96201">
            <w:r>
              <w:rPr>
                <w:sz w:val="10"/>
              </w:rPr>
              <w:t>Simulation</w:t>
            </w:r>
          </w:p>
        </w:tc>
        <w:tc>
          <w:tcPr>
            <w:tcW w:w="1050" w:type="dxa"/>
            <w:tcMar>
              <w:top w:w="80" w:type="dxa"/>
              <w:left w:w="90" w:type="dxa"/>
              <w:bottom w:w="80" w:type="dxa"/>
              <w:right w:w="90" w:type="dxa"/>
            </w:tcMar>
          </w:tcPr>
          <w:p w14:paraId="0AF4A9C6">
            <w:r>
              <w:rPr>
                <w:sz w:val="10"/>
              </w:rPr>
              <w:t>Controller hierarchy</w:t>
            </w:r>
          </w:p>
        </w:tc>
        <w:tc>
          <w:tcPr>
            <w:tcW w:w="1050" w:type="dxa"/>
            <w:tcMar>
              <w:top w:w="80" w:type="dxa"/>
              <w:left w:w="90" w:type="dxa"/>
              <w:bottom w:w="80" w:type="dxa"/>
              <w:right w:w="90" w:type="dxa"/>
            </w:tcMar>
          </w:tcPr>
          <w:p w14:paraId="3563E915">
            <w:r>
              <w:rPr>
                <w:sz w:val="10"/>
              </w:rPr>
              <w:t>Comfort/energy</w:t>
            </w:r>
          </w:p>
        </w:tc>
        <w:tc>
          <w:tcPr>
            <w:tcW w:w="1300" w:type="dxa"/>
            <w:tcMar>
              <w:top w:w="80" w:type="dxa"/>
              <w:left w:w="90" w:type="dxa"/>
              <w:bottom w:w="80" w:type="dxa"/>
              <w:right w:w="90" w:type="dxa"/>
            </w:tcMar>
          </w:tcPr>
          <w:p w14:paraId="353A1D2F">
            <w:r>
              <w:rPr>
                <w:sz w:val="10"/>
              </w:rPr>
              <w:t>No surrogate-role audit</w:t>
            </w:r>
          </w:p>
        </w:tc>
        <w:tc>
          <w:tcPr>
            <w:tcW w:w="2660" w:type="dxa"/>
            <w:tcMar>
              <w:top w:w="80" w:type="dxa"/>
              <w:left w:w="90" w:type="dxa"/>
              <w:bottom w:w="80" w:type="dxa"/>
              <w:right w:w="90" w:type="dxa"/>
            </w:tcMar>
          </w:tcPr>
          <w:p w14:paraId="060C93C2">
            <w:r>
              <w:rPr>
                <w:sz w:val="10"/>
              </w:rPr>
              <w:t>Tests controller-family specificity.</w:t>
            </w:r>
          </w:p>
        </w:tc>
      </w:tr>
      <w:tr w14:paraId="3615263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42A9EC53">
            <w:r>
              <w:rPr>
                <w:sz w:val="10"/>
              </w:rPr>
              <w:t>Coraci et al. [23]</w:t>
            </w:r>
          </w:p>
        </w:tc>
        <w:tc>
          <w:tcPr>
            <w:tcW w:w="1050" w:type="dxa"/>
            <w:tcMar>
              <w:top w:w="80" w:type="dxa"/>
              <w:left w:w="90" w:type="dxa"/>
              <w:bottom w:w="80" w:type="dxa"/>
              <w:right w:w="90" w:type="dxa"/>
            </w:tcMar>
          </w:tcPr>
          <w:p w14:paraId="3074016F">
            <w:r>
              <w:rPr>
                <w:sz w:val="10"/>
              </w:rPr>
              <w:t>Transfer</w:t>
            </w:r>
          </w:p>
        </w:tc>
        <w:tc>
          <w:tcPr>
            <w:tcW w:w="1100" w:type="dxa"/>
            <w:tcMar>
              <w:top w:w="80" w:type="dxa"/>
              <w:left w:w="90" w:type="dxa"/>
              <w:bottom w:w="80" w:type="dxa"/>
              <w:right w:w="90" w:type="dxa"/>
            </w:tcMar>
          </w:tcPr>
          <w:p w14:paraId="45FDEF74">
            <w:r>
              <w:rPr>
                <w:sz w:val="10"/>
              </w:rPr>
              <w:t>Online transfer</w:t>
            </w:r>
          </w:p>
        </w:tc>
        <w:tc>
          <w:tcPr>
            <w:tcW w:w="1150" w:type="dxa"/>
            <w:tcMar>
              <w:top w:w="80" w:type="dxa"/>
              <w:left w:w="90" w:type="dxa"/>
              <w:bottom w:w="80" w:type="dxa"/>
              <w:right w:w="90" w:type="dxa"/>
            </w:tcMar>
          </w:tcPr>
          <w:p w14:paraId="0D8D29A8">
            <w:r>
              <w:rPr>
                <w:sz w:val="10"/>
              </w:rPr>
              <w:t>Target adaptation</w:t>
            </w:r>
          </w:p>
        </w:tc>
        <w:tc>
          <w:tcPr>
            <w:tcW w:w="1050" w:type="dxa"/>
            <w:tcMar>
              <w:top w:w="80" w:type="dxa"/>
              <w:left w:w="90" w:type="dxa"/>
              <w:bottom w:w="80" w:type="dxa"/>
              <w:right w:w="90" w:type="dxa"/>
            </w:tcMar>
          </w:tcPr>
          <w:p w14:paraId="2E672D75">
            <w:r>
              <w:rPr>
                <w:sz w:val="10"/>
              </w:rPr>
              <w:t>Controller adaptation</w:t>
            </w:r>
          </w:p>
        </w:tc>
        <w:tc>
          <w:tcPr>
            <w:tcW w:w="1050" w:type="dxa"/>
            <w:tcMar>
              <w:top w:w="80" w:type="dxa"/>
              <w:left w:w="90" w:type="dxa"/>
              <w:bottom w:w="80" w:type="dxa"/>
              <w:right w:w="90" w:type="dxa"/>
            </w:tcMar>
          </w:tcPr>
          <w:p w14:paraId="7FC2D2F4">
            <w:r>
              <w:rPr>
                <w:sz w:val="10"/>
              </w:rPr>
              <w:t>Deployment</w:t>
            </w:r>
          </w:p>
        </w:tc>
        <w:tc>
          <w:tcPr>
            <w:tcW w:w="1300" w:type="dxa"/>
            <w:tcMar>
              <w:top w:w="80" w:type="dxa"/>
              <w:left w:w="90" w:type="dxa"/>
              <w:bottom w:w="80" w:type="dxa"/>
              <w:right w:w="90" w:type="dxa"/>
            </w:tcMar>
          </w:tcPr>
          <w:p w14:paraId="58387D9E">
            <w:r>
              <w:rPr>
                <w:sz w:val="10"/>
              </w:rPr>
              <w:t>Allows policy adaptation</w:t>
            </w:r>
          </w:p>
        </w:tc>
        <w:tc>
          <w:tcPr>
            <w:tcW w:w="2660" w:type="dxa"/>
            <w:tcMar>
              <w:top w:w="80" w:type="dxa"/>
              <w:left w:w="90" w:type="dxa"/>
              <w:bottom w:w="80" w:type="dxa"/>
              <w:right w:w="90" w:type="dxa"/>
            </w:tcMar>
          </w:tcPr>
          <w:p w14:paraId="5CD283FB">
            <w:r>
              <w:rPr>
                <w:sz w:val="10"/>
              </w:rPr>
              <w:t>Separates surrogate transfer from frozen-controller transfer.</w:t>
            </w:r>
          </w:p>
        </w:tc>
      </w:tr>
      <w:tr w14:paraId="01C788C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196871C3">
            <w:r>
              <w:rPr>
                <w:sz w:val="10"/>
              </w:rPr>
              <w:t>Offline RL survey [27]</w:t>
            </w:r>
          </w:p>
        </w:tc>
        <w:tc>
          <w:tcPr>
            <w:tcW w:w="1050" w:type="dxa"/>
            <w:tcMar>
              <w:top w:w="80" w:type="dxa"/>
              <w:left w:w="90" w:type="dxa"/>
              <w:bottom w:w="80" w:type="dxa"/>
              <w:right w:w="90" w:type="dxa"/>
            </w:tcMar>
          </w:tcPr>
          <w:p w14:paraId="4664E5E6">
            <w:r>
              <w:rPr>
                <w:sz w:val="10"/>
              </w:rPr>
              <w:t>RL methodology</w:t>
            </w:r>
          </w:p>
        </w:tc>
        <w:tc>
          <w:tcPr>
            <w:tcW w:w="1100" w:type="dxa"/>
            <w:tcMar>
              <w:top w:w="80" w:type="dxa"/>
              <w:left w:w="90" w:type="dxa"/>
              <w:bottom w:w="80" w:type="dxa"/>
              <w:right w:w="90" w:type="dxa"/>
            </w:tcMar>
          </w:tcPr>
          <w:p w14:paraId="4A05E7F2">
            <w:r>
              <w:rPr>
                <w:sz w:val="10"/>
              </w:rPr>
              <w:t>Distribution shift</w:t>
            </w:r>
          </w:p>
        </w:tc>
        <w:tc>
          <w:tcPr>
            <w:tcW w:w="1150" w:type="dxa"/>
            <w:tcMar>
              <w:top w:w="80" w:type="dxa"/>
              <w:left w:w="90" w:type="dxa"/>
              <w:bottom w:w="80" w:type="dxa"/>
              <w:right w:w="90" w:type="dxa"/>
            </w:tcMar>
          </w:tcPr>
          <w:p w14:paraId="18419505">
            <w:r>
              <w:rPr>
                <w:sz w:val="10"/>
              </w:rPr>
              <w:t>Offline data</w:t>
            </w:r>
          </w:p>
        </w:tc>
        <w:tc>
          <w:tcPr>
            <w:tcW w:w="1050" w:type="dxa"/>
            <w:tcMar>
              <w:top w:w="80" w:type="dxa"/>
              <w:left w:w="90" w:type="dxa"/>
              <w:bottom w:w="80" w:type="dxa"/>
              <w:right w:w="90" w:type="dxa"/>
            </w:tcMar>
          </w:tcPr>
          <w:p w14:paraId="6A0DBB6A">
            <w:r>
              <w:rPr>
                <w:sz w:val="10"/>
              </w:rPr>
              <w:t>Policy/data support</w:t>
            </w:r>
          </w:p>
        </w:tc>
        <w:tc>
          <w:tcPr>
            <w:tcW w:w="1050" w:type="dxa"/>
            <w:tcMar>
              <w:top w:w="80" w:type="dxa"/>
              <w:left w:w="90" w:type="dxa"/>
              <w:bottom w:w="80" w:type="dxa"/>
              <w:right w:w="90" w:type="dxa"/>
            </w:tcMar>
          </w:tcPr>
          <w:p w14:paraId="251CE64C">
            <w:r>
              <w:rPr>
                <w:sz w:val="10"/>
              </w:rPr>
              <w:t>OOD robustness</w:t>
            </w:r>
          </w:p>
        </w:tc>
        <w:tc>
          <w:tcPr>
            <w:tcW w:w="1300" w:type="dxa"/>
            <w:tcMar>
              <w:top w:w="80" w:type="dxa"/>
              <w:left w:w="90" w:type="dxa"/>
              <w:bottom w:w="80" w:type="dxa"/>
              <w:right w:w="90" w:type="dxa"/>
            </w:tcMar>
          </w:tcPr>
          <w:p w14:paraId="671CD40D">
            <w:r>
              <w:rPr>
                <w:sz w:val="10"/>
              </w:rPr>
              <w:t>Generic RL</w:t>
            </w:r>
          </w:p>
        </w:tc>
        <w:tc>
          <w:tcPr>
            <w:tcW w:w="2660" w:type="dxa"/>
            <w:tcMar>
              <w:top w:w="80" w:type="dxa"/>
              <w:left w:w="90" w:type="dxa"/>
              <w:bottom w:w="80" w:type="dxa"/>
              <w:right w:w="90" w:type="dxa"/>
            </w:tcMar>
          </w:tcPr>
          <w:p w14:paraId="63D51F8C">
            <w:r>
              <w:rPr>
                <w:sz w:val="10"/>
              </w:rPr>
              <w:t>Shows surrogate-induced shift in HVAC control.</w:t>
            </w:r>
          </w:p>
        </w:tc>
      </w:tr>
    </w:tbl>
    <w:p w14:paraId="07734ADA">
      <w:r>
        <w:rPr>
          <w:i/>
          <w:color w:val="555555"/>
          <w:sz w:val="18"/>
        </w:rPr>
        <w:t>Table 1. Literature positioning and research gap. Detailed literature notes are reported in the supplementary material.</w:t>
      </w:r>
    </w:p>
    <w:p w14:paraId="7B728418">
      <w:pPr>
        <w:pStyle w:val="3"/>
      </w:pPr>
      <w:r>
        <w:t>2.1 Deep reinforcement learning for HVAC control</w:t>
      </w:r>
    </w:p>
    <w:p w14:paraId="7D7A8031">
      <w:r>
        <w:t>Deep reinforcement learning has become a major line of HVAC-control research because it can optimize energy and comfort without requiring a fully specified model predictive controller. The technical review by Al Sayed et al. [16] frames this literature as a response to the limits of fixed rule-based control, classical optimization, and manual supervisory tuning. Recent HVAC-RL work has moved beyond simple single-action PPO: Wang et al. [19] combine DRL with MPC-style safety filtering; Sun et al. [29] study winter residential air-conditioning control under predicted disturbances; Savino et al. [28] compare low-level DRL controllers against ASHRAE G36 sequences in multi-zone buildings; and Liao et al. [21] use hierarchical DRL to handle hybrid discrete-continuous HVAC action spaces and multi-objective rewards. These studies establish that learning-based control can be competitive, but they also show that safety, action representation, and evaluation protocol strongly affect the final result.</w:t>
      </w:r>
    </w:p>
    <w:p w14:paraId="7E9F3D41">
      <w:r>
        <w:t>Our work follows this line but asks a narrower and more falsifiable question: when does a high-fidelity surrogate improve downstream RL control? The Block 2 results show that the answer is controller-family specific. Thermostatic PPO benefits from a calibrated physical disagreement penalty at lambda_temp=0.10, while HDRL and 17D MORL reject the same temperature channel and perform best with lambda_temp=0. This prevents a generic claim that physics regularization is always useful. Instead, the contribution is an empirical role assignment: calibrated physics is valuable as a soft teacher for some controllers, not as a universal rollout backend.</w:t>
      </w:r>
    </w:p>
    <w:p w14:paraId="03E6CCEF">
      <w:pPr>
        <w:pStyle w:val="3"/>
      </w:pPr>
      <w:r>
        <w:t>2.2 Surrogate and digital twin models for building energy</w:t>
      </w:r>
    </w:p>
    <w:p w14:paraId="4BC3E8EA">
      <w:r>
        <w:t>Surrogate models and digital twins are widely used because live building simulators and high-fidelity Modelica emulators are too slow for RL-scale policy optimization. Hou and Evins [17] argue that neural-network building surrogates require a disciplined development and evaluation protocol: sample generation, preprocessing, split representativeness, feature justification, scaling, architecture selection, sensitivity analysis, and multi-horizon predictive validation should all be reported explicitly. We adopt this protocol as the reporting backbone for Block 1 and extend it with a downstream-control test: a surrogate is not considered successful merely because it predicts well; it must also be tested as part of the RL training and live BOPTEST deployment loop.</w:t>
      </w:r>
    </w:p>
    <w:p w14:paraId="73E0608A">
      <w:r>
        <w:t>Predictive information can improve HVAC RL when it is injected in the right form. Gao et al. [18] show that GRU-based predictive information can improve DRL control in an office-building case study. Our result is complementary but more cautionary. The calibrated v3.5 physical twin is clearly the best forecasting model in Block 1, reaching 24h RMSE_T=0.644 C after Stage A/B/C calibration. However, PPO trained directly on this model fails in live closed-loop BOPTEST with comfort RMSE above 4 C. This separates predictive validity from RL training utility. It also links to the offline-RL distribution-shift concern discussed by Samani et al. [27]: a model that is accurate on held-out trajectories may still induce a poor policy-learning landscape when the agent leaves the data-supported region.</w:t>
      </w:r>
    </w:p>
    <w:p w14:paraId="53836A0E">
      <w:pPr>
        <w:pStyle w:val="3"/>
      </w:pPr>
      <w:r>
        <w:t>2.3 Physics-informed and safety-aware learning</w:t>
      </w:r>
    </w:p>
    <w:p w14:paraId="307B3EEE">
      <w:r>
        <w:t>Physics-informed HVAC learning can be implemented in several ways. One direction imposes physical or safety structure directly on the controller, for example through thermodynamically constrained actor-critic objectives or MPC-based safety filters. Hedayat et al. [20] represent this hard-constraint direction for HVAC optimization, while Wang et al. [19] use a DRL-MPC architecture to keep learning-based actions inside a safe operational envelope. These approaches are designed to prevent unsafe actions at deployment time.</w:t>
      </w:r>
    </w:p>
    <w:p w14:paraId="701109EF">
      <w:r>
        <w:t>The present work uses a different mechanism. The calibrated v3.5 twin is not a hard safety filter, does not project actions, and does not replace the live BOPTEST evaluation layer. It remains frozen during RL training and contributes only a soft disagreement term against the control-oriented v3 surrogate: L_total = L_PPO + lambda_temp ||T_v3 - T_v3.5||^2 + lambda_power ||P_v3 - P_v3.5||^2. This design is intentionally weaker than hard safety filtering, but it isolates the scientific question of whether physical fidelity helps as a training regularizer. The negative controls show why that distinction matters: direct v3.5 rollout and v3.5 warm-start both fail, whereas the soft-regularized hybrid succeeds for thermostatic PPO.</w:t>
      </w:r>
    </w:p>
    <w:p w14:paraId="4FC92235">
      <w:pPr>
        <w:pStyle w:val="3"/>
      </w:pPr>
      <w:r>
        <w:t>2.4 Multi-objective RL and Pareto analysis</w:t>
      </w:r>
    </w:p>
    <w:p w14:paraId="6126B080">
      <w:r>
        <w:t>HVAC control is inherently multi-objective: reducing energy use can conflict with thermal comfort, equipment smoothness, and safety. The multi-objective sequential decision-making survey by Roijers et al. [22] provides the general framework for scalarization and Pareto-front analysis. Recent HVAC-RL studies, including Liao et al. [21], operationalize this idea through weighted comfort, air-quality, and energy rewards. Our MORL block follows this scalarization perspective but treats the Pareto result as an empirical object requiring seed analysis rather than as a single-trajectory demonstration.</w:t>
      </w:r>
    </w:p>
    <w:p w14:paraId="3718ECDB">
      <w:r>
        <w:t>The resulting finding is intentionally conservative. The 17D MORL sweep identifies plausible comfort-energy trade-offs, but the canonical preference points remain seed-sensitive at N=5. The pre-registered action-saturation hypothesis, initially motivated by an N=3 seasonal pattern, was falsified when seeds 45 and 46 were added. This is not reported as a failure to hide; it is part of the methodological contribution. In this domain, small-seed seasonal patterns can be transient, and aggregate Pareto points must be reported with uncertainty.</w:t>
      </w:r>
    </w:p>
    <w:p w14:paraId="009D0706">
      <w:pPr>
        <w:pStyle w:val="3"/>
      </w:pPr>
      <w:r>
        <w:t>2.5 Transfer learning and cross-testcase generalization</w:t>
      </w:r>
    </w:p>
    <w:p w14:paraId="1611514B">
      <w:r>
        <w:t>A second branch of the literature asks how controllers trained in one building can be transferred to another. Coraci et al. [23] study online transfer learning in a real office building and use imitation/fine-tuning to reduce deployment burden. Hou et al. [24] propose multi-source transfer learning for DRL HVAC deployment, where source environments are selected to improve target training efficiency. Kadamala et al. [25] also evaluate DRL transfer learning between HVAC scenarios, and Coraci et al. [26] study heterogeneous transfer across diverse energy systems. These works typically allow some form of target adaptation of the policy.</w:t>
      </w:r>
    </w:p>
    <w:p w14:paraId="2AA44667">
      <w:r>
        <w:t>Block 3 deliberately fixes a stricter question before running the hydronic transfer experiments. It asks which components of the bestest_air recipe transfer without post-hoc controller fine-tuning. The answer is component-level. Full Stage A/B/C surrogate recalibration transfers across three hydronic BOPTEST testcases, improving RMSE_T by 60.2-87.8% and re-identifying C_zon consistently in the 1.89-1.95x range versus bestest_air. The frozen controller, however, is not deployment-ready: residential hydronic testcases fail by comfort, while the commercial hydronic testcase passes the pre-registered scalar threshold only with a 35.3% energy penalty. This positions controller fine-tuning on the target-recalibrated surrogate as future work rather than as an unreported post-hoc rescue.</w:t>
      </w:r>
    </w:p>
    <w:p w14:paraId="581ADE55">
      <w:pPr>
        <w:pStyle w:val="3"/>
      </w:pPr>
      <w:r>
        <w:t xml:space="preserve">2.6 </w:t>
      </w:r>
      <w:r>
        <w:rPr>
          <w:rFonts w:hint="default"/>
          <w:lang w:val="en-US"/>
        </w:rPr>
        <w:t xml:space="preserve">Runtime Speed </w:t>
      </w:r>
      <w:r>
        <w:t>BOPTEST benchmarking</w:t>
      </w:r>
    </w:p>
    <w:p w14:paraId="60FD1E5E">
      <w:pPr>
        <w:spacing w:after="160"/>
        <w:jc w:val="both"/>
        <w:rPr>
          <w:rFonts w:ascii="Arial" w:hAnsi="Arial" w:eastAsia="Arial" w:cs="Arial"/>
          <w:b w:val="0"/>
          <w:bCs w:val="0"/>
          <w:i w:val="0"/>
          <w:iCs w:val="0"/>
          <w:sz w:val="22"/>
          <w:szCs w:val="22"/>
        </w:rPr>
      </w:pPr>
      <w:r>
        <w:t>BOPTEST provides the live evaluation layer for this paper. Blum et al. [4] introduced BOPTEST as a simulation-based benchmarking framework with containerized building emulators, a common HTTP API, overwriteable control points, baseline controllers, and standardized KPI reporting. BOPTEST exposes realistic Modelica building models through a standard interface so that control algorithms can be benchmarked without physical installation. We use BOPTEST RTE version 1.0.0-dev as the authoritative closed-loop evaluator, not merely as a data generator.</w:t>
      </w:r>
      <w:r>
        <w:rPr>
          <w:rFonts w:ascii="Arial" w:hAnsi="Arial" w:eastAsia="Arial" w:cs="Arial"/>
          <w:b w:val="0"/>
          <w:bCs w:val="0"/>
          <w:i w:val="0"/>
          <w:iCs w:val="0"/>
          <w:sz w:val="22"/>
          <w:szCs w:val="22"/>
        </w:rPr>
        <w:t>The whole motivation for substituting BOPTEST with an in-process surrogate during RL training is computational. PPO typically consumes 1×10⁶ – 5×10⁶ environment steps to converge; at the BOPTEST RTE HTTP step rate this would take hours per training run and would dominate wall-clock time. The speed benchmark answers a specific question: under the same 15-minute control protocol, what step rate do v3, v3.5, and the hybrid backend deliver compared with BOPTEST RTE?</w:t>
      </w:r>
    </w:p>
    <w:p w14:paraId="18D3F8B9">
      <w:pPr>
        <w:rPr>
          <w:rFonts w:ascii="Arial" w:hAnsi="Arial" w:eastAsia="Arial" w:cs="Arial"/>
          <w:b w:val="0"/>
          <w:bCs w:val="0"/>
          <w:i w:val="0"/>
          <w:iCs w:val="0"/>
          <w:sz w:val="22"/>
          <w:szCs w:val="22"/>
        </w:rPr>
      </w:pPr>
      <w:r>
        <w:t>This choice is important for the paper's logic. All surrogate models are intermediate artifacts; live BOPTEST remains the final arbiter of controller performance. The Block 1 fidelity-to-control gap, the Block 2 hybrid-backend selection, and the Block 3 hydronic transfer results all depend on this separation. A model can win on predictive RMSE and lose in closed-loop control; only the BOPTEST deployment layer exposes that failure.</w:t>
      </w:r>
    </w:p>
    <w:p w14:paraId="761C2B2F">
      <w:pPr>
        <w:spacing w:after="160"/>
        <w:jc w:val="both"/>
        <w:rPr>
          <w:rFonts w:ascii="Arial" w:hAnsi="Arial" w:eastAsia="Arial" w:cs="Arial"/>
          <w:b w:val="0"/>
          <w:bCs w:val="0"/>
          <w:i w:val="0"/>
          <w:iCs w:val="0"/>
          <w:sz w:val="22"/>
          <w:szCs w:val="22"/>
        </w:rPr>
      </w:pPr>
      <w:r>
        <w:rPr>
          <w:rFonts w:ascii="Arial" w:hAnsi="Arial" w:eastAsia="Arial" w:cs="Arial"/>
          <w:b w:val="0"/>
          <w:bCs w:val="0"/>
          <w:i w:val="0"/>
          <w:iCs w:val="0"/>
          <w:sz w:val="22"/>
          <w:szCs w:val="22"/>
        </w:rPr>
        <w:t>The benchmark uses 100 episodes × 96 steps = 9 600 total simulated steps, single CPU thread, no GPU. BOPTEST is reached through its HTTP-Docker interface (the same one used in production training and evaluation), so the comparison is apples-to-apples with the actual training stack — not against a stripped-down local Modelica binary, which would understate the speed-up.</w:t>
      </w:r>
    </w:p>
    <w:p w14:paraId="18442F69">
      <w:pPr>
        <w:spacing w:after="160"/>
        <w:jc w:val="both"/>
      </w:pPr>
      <w:r>
        <w:rPr>
          <w:rFonts w:ascii="Arial" w:hAnsi="Arial" w:eastAsia="Arial" w:cs="Arial"/>
          <w:b w:val="0"/>
          <w:bCs w:val="0"/>
          <w:i w:val="0"/>
          <w:iCs w:val="0"/>
          <w:sz w:val="22"/>
          <w:szCs w:val="22"/>
        </w:rPr>
        <w:t>The hybrid is the slowest of the three surrogates (1787 steps/s, 0.507 ms median) because every PPO update requires a forward pass through BOTH v3 (rollout dynamics) and v3.5 (regulariser target). That overhead is unavoidable by construction. The headline 85× speed-up against BOPTEST is still large enough to make the hybrid usable for PPO training on a single CPU core — a single 5×10⁶-step training run takes roughly 47 minutes of pure environment time vs about 66.1 hours if BOPTEST were used directly.</w:t>
      </w:r>
    </w:p>
    <w:p w14:paraId="6D02EDC3">
      <w:pPr>
        <w:spacing w:after="160"/>
        <w:jc w:val="both"/>
        <w:rPr>
          <w:rFonts w:ascii="Arial" w:hAnsi="Arial" w:eastAsia="Arial" w:cs="Arial"/>
          <w:b w:val="0"/>
          <w:bCs w:val="0"/>
          <w:i w:val="0"/>
          <w:iCs w:val="0"/>
          <w:sz w:val="22"/>
          <w:szCs w:val="22"/>
        </w:rPr>
      </w:pPr>
      <w:r>
        <w:rPr>
          <w:rFonts w:ascii="Arial" w:hAnsi="Arial" w:eastAsia="Arial" w:cs="Arial"/>
          <w:b w:val="0"/>
          <w:bCs w:val="0"/>
          <w:i w:val="0"/>
          <w:iCs w:val="0"/>
          <w:sz w:val="22"/>
          <w:szCs w:val="22"/>
        </w:rPr>
        <w:t>Two practical points follow. First, although v3 is the fastest backend, we do not train PPO purely on v3 because that gives up the regularisation benefit measured in Section 4. Second, although v3.5 is faster than the hybrid (2400 steps/s) we do not train PPO on v3.5 either — Section 4 shows that PPO trained on standalone calibrated v3.5 fails catastrophically on the live BOPTEST loop (RMSE &gt; 4 °C). The hybrid backend is therefore the unique operating point where speed, fidelity, and trainability all reach acceptable levels simultaneously.</w:t>
      </w:r>
    </w:p>
    <w:p w14:paraId="19A0D3E2"/>
    <w:p w14:paraId="68E91E0D"/>
    <w:p w14:paraId="56C60D96">
      <w:pPr>
        <w:pStyle w:val="2"/>
      </w:pPr>
      <w:r>
        <w:t>3. Methodology</w:t>
      </w:r>
    </w:p>
    <w:p w14:paraId="275F9E94">
      <w:pPr>
        <w:jc w:val="center"/>
      </w:pPr>
      <w:r>
        <w:drawing>
          <wp:inline distT="0" distB="0" distL="0" distR="0">
            <wp:extent cx="6126480" cy="2468880"/>
            <wp:effectExtent l="0" t="0" r="0" b="0"/>
            <wp:docPr id="1" name="q1eng_fig01"/>
            <wp:cNvGraphicFramePr/>
            <a:graphic xmlns:a="http://schemas.openxmlformats.org/drawingml/2006/main">
              <a:graphicData uri="http://schemas.openxmlformats.org/drawingml/2006/picture">
                <pic:pic xmlns:pic="http://schemas.openxmlformats.org/drawingml/2006/picture">
                  <pic:nvPicPr>
                    <pic:cNvPr id="1" name="q1eng_fig01"/>
                    <pic:cNvPicPr/>
                  </pic:nvPicPr>
                  <pic:blipFill>
                    <a:blip r:embed="rId6"/>
                    <a:stretch>
                      <a:fillRect/>
                    </a:stretch>
                  </pic:blipFill>
                  <pic:spPr>
                    <a:xfrm>
                      <a:off x="0" y="0"/>
                      <a:ext cx="6126480" cy="2468880"/>
                    </a:xfrm>
                    <a:prstGeom prst="rect">
                      <a:avLst/>
                    </a:prstGeom>
                  </pic:spPr>
                </pic:pic>
              </a:graphicData>
            </a:graphic>
          </wp:inline>
        </w:drawing>
      </w:r>
    </w:p>
    <w:p w14:paraId="7207138C">
      <w:r>
        <w:rPr>
          <w:i/>
          <w:color w:val="555555"/>
          <w:sz w:val="18"/>
        </w:rPr>
        <w:t>Figure 1. Overall experimental pipeline. The study separates data generation, surrogate calibration, live controller validation, and transferability testing rather than treating digital-twin accuracy as a single scalar property.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150"/>
        <w:gridCol w:w="1350"/>
        <w:gridCol w:w="650"/>
        <w:gridCol w:w="950"/>
        <w:gridCol w:w="1200"/>
        <w:gridCol w:w="800"/>
        <w:gridCol w:w="1300"/>
        <w:gridCol w:w="950"/>
        <w:gridCol w:w="2010"/>
      </w:tblGrid>
      <w:tr w14:paraId="0147BF6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shd w:val="clear" w:color="auto" w:fill="EAF2F8"/>
            <w:tcMar>
              <w:top w:w="80" w:type="dxa"/>
              <w:left w:w="90" w:type="dxa"/>
              <w:bottom w:w="80" w:type="dxa"/>
              <w:right w:w="90" w:type="dxa"/>
            </w:tcMar>
          </w:tcPr>
          <w:p w14:paraId="2150E2F7">
            <w:r>
              <w:rPr>
                <w:b/>
                <w:sz w:val="10"/>
              </w:rPr>
              <w:t>Surrogate/backend</w:t>
            </w:r>
          </w:p>
        </w:tc>
        <w:tc>
          <w:tcPr>
            <w:tcW w:w="1350" w:type="dxa"/>
            <w:shd w:val="clear" w:color="auto" w:fill="EAF2F8"/>
            <w:tcMar>
              <w:top w:w="80" w:type="dxa"/>
              <w:left w:w="90" w:type="dxa"/>
              <w:bottom w:w="80" w:type="dxa"/>
              <w:right w:w="90" w:type="dxa"/>
            </w:tcMar>
          </w:tcPr>
          <w:p w14:paraId="2CBE1909">
            <w:r>
              <w:rPr>
                <w:b/>
                <w:sz w:val="10"/>
              </w:rPr>
              <w:t>Architecture</w:t>
            </w:r>
          </w:p>
        </w:tc>
        <w:tc>
          <w:tcPr>
            <w:tcW w:w="650" w:type="dxa"/>
            <w:shd w:val="clear" w:color="auto" w:fill="EAF2F8"/>
            <w:tcMar>
              <w:top w:w="80" w:type="dxa"/>
              <w:left w:w="90" w:type="dxa"/>
              <w:bottom w:w="80" w:type="dxa"/>
              <w:right w:w="90" w:type="dxa"/>
            </w:tcMar>
          </w:tcPr>
          <w:p w14:paraId="6EAC5FB4">
            <w:r>
              <w:rPr>
                <w:b/>
                <w:sz w:val="10"/>
              </w:rPr>
              <w:t>Input dim</w:t>
            </w:r>
          </w:p>
        </w:tc>
        <w:tc>
          <w:tcPr>
            <w:tcW w:w="950" w:type="dxa"/>
            <w:shd w:val="clear" w:color="auto" w:fill="EAF2F8"/>
            <w:tcMar>
              <w:top w:w="80" w:type="dxa"/>
              <w:left w:w="90" w:type="dxa"/>
              <w:bottom w:w="80" w:type="dxa"/>
              <w:right w:w="90" w:type="dxa"/>
            </w:tcMar>
          </w:tcPr>
          <w:p w14:paraId="71368474">
            <w:r>
              <w:rPr>
                <w:b/>
                <w:sz w:val="10"/>
              </w:rPr>
              <w:t>Output</w:t>
            </w:r>
          </w:p>
        </w:tc>
        <w:tc>
          <w:tcPr>
            <w:tcW w:w="1200" w:type="dxa"/>
            <w:shd w:val="clear" w:color="auto" w:fill="EAF2F8"/>
            <w:tcMar>
              <w:top w:w="80" w:type="dxa"/>
              <w:left w:w="90" w:type="dxa"/>
              <w:bottom w:w="80" w:type="dxa"/>
              <w:right w:w="90" w:type="dxa"/>
            </w:tcMar>
          </w:tcPr>
          <w:p w14:paraId="24EB1D20">
            <w:r>
              <w:rPr>
                <w:b/>
                <w:sz w:val="10"/>
              </w:rPr>
              <w:t>Physical structure</w:t>
            </w:r>
          </w:p>
        </w:tc>
        <w:tc>
          <w:tcPr>
            <w:tcW w:w="800" w:type="dxa"/>
            <w:shd w:val="clear" w:color="auto" w:fill="EAF2F8"/>
            <w:tcMar>
              <w:top w:w="80" w:type="dxa"/>
              <w:left w:w="90" w:type="dxa"/>
              <w:bottom w:w="80" w:type="dxa"/>
              <w:right w:w="90" w:type="dxa"/>
            </w:tcMar>
          </w:tcPr>
          <w:p w14:paraId="1C4A082C">
            <w:r>
              <w:rPr>
                <w:b/>
                <w:sz w:val="10"/>
              </w:rPr>
              <w:t>Parameters</w:t>
            </w:r>
          </w:p>
        </w:tc>
        <w:tc>
          <w:tcPr>
            <w:tcW w:w="1300" w:type="dxa"/>
            <w:shd w:val="clear" w:color="auto" w:fill="EAF2F8"/>
            <w:tcMar>
              <w:top w:w="80" w:type="dxa"/>
              <w:left w:w="90" w:type="dxa"/>
              <w:bottom w:w="80" w:type="dxa"/>
              <w:right w:w="90" w:type="dxa"/>
            </w:tcMar>
          </w:tcPr>
          <w:p w14:paraId="6E3B4C45">
            <w:r>
              <w:rPr>
                <w:b/>
                <w:sz w:val="10"/>
              </w:rPr>
              <w:t>Training corpus</w:t>
            </w:r>
          </w:p>
        </w:tc>
        <w:tc>
          <w:tcPr>
            <w:tcW w:w="950" w:type="dxa"/>
            <w:shd w:val="clear" w:color="auto" w:fill="EAF2F8"/>
            <w:tcMar>
              <w:top w:w="80" w:type="dxa"/>
              <w:left w:w="90" w:type="dxa"/>
              <w:bottom w:w="80" w:type="dxa"/>
              <w:right w:w="90" w:type="dxa"/>
            </w:tcMar>
          </w:tcPr>
          <w:p w14:paraId="6E837B63">
            <w:r>
              <w:rPr>
                <w:b/>
                <w:sz w:val="10"/>
              </w:rPr>
              <w:t>Calibration</w:t>
            </w:r>
          </w:p>
        </w:tc>
        <w:tc>
          <w:tcPr>
            <w:tcW w:w="2010" w:type="dxa"/>
            <w:shd w:val="clear" w:color="auto" w:fill="EAF2F8"/>
            <w:tcMar>
              <w:top w:w="80" w:type="dxa"/>
              <w:left w:w="90" w:type="dxa"/>
              <w:bottom w:w="80" w:type="dxa"/>
              <w:right w:w="90" w:type="dxa"/>
            </w:tcMar>
          </w:tcPr>
          <w:p w14:paraId="00C74EBC">
            <w:r>
              <w:rPr>
                <w:b/>
                <w:sz w:val="10"/>
              </w:rPr>
              <w:t>Role in RL</w:t>
            </w:r>
          </w:p>
        </w:tc>
      </w:tr>
      <w:tr w14:paraId="7D5097A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DF7AC5E">
            <w:r>
              <w:rPr>
                <w:sz w:val="10"/>
              </w:rPr>
              <w:t>v3</w:t>
            </w:r>
          </w:p>
        </w:tc>
        <w:tc>
          <w:tcPr>
            <w:tcW w:w="1350" w:type="dxa"/>
            <w:tcMar>
              <w:top w:w="80" w:type="dxa"/>
              <w:left w:w="90" w:type="dxa"/>
              <w:bottom w:w="80" w:type="dxa"/>
              <w:right w:w="90" w:type="dxa"/>
            </w:tcMar>
          </w:tcPr>
          <w:p w14:paraId="32B269BD">
            <w:r>
              <w:rPr>
                <w:sz w:val="10"/>
              </w:rPr>
              <w:t>Compact dual-head MLP</w:t>
            </w:r>
          </w:p>
        </w:tc>
        <w:tc>
          <w:tcPr>
            <w:tcW w:w="650" w:type="dxa"/>
            <w:tcMar>
              <w:top w:w="80" w:type="dxa"/>
              <w:left w:w="90" w:type="dxa"/>
              <w:bottom w:w="80" w:type="dxa"/>
              <w:right w:w="90" w:type="dxa"/>
            </w:tcMar>
          </w:tcPr>
          <w:p w14:paraId="27399E22">
            <w:r>
              <w:rPr>
                <w:sz w:val="10"/>
              </w:rPr>
              <w:t>8</w:t>
            </w:r>
          </w:p>
        </w:tc>
        <w:tc>
          <w:tcPr>
            <w:tcW w:w="950" w:type="dxa"/>
            <w:tcMar>
              <w:top w:w="80" w:type="dxa"/>
              <w:left w:w="90" w:type="dxa"/>
              <w:bottom w:w="80" w:type="dxa"/>
              <w:right w:w="90" w:type="dxa"/>
            </w:tcMar>
          </w:tcPr>
          <w:p w14:paraId="2ED0A556">
            <w:r>
              <w:rPr>
                <w:sz w:val="10"/>
              </w:rPr>
              <w:t>dT, HVAC power</w:t>
            </w:r>
          </w:p>
        </w:tc>
        <w:tc>
          <w:tcPr>
            <w:tcW w:w="1200" w:type="dxa"/>
            <w:tcMar>
              <w:top w:w="80" w:type="dxa"/>
              <w:left w:w="90" w:type="dxa"/>
              <w:bottom w:w="80" w:type="dxa"/>
              <w:right w:w="90" w:type="dxa"/>
            </w:tcMar>
          </w:tcPr>
          <w:p w14:paraId="5BEF983A">
            <w:r>
              <w:rPr>
                <w:sz w:val="10"/>
              </w:rPr>
              <w:t>No explicit physics</w:t>
            </w:r>
          </w:p>
        </w:tc>
        <w:tc>
          <w:tcPr>
            <w:tcW w:w="800" w:type="dxa"/>
            <w:tcMar>
              <w:top w:w="80" w:type="dxa"/>
              <w:left w:w="90" w:type="dxa"/>
              <w:bottom w:w="80" w:type="dxa"/>
              <w:right w:w="90" w:type="dxa"/>
            </w:tcMar>
          </w:tcPr>
          <w:p w14:paraId="110CF2EB">
            <w:r>
              <w:rPr>
                <w:sz w:val="10"/>
              </w:rPr>
              <w:t>8,482</w:t>
            </w:r>
          </w:p>
        </w:tc>
        <w:tc>
          <w:tcPr>
            <w:tcW w:w="1300" w:type="dxa"/>
            <w:tcMar>
              <w:top w:w="80" w:type="dxa"/>
              <w:left w:w="90" w:type="dxa"/>
              <w:bottom w:w="80" w:type="dxa"/>
              <w:right w:w="90" w:type="dxa"/>
            </w:tcMar>
          </w:tcPr>
          <w:p w14:paraId="4C2D7234">
            <w:r>
              <w:rPr>
                <w:sz w:val="10"/>
              </w:rPr>
              <w:t>hourly + matched 15-min check</w:t>
            </w:r>
          </w:p>
        </w:tc>
        <w:tc>
          <w:tcPr>
            <w:tcW w:w="950" w:type="dxa"/>
            <w:tcMar>
              <w:top w:w="80" w:type="dxa"/>
              <w:left w:w="90" w:type="dxa"/>
              <w:bottom w:w="80" w:type="dxa"/>
              <w:right w:w="90" w:type="dxa"/>
            </w:tcMar>
          </w:tcPr>
          <w:p w14:paraId="06AA3920">
            <w:r>
              <w:rPr>
                <w:sz w:val="10"/>
              </w:rPr>
              <w:t>Supervised</w:t>
            </w:r>
          </w:p>
        </w:tc>
        <w:tc>
          <w:tcPr>
            <w:tcW w:w="2010" w:type="dxa"/>
            <w:tcMar>
              <w:top w:w="80" w:type="dxa"/>
              <w:left w:w="90" w:type="dxa"/>
              <w:bottom w:w="80" w:type="dxa"/>
              <w:right w:w="90" w:type="dxa"/>
            </w:tcMar>
          </w:tcPr>
          <w:p w14:paraId="31C45A94">
            <w:r>
              <w:rPr>
                <w:sz w:val="10"/>
              </w:rPr>
              <w:t>Primary rollout environment</w:t>
            </w:r>
          </w:p>
        </w:tc>
      </w:tr>
      <w:tr w14:paraId="30F80A4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0A92DCE4">
            <w:r>
              <w:rPr>
                <w:sz w:val="10"/>
              </w:rPr>
              <w:t>raw v3.5</w:t>
            </w:r>
          </w:p>
        </w:tc>
        <w:tc>
          <w:tcPr>
            <w:tcW w:w="1350" w:type="dxa"/>
            <w:tcMar>
              <w:top w:w="80" w:type="dxa"/>
              <w:left w:w="90" w:type="dxa"/>
              <w:bottom w:w="80" w:type="dxa"/>
              <w:right w:w="90" w:type="dxa"/>
            </w:tcMar>
          </w:tcPr>
          <w:p w14:paraId="680BF592">
            <w:r>
              <w:rPr>
                <w:sz w:val="10"/>
              </w:rPr>
              <w:t>RC-NeuralODE + residual heads</w:t>
            </w:r>
          </w:p>
        </w:tc>
        <w:tc>
          <w:tcPr>
            <w:tcW w:w="650" w:type="dxa"/>
            <w:tcMar>
              <w:top w:w="80" w:type="dxa"/>
              <w:left w:w="90" w:type="dxa"/>
              <w:bottom w:w="80" w:type="dxa"/>
              <w:right w:w="90" w:type="dxa"/>
            </w:tcMar>
          </w:tcPr>
          <w:p w14:paraId="4D61873A">
            <w:r>
              <w:rPr>
                <w:sz w:val="10"/>
              </w:rPr>
              <w:t>15-min prepared</w:t>
            </w:r>
          </w:p>
        </w:tc>
        <w:tc>
          <w:tcPr>
            <w:tcW w:w="950" w:type="dxa"/>
            <w:tcMar>
              <w:top w:w="80" w:type="dxa"/>
              <w:left w:w="90" w:type="dxa"/>
              <w:bottom w:w="80" w:type="dxa"/>
              <w:right w:w="90" w:type="dxa"/>
            </w:tcMar>
          </w:tcPr>
          <w:p w14:paraId="76A03F6F">
            <w:r>
              <w:rPr>
                <w:sz w:val="10"/>
              </w:rPr>
              <w:t>T_next, power</w:t>
            </w:r>
          </w:p>
        </w:tc>
        <w:tc>
          <w:tcPr>
            <w:tcW w:w="1200" w:type="dxa"/>
            <w:tcMar>
              <w:top w:w="80" w:type="dxa"/>
              <w:left w:w="90" w:type="dxa"/>
              <w:bottom w:w="80" w:type="dxa"/>
              <w:right w:w="90" w:type="dxa"/>
            </w:tcMar>
          </w:tcPr>
          <w:p w14:paraId="746AF6A9">
            <w:r>
              <w:rPr>
                <w:sz w:val="10"/>
              </w:rPr>
              <w:t>C_zon backbone</w:t>
            </w:r>
          </w:p>
        </w:tc>
        <w:tc>
          <w:tcPr>
            <w:tcW w:w="800" w:type="dxa"/>
            <w:tcMar>
              <w:top w:w="80" w:type="dxa"/>
              <w:left w:w="90" w:type="dxa"/>
              <w:bottom w:w="80" w:type="dxa"/>
              <w:right w:w="90" w:type="dxa"/>
            </w:tcMar>
          </w:tcPr>
          <w:p w14:paraId="459C8C42">
            <w:r>
              <w:rPr>
                <w:sz w:val="10"/>
              </w:rPr>
              <w:t>~50k</w:t>
            </w:r>
          </w:p>
        </w:tc>
        <w:tc>
          <w:tcPr>
            <w:tcW w:w="1300" w:type="dxa"/>
            <w:tcMar>
              <w:top w:w="80" w:type="dxa"/>
              <w:left w:w="90" w:type="dxa"/>
              <w:bottom w:w="80" w:type="dxa"/>
              <w:right w:w="90" w:type="dxa"/>
            </w:tcMar>
          </w:tcPr>
          <w:p w14:paraId="66D284F5">
            <w:r>
              <w:rPr>
                <w:sz w:val="10"/>
              </w:rPr>
              <w:t>10,744 rows</w:t>
            </w:r>
          </w:p>
        </w:tc>
        <w:tc>
          <w:tcPr>
            <w:tcW w:w="950" w:type="dxa"/>
            <w:tcMar>
              <w:top w:w="80" w:type="dxa"/>
              <w:left w:w="90" w:type="dxa"/>
              <w:bottom w:w="80" w:type="dxa"/>
              <w:right w:w="90" w:type="dxa"/>
            </w:tcMar>
          </w:tcPr>
          <w:p w14:paraId="53265638">
            <w:r>
              <w:rPr>
                <w:sz w:val="10"/>
              </w:rPr>
              <w:t>None</w:t>
            </w:r>
          </w:p>
        </w:tc>
        <w:tc>
          <w:tcPr>
            <w:tcW w:w="2010" w:type="dxa"/>
            <w:tcMar>
              <w:top w:w="80" w:type="dxa"/>
              <w:left w:w="90" w:type="dxa"/>
              <w:bottom w:w="80" w:type="dxa"/>
              <w:right w:w="90" w:type="dxa"/>
            </w:tcMar>
          </w:tcPr>
          <w:p w14:paraId="78E7D325">
            <w:r>
              <w:rPr>
                <w:sz w:val="10"/>
              </w:rPr>
              <w:t>Architecture-only negative baseline</w:t>
            </w:r>
          </w:p>
        </w:tc>
      </w:tr>
      <w:tr w14:paraId="70051B6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42300227">
            <w:r>
              <w:rPr>
                <w:sz w:val="10"/>
              </w:rPr>
              <w:t>calibrated v3.5</w:t>
            </w:r>
          </w:p>
        </w:tc>
        <w:tc>
          <w:tcPr>
            <w:tcW w:w="1350" w:type="dxa"/>
            <w:tcMar>
              <w:top w:w="80" w:type="dxa"/>
              <w:left w:w="90" w:type="dxa"/>
              <w:bottom w:w="80" w:type="dxa"/>
              <w:right w:w="90" w:type="dxa"/>
            </w:tcMar>
          </w:tcPr>
          <w:p w14:paraId="3F6AECAA">
            <w:r>
              <w:rPr>
                <w:sz w:val="10"/>
              </w:rPr>
              <w:t>RC-NeuralODE + residual heads</w:t>
            </w:r>
          </w:p>
        </w:tc>
        <w:tc>
          <w:tcPr>
            <w:tcW w:w="650" w:type="dxa"/>
            <w:tcMar>
              <w:top w:w="80" w:type="dxa"/>
              <w:left w:w="90" w:type="dxa"/>
              <w:bottom w:w="80" w:type="dxa"/>
              <w:right w:w="90" w:type="dxa"/>
            </w:tcMar>
          </w:tcPr>
          <w:p w14:paraId="74DFEF14">
            <w:r>
              <w:rPr>
                <w:sz w:val="10"/>
              </w:rPr>
              <w:t>15-min prepared</w:t>
            </w:r>
          </w:p>
        </w:tc>
        <w:tc>
          <w:tcPr>
            <w:tcW w:w="950" w:type="dxa"/>
            <w:tcMar>
              <w:top w:w="80" w:type="dxa"/>
              <w:left w:w="90" w:type="dxa"/>
              <w:bottom w:w="80" w:type="dxa"/>
              <w:right w:w="90" w:type="dxa"/>
            </w:tcMar>
          </w:tcPr>
          <w:p w14:paraId="2611DB15">
            <w:r>
              <w:rPr>
                <w:sz w:val="10"/>
              </w:rPr>
              <w:t>T_next, power</w:t>
            </w:r>
          </w:p>
        </w:tc>
        <w:tc>
          <w:tcPr>
            <w:tcW w:w="1200" w:type="dxa"/>
            <w:tcMar>
              <w:top w:w="80" w:type="dxa"/>
              <w:left w:w="90" w:type="dxa"/>
              <w:bottom w:w="80" w:type="dxa"/>
              <w:right w:w="90" w:type="dxa"/>
            </w:tcMar>
          </w:tcPr>
          <w:p w14:paraId="5C3C2131">
            <w:r>
              <w:rPr>
                <w:sz w:val="10"/>
              </w:rPr>
              <w:t>identified C_zon</w:t>
            </w:r>
          </w:p>
        </w:tc>
        <w:tc>
          <w:tcPr>
            <w:tcW w:w="800" w:type="dxa"/>
            <w:tcMar>
              <w:top w:w="80" w:type="dxa"/>
              <w:left w:w="90" w:type="dxa"/>
              <w:bottom w:w="80" w:type="dxa"/>
              <w:right w:w="90" w:type="dxa"/>
            </w:tcMar>
          </w:tcPr>
          <w:p w14:paraId="0C63553B">
            <w:r>
              <w:rPr>
                <w:sz w:val="10"/>
              </w:rPr>
              <w:t>~50k</w:t>
            </w:r>
          </w:p>
        </w:tc>
        <w:tc>
          <w:tcPr>
            <w:tcW w:w="1300" w:type="dxa"/>
            <w:tcMar>
              <w:top w:w="80" w:type="dxa"/>
              <w:left w:w="90" w:type="dxa"/>
              <w:bottom w:w="80" w:type="dxa"/>
              <w:right w:w="90" w:type="dxa"/>
            </w:tcMar>
          </w:tcPr>
          <w:p w14:paraId="35E92918">
            <w:r>
              <w:rPr>
                <w:sz w:val="10"/>
              </w:rPr>
              <w:t>10,744 rows</w:t>
            </w:r>
          </w:p>
        </w:tc>
        <w:tc>
          <w:tcPr>
            <w:tcW w:w="950" w:type="dxa"/>
            <w:tcMar>
              <w:top w:w="80" w:type="dxa"/>
              <w:left w:w="90" w:type="dxa"/>
              <w:bottom w:w="80" w:type="dxa"/>
              <w:right w:w="90" w:type="dxa"/>
            </w:tcMar>
          </w:tcPr>
          <w:p w14:paraId="7E75E587">
            <w:r>
              <w:rPr>
                <w:sz w:val="10"/>
              </w:rPr>
              <w:t>Stage A/B/C</w:t>
            </w:r>
          </w:p>
        </w:tc>
        <w:tc>
          <w:tcPr>
            <w:tcW w:w="2010" w:type="dxa"/>
            <w:tcMar>
              <w:top w:w="80" w:type="dxa"/>
              <w:left w:w="90" w:type="dxa"/>
              <w:bottom w:w="80" w:type="dxa"/>
              <w:right w:w="90" w:type="dxa"/>
            </w:tcMar>
          </w:tcPr>
          <w:p w14:paraId="162C8882">
            <w:r>
              <w:rPr>
                <w:sz w:val="10"/>
              </w:rPr>
              <w:t>Predictive twin and frozen teacher</w:t>
            </w:r>
          </w:p>
        </w:tc>
      </w:tr>
      <w:tr w14:paraId="3188718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070F7FF">
            <w:r>
              <w:rPr>
                <w:sz w:val="10"/>
              </w:rPr>
              <w:t>hybrid</w:t>
            </w:r>
          </w:p>
        </w:tc>
        <w:tc>
          <w:tcPr>
            <w:tcW w:w="1350" w:type="dxa"/>
            <w:tcMar>
              <w:top w:w="80" w:type="dxa"/>
              <w:left w:w="90" w:type="dxa"/>
              <w:bottom w:w="80" w:type="dxa"/>
              <w:right w:w="90" w:type="dxa"/>
            </w:tcMar>
          </w:tcPr>
          <w:p w14:paraId="3BFB3CD4">
            <w:r>
              <w:rPr>
                <w:sz w:val="10"/>
              </w:rPr>
              <w:t>v3 rollout + frozen v3.5 teacher</w:t>
            </w:r>
          </w:p>
        </w:tc>
        <w:tc>
          <w:tcPr>
            <w:tcW w:w="650" w:type="dxa"/>
            <w:tcMar>
              <w:top w:w="80" w:type="dxa"/>
              <w:left w:w="90" w:type="dxa"/>
              <w:bottom w:w="80" w:type="dxa"/>
              <w:right w:w="90" w:type="dxa"/>
            </w:tcMar>
          </w:tcPr>
          <w:p w14:paraId="2699676A">
            <w:r>
              <w:rPr>
                <w:sz w:val="10"/>
              </w:rPr>
              <w:t>policy obs</w:t>
            </w:r>
          </w:p>
        </w:tc>
        <w:tc>
          <w:tcPr>
            <w:tcW w:w="950" w:type="dxa"/>
            <w:tcMar>
              <w:top w:w="80" w:type="dxa"/>
              <w:left w:w="90" w:type="dxa"/>
              <w:bottom w:w="80" w:type="dxa"/>
              <w:right w:w="90" w:type="dxa"/>
            </w:tcMar>
          </w:tcPr>
          <w:p w14:paraId="07C7CDAF">
            <w:r>
              <w:rPr>
                <w:sz w:val="10"/>
              </w:rPr>
              <w:t>rollout + disagreement</w:t>
            </w:r>
          </w:p>
        </w:tc>
        <w:tc>
          <w:tcPr>
            <w:tcW w:w="1200" w:type="dxa"/>
            <w:tcMar>
              <w:top w:w="80" w:type="dxa"/>
              <w:left w:w="90" w:type="dxa"/>
              <w:bottom w:w="80" w:type="dxa"/>
              <w:right w:w="90" w:type="dxa"/>
            </w:tcMar>
          </w:tcPr>
          <w:p w14:paraId="6764E10F">
            <w:r>
              <w:rPr>
                <w:sz w:val="10"/>
              </w:rPr>
              <w:t>soft physical regularizer</w:t>
            </w:r>
          </w:p>
        </w:tc>
        <w:tc>
          <w:tcPr>
            <w:tcW w:w="800" w:type="dxa"/>
            <w:tcMar>
              <w:top w:w="80" w:type="dxa"/>
              <w:left w:w="90" w:type="dxa"/>
              <w:bottom w:w="80" w:type="dxa"/>
              <w:right w:w="90" w:type="dxa"/>
            </w:tcMar>
          </w:tcPr>
          <w:p w14:paraId="1FED5C21">
            <w:r>
              <w:rPr>
                <w:sz w:val="10"/>
              </w:rPr>
              <w:t>v3 + v3.5</w:t>
            </w:r>
          </w:p>
        </w:tc>
        <w:tc>
          <w:tcPr>
            <w:tcW w:w="1300" w:type="dxa"/>
            <w:tcMar>
              <w:top w:w="80" w:type="dxa"/>
              <w:left w:w="90" w:type="dxa"/>
              <w:bottom w:w="80" w:type="dxa"/>
              <w:right w:w="90" w:type="dxa"/>
            </w:tcMar>
          </w:tcPr>
          <w:p w14:paraId="273B6D7D">
            <w:r>
              <w:rPr>
                <w:sz w:val="10"/>
              </w:rPr>
              <w:t>same source corpus</w:t>
            </w:r>
          </w:p>
        </w:tc>
        <w:tc>
          <w:tcPr>
            <w:tcW w:w="950" w:type="dxa"/>
            <w:tcMar>
              <w:top w:w="80" w:type="dxa"/>
              <w:left w:w="90" w:type="dxa"/>
              <w:bottom w:w="80" w:type="dxa"/>
              <w:right w:w="90" w:type="dxa"/>
            </w:tcMar>
          </w:tcPr>
          <w:p w14:paraId="6F7F96A5">
            <w:r>
              <w:rPr>
                <w:sz w:val="10"/>
              </w:rPr>
              <w:t>lambda weights</w:t>
            </w:r>
          </w:p>
        </w:tc>
        <w:tc>
          <w:tcPr>
            <w:tcW w:w="2010" w:type="dxa"/>
            <w:tcMar>
              <w:top w:w="80" w:type="dxa"/>
              <w:left w:w="90" w:type="dxa"/>
              <w:bottom w:w="80" w:type="dxa"/>
              <w:right w:w="90" w:type="dxa"/>
            </w:tcMar>
          </w:tcPr>
          <w:p w14:paraId="0BB9A1CA">
            <w:r>
              <w:rPr>
                <w:sz w:val="10"/>
              </w:rPr>
              <w:t>Canonical thermostatic backend</w:t>
            </w:r>
          </w:p>
        </w:tc>
      </w:tr>
    </w:tbl>
    <w:p w14:paraId="0882461F">
      <w:r>
        <w:rPr>
          <w:i/>
          <w:color w:val="555555"/>
          <w:sz w:val="18"/>
        </w:rPr>
        <w:t>Table 2. Surrogate architectures and calibration summary.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50"/>
        <w:gridCol w:w="4550"/>
        <w:gridCol w:w="3260"/>
      </w:tblGrid>
      <w:tr w14:paraId="71EE9A0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shd w:val="clear" w:color="auto" w:fill="EAF2F8"/>
            <w:tcMar>
              <w:top w:w="80" w:type="dxa"/>
              <w:left w:w="90" w:type="dxa"/>
              <w:bottom w:w="80" w:type="dxa"/>
              <w:right w:w="90" w:type="dxa"/>
            </w:tcMar>
          </w:tcPr>
          <w:p w14:paraId="041E301D">
            <w:r>
              <w:rPr>
                <w:b/>
                <w:sz w:val="11"/>
              </w:rPr>
              <w:t>Component</w:t>
            </w:r>
          </w:p>
        </w:tc>
        <w:tc>
          <w:tcPr>
            <w:tcW w:w="4550" w:type="dxa"/>
            <w:shd w:val="clear" w:color="auto" w:fill="EAF2F8"/>
            <w:tcMar>
              <w:top w:w="80" w:type="dxa"/>
              <w:left w:w="90" w:type="dxa"/>
              <w:bottom w:w="80" w:type="dxa"/>
              <w:right w:w="90" w:type="dxa"/>
            </w:tcMar>
          </w:tcPr>
          <w:p w14:paraId="5BF4CB8D">
            <w:r>
              <w:rPr>
                <w:b/>
                <w:sz w:val="11"/>
              </w:rPr>
              <w:t>Definition used in main experiments</w:t>
            </w:r>
          </w:p>
        </w:tc>
        <w:tc>
          <w:tcPr>
            <w:tcW w:w="3260" w:type="dxa"/>
            <w:shd w:val="clear" w:color="auto" w:fill="EAF2F8"/>
            <w:tcMar>
              <w:top w:w="80" w:type="dxa"/>
              <w:left w:w="90" w:type="dxa"/>
              <w:bottom w:w="80" w:type="dxa"/>
              <w:right w:w="90" w:type="dxa"/>
            </w:tcMar>
          </w:tcPr>
          <w:p w14:paraId="1EA06D30">
            <w:r>
              <w:rPr>
                <w:b/>
                <w:sz w:val="11"/>
              </w:rPr>
              <w:t>Why it matters</w:t>
            </w:r>
          </w:p>
        </w:tc>
      </w:tr>
      <w:tr w14:paraId="114CDDC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5D3DFF07">
            <w:r>
              <w:rPr>
                <w:sz w:val="11"/>
              </w:rPr>
              <w:t>Observation</w:t>
            </w:r>
          </w:p>
        </w:tc>
        <w:tc>
          <w:tcPr>
            <w:tcW w:w="4550" w:type="dxa"/>
            <w:tcMar>
              <w:top w:w="80" w:type="dxa"/>
              <w:left w:w="90" w:type="dxa"/>
              <w:bottom w:w="80" w:type="dxa"/>
              <w:right w:w="90" w:type="dxa"/>
            </w:tcMar>
          </w:tcPr>
          <w:p w14:paraId="55ECC657">
            <w:r>
              <w:rPr>
                <w:sz w:val="11"/>
              </w:rPr>
              <w:t>17D TSup-style state: physical variables, cyclic time, ambient forecast, previous action/history</w:t>
            </w:r>
          </w:p>
        </w:tc>
        <w:tc>
          <w:tcPr>
            <w:tcW w:w="3260" w:type="dxa"/>
            <w:tcMar>
              <w:top w:w="80" w:type="dxa"/>
              <w:left w:w="90" w:type="dxa"/>
              <w:bottom w:w="80" w:type="dxa"/>
              <w:right w:w="90" w:type="dxa"/>
            </w:tcMar>
          </w:tcPr>
          <w:p w14:paraId="60478E58">
            <w:r>
              <w:rPr>
                <w:sz w:val="11"/>
              </w:rPr>
              <w:t>MORL 5D failed; 17D recovers usable preference-conditioned control.</w:t>
            </w:r>
          </w:p>
        </w:tc>
      </w:tr>
      <w:tr w14:paraId="7ED9530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2989B05">
            <w:r>
              <w:rPr>
                <w:sz w:val="11"/>
              </w:rPr>
              <w:t>Action</w:t>
            </w:r>
          </w:p>
        </w:tc>
        <w:tc>
          <w:tcPr>
            <w:tcW w:w="4550" w:type="dxa"/>
            <w:tcMar>
              <w:top w:w="80" w:type="dxa"/>
              <w:left w:w="90" w:type="dxa"/>
              <w:bottom w:w="80" w:type="dxa"/>
              <w:right w:w="90" w:type="dxa"/>
            </w:tcMar>
          </w:tcPr>
          <w:p w14:paraId="42258D09">
            <w:r>
              <w:rPr>
                <w:sz w:val="11"/>
              </w:rPr>
              <w:t>Continuous normalized action mapped to supply-temperature command 18-35 C plus fan/intensity channel</w:t>
            </w:r>
          </w:p>
        </w:tc>
        <w:tc>
          <w:tcPr>
            <w:tcW w:w="3260" w:type="dxa"/>
            <w:tcMar>
              <w:top w:w="80" w:type="dxa"/>
              <w:left w:w="90" w:type="dxa"/>
              <w:bottom w:w="80" w:type="dxa"/>
              <w:right w:w="90" w:type="dxa"/>
            </w:tcMar>
          </w:tcPr>
          <w:p w14:paraId="6AAF2B3D">
            <w:r>
              <w:rPr>
                <w:sz w:val="11"/>
              </w:rPr>
              <w:t>Keeps controller compatible with bestest_air source testcase.</w:t>
            </w:r>
          </w:p>
        </w:tc>
      </w:tr>
      <w:tr w14:paraId="1AF3F9B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C9CAF82">
            <w:r>
              <w:rPr>
                <w:sz w:val="11"/>
              </w:rPr>
              <w:t>Reward</w:t>
            </w:r>
          </w:p>
        </w:tc>
        <w:tc>
          <w:tcPr>
            <w:tcW w:w="4550" w:type="dxa"/>
            <w:tcMar>
              <w:top w:w="80" w:type="dxa"/>
              <w:left w:w="90" w:type="dxa"/>
              <w:bottom w:w="80" w:type="dxa"/>
              <w:right w:w="90" w:type="dxa"/>
            </w:tcMar>
          </w:tcPr>
          <w:p w14:paraId="015779B3">
            <w:r>
              <w:rPr>
                <w:sz w:val="11"/>
              </w:rPr>
              <w:t>Comfort + energy + smoothness; MORL scalarizes comfort/energy/safety weights</w:t>
            </w:r>
          </w:p>
        </w:tc>
        <w:tc>
          <w:tcPr>
            <w:tcW w:w="3260" w:type="dxa"/>
            <w:tcMar>
              <w:top w:w="80" w:type="dxa"/>
              <w:left w:w="90" w:type="dxa"/>
              <w:bottom w:w="80" w:type="dxa"/>
              <w:right w:w="90" w:type="dxa"/>
            </w:tcMar>
          </w:tcPr>
          <w:p w14:paraId="7CBAEF3F">
            <w:r>
              <w:rPr>
                <w:sz w:val="11"/>
              </w:rPr>
              <w:t>Separates thermostatic, HDRL, and MORL objectives.</w:t>
            </w:r>
          </w:p>
        </w:tc>
      </w:tr>
      <w:tr w14:paraId="6F635E6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C3B6FB">
            <w:r>
              <w:rPr>
                <w:sz w:val="11"/>
              </w:rPr>
              <w:t>Thermostatic PPO</w:t>
            </w:r>
          </w:p>
        </w:tc>
        <w:tc>
          <w:tcPr>
            <w:tcW w:w="4550" w:type="dxa"/>
            <w:tcMar>
              <w:top w:w="80" w:type="dxa"/>
              <w:left w:w="90" w:type="dxa"/>
              <w:bottom w:w="80" w:type="dxa"/>
              <w:right w:w="90" w:type="dxa"/>
            </w:tcMar>
          </w:tcPr>
          <w:p w14:paraId="4BF0A418">
            <w:r>
              <w:rPr>
                <w:sz w:val="11"/>
              </w:rPr>
              <w:t>PPO final-policy live BOPTEST evaluation; lambda_temp sweep</w:t>
            </w:r>
          </w:p>
        </w:tc>
        <w:tc>
          <w:tcPr>
            <w:tcW w:w="3260" w:type="dxa"/>
            <w:tcMar>
              <w:top w:w="80" w:type="dxa"/>
              <w:left w:w="90" w:type="dxa"/>
              <w:bottom w:w="80" w:type="dxa"/>
              <w:right w:w="90" w:type="dxa"/>
            </w:tcMar>
          </w:tcPr>
          <w:p w14:paraId="79886C06">
            <w:r>
              <w:rPr>
                <w:sz w:val="11"/>
              </w:rPr>
              <w:t>Primary positive hybrid result.</w:t>
            </w:r>
          </w:p>
        </w:tc>
      </w:tr>
      <w:tr w14:paraId="7FA0942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6EC5F4">
            <w:r>
              <w:rPr>
                <w:sz w:val="11"/>
              </w:rPr>
              <w:t>HDRL</w:t>
            </w:r>
          </w:p>
        </w:tc>
        <w:tc>
          <w:tcPr>
            <w:tcW w:w="4550" w:type="dxa"/>
            <w:tcMar>
              <w:top w:w="80" w:type="dxa"/>
              <w:left w:w="90" w:type="dxa"/>
              <w:bottom w:w="80" w:type="dxa"/>
              <w:right w:w="90" w:type="dxa"/>
            </w:tcMar>
          </w:tcPr>
          <w:p w14:paraId="52A1A7BE">
            <w:r>
              <w:rPr>
                <w:sz w:val="11"/>
              </w:rPr>
              <w:t>Hierarchical PPO variant; lambda_temp sweep</w:t>
            </w:r>
          </w:p>
        </w:tc>
        <w:tc>
          <w:tcPr>
            <w:tcW w:w="3260" w:type="dxa"/>
            <w:tcMar>
              <w:top w:w="80" w:type="dxa"/>
              <w:left w:w="90" w:type="dxa"/>
              <w:bottom w:w="80" w:type="dxa"/>
              <w:right w:w="90" w:type="dxa"/>
            </w:tcMar>
          </w:tcPr>
          <w:p w14:paraId="725FA6A0">
            <w:r>
              <w:rPr>
                <w:sz w:val="11"/>
              </w:rPr>
              <w:t>Tests controller-family specificity.</w:t>
            </w:r>
          </w:p>
        </w:tc>
      </w:tr>
      <w:tr w14:paraId="052927C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7E5FA1B0">
            <w:r>
              <w:rPr>
                <w:sz w:val="11"/>
              </w:rPr>
              <w:t>MORL</w:t>
            </w:r>
          </w:p>
        </w:tc>
        <w:tc>
          <w:tcPr>
            <w:tcW w:w="4550" w:type="dxa"/>
            <w:tcMar>
              <w:top w:w="80" w:type="dxa"/>
              <w:left w:w="90" w:type="dxa"/>
              <w:bottom w:w="80" w:type="dxa"/>
              <w:right w:w="90" w:type="dxa"/>
            </w:tcMar>
          </w:tcPr>
          <w:p w14:paraId="039DB08B">
            <w:r>
              <w:rPr>
                <w:sz w:val="11"/>
              </w:rPr>
              <w:t>Preference-conditioned pretrain/finetune; canonical N=5 seeds</w:t>
            </w:r>
          </w:p>
        </w:tc>
        <w:tc>
          <w:tcPr>
            <w:tcW w:w="3260" w:type="dxa"/>
            <w:tcMar>
              <w:top w:w="80" w:type="dxa"/>
              <w:left w:w="90" w:type="dxa"/>
              <w:bottom w:w="80" w:type="dxa"/>
              <w:right w:w="90" w:type="dxa"/>
            </w:tcMar>
          </w:tcPr>
          <w:p w14:paraId="7EAE2EA0">
            <w:r>
              <w:rPr>
                <w:sz w:val="11"/>
              </w:rPr>
              <w:t>Tests Pareto trade-offs and seed variance.</w:t>
            </w:r>
          </w:p>
        </w:tc>
      </w:tr>
    </w:tbl>
    <w:p w14:paraId="33DDAB76">
      <w:r>
        <w:rPr>
          <w:i/>
          <w:color w:val="555555"/>
          <w:sz w:val="18"/>
        </w:rPr>
        <w:t>Table 4. Controller training configuration, observation/action interface, and reward definition.</w:t>
      </w:r>
    </w:p>
    <w:p w14:paraId="0FA6711D">
      <w:pPr>
        <w:pStyle w:val="3"/>
      </w:pPr>
      <w:r>
        <w:t>3.1 Problem formulation</w:t>
      </w:r>
    </w:p>
    <w:p w14:paraId="6B6A14AD">
      <w:r>
        <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
      </w:r>
    </w:p>
    <w:p w14:paraId="2D80C18A">
      <w:r>
        <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
      </w:r>
    </w:p>
    <w:p w14:paraId="7A039A3F">
      <w:r>
        <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
      </w:r>
    </w:p>
    <w:p w14:paraId="166DF5DD">
      <w:r>
        <w:rPr>
          <w:i/>
        </w:rPr>
        <w:t>r_t = r_track(T_zone) + r_smooth(a_t-a_{t-1}) + r_power(P_t) - lambda_temp ||T_v3 - T_v3.5||^2 - lambda_power ||P_v3 - P_v3.5||^2</w:t>
      </w:r>
    </w:p>
    <w:p w14:paraId="28FB4838">
      <w:r>
        <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
      </w:r>
    </w:p>
    <w:p w14:paraId="5D264966">
      <w:pPr>
        <w:pStyle w:val="3"/>
      </w:pPr>
      <w:r>
        <w:t>3.2 Surrogate roles and model variants</w:t>
      </w:r>
    </w:p>
    <w:p w14:paraId="57BF31F5">
      <w:pPr>
        <w:jc w:val="center"/>
      </w:pPr>
      <w:r>
        <w:drawing>
          <wp:inline distT="0" distB="0" distL="0" distR="0">
            <wp:extent cx="6126480" cy="2651760"/>
            <wp:effectExtent l="0" t="0" r="0" b="0"/>
            <wp:docPr id="2" name="q1eng_fig02"/>
            <wp:cNvGraphicFramePr/>
            <a:graphic xmlns:a="http://schemas.openxmlformats.org/drawingml/2006/main">
              <a:graphicData uri="http://schemas.openxmlformats.org/drawingml/2006/picture">
                <pic:pic xmlns:pic="http://schemas.openxmlformats.org/drawingml/2006/picture">
                  <pic:nvPicPr>
                    <pic:cNvPr id="2" name="q1eng_fig02"/>
                    <pic:cNvPicPr/>
                  </pic:nvPicPr>
                  <pic:blipFill>
                    <a:blip r:embed="rId7"/>
                    <a:stretch>
                      <a:fillRect/>
                    </a:stretch>
                  </pic:blipFill>
                  <pic:spPr>
                    <a:xfrm>
                      <a:off x="0" y="0"/>
                      <a:ext cx="6126480" cy="2651760"/>
                    </a:xfrm>
                    <a:prstGeom prst="rect">
                      <a:avLst/>
                    </a:prstGeom>
                  </pic:spPr>
                </pic:pic>
              </a:graphicData>
            </a:graphic>
          </wp:inline>
        </w:drawing>
      </w:r>
    </w:p>
    <w:p w14:paraId="12D5DF8C">
      <w:r>
        <w:rPr>
          <w:i/>
          <w:color w:val="555555"/>
          <w:sz w:val="18"/>
        </w:rPr>
        <w:t>Figure 2. v3 / v3.5 / hybrid backend architecture with tensor roles and parameter counts. v3 is the smooth dual-head rollout surrogate; v3.5 is the calibrated physics-informed twin; hybrid uses frozen-v3.5 disagreement as a soft physical censor.</w:t>
      </w:r>
    </w:p>
    <w:p w14:paraId="7874AFEA">
      <w:r>
        <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
      </w:r>
    </w:p>
    <w:p w14:paraId="62BC9862">
      <w:pPr>
        <w:pStyle w:val="3"/>
      </w:pPr>
      <w:r>
        <w:t>3.3 Control-oriented surrogate v3</w:t>
      </w:r>
    </w:p>
    <w:p w14:paraId="2BB051E9">
      <w:r>
        <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
      </w:r>
    </w:p>
    <w:p w14:paraId="0801CAF8">
      <w:r>
        <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
      </w:r>
    </w:p>
    <w:p w14:paraId="56EE4628">
      <w:pPr>
        <w:pStyle w:val="3"/>
      </w:pPr>
      <w:r>
        <w:t>3.4 Physically informed surrogate v3.5 and Stage A/B/C calibration</w:t>
      </w:r>
    </w:p>
    <w:p w14:paraId="4000351B">
      <w:r>
        <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
      </w:r>
    </w:p>
    <w:p w14:paraId="27FC194F">
      <w:r>
        <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
      </w:r>
    </w:p>
    <w:p w14:paraId="0FA7EA17">
      <w:pPr>
        <w:pStyle w:val="3"/>
      </w:pPr>
      <w:r>
        <w:t>3.5 Hybrid backend and loss coupling</w:t>
      </w:r>
    </w:p>
    <w:p w14:paraId="0DC630A4">
      <w:r>
        <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
      </w:r>
    </w:p>
    <w:p w14:paraId="3A21B8A4">
      <w:r>
        <w:rPr>
          <w:i/>
        </w:rPr>
        <w:t>L_total = L_PPO + lambda_temp ||T_v3 - T_v3.5||^2 + lambda_power ||P_v3 - P_v3.5||^2</w:t>
      </w:r>
    </w:p>
    <w:p w14:paraId="57B09244">
      <w:r>
        <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
      </w:r>
    </w:p>
    <w:p w14:paraId="787BE546">
      <w:pPr>
        <w:pStyle w:val="3"/>
      </w:pPr>
      <w:r>
        <w:t>3.6 Controller families</w:t>
      </w:r>
    </w:p>
    <w:p w14:paraId="672337C9">
      <w:r>
        <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
      </w:r>
    </w:p>
    <w:p w14:paraId="19FB6C02">
      <w:pPr>
        <w:pStyle w:val="3"/>
      </w:pPr>
      <w:r>
        <w:t>3.7 Transferability methodology</w:t>
      </w:r>
    </w:p>
    <w:p w14:paraId="2E3BF2EF">
      <w:r>
        <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
      </w:r>
    </w:p>
    <w:p w14:paraId="04AE3CFB">
      <w:pPr>
        <w:pStyle w:val="2"/>
      </w:pPr>
      <w:r>
        <w:t>4. Experimental Setup</w:t>
      </w:r>
    </w:p>
    <w:p w14:paraId="7BF9C970">
      <w:pPr>
        <w:pStyle w:val="3"/>
      </w:pPr>
      <w:r>
        <w:t>4.1 Testbeds and serving layer</w:t>
      </w:r>
    </w:p>
    <w:p w14:paraId="30A2F298">
      <w:r>
        <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
      </w:r>
    </w:p>
    <w:p w14:paraId="45CF4E2B">
      <w:pPr>
        <w:pStyle w:val="3"/>
      </w:pPr>
      <w:r>
        <w:t>4.2 Data generation and preprocessing</w:t>
      </w:r>
    </w:p>
    <w:p w14:paraId="14C42C6C">
      <w:r>
        <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
      </w:r>
    </w:p>
    <w:p w14:paraId="2F586765">
      <w:r>
        <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
      </w:r>
    </w:p>
    <w:p w14:paraId="13FADEBA">
      <w:pPr>
        <w:pStyle w:val="3"/>
      </w:pPr>
      <w:r>
        <w:t>4.3 Training and calibration workflow</w:t>
      </w:r>
    </w:p>
    <w:p w14:paraId="4D0E43F4">
      <w:r>
        <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
      </w:r>
    </w:p>
    <w:p w14:paraId="0F909FC0">
      <w:r>
        <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
      </w:r>
    </w:p>
    <w:p w14:paraId="0ADC9A44">
      <w:pPr>
        <w:pStyle w:val="3"/>
      </w:pPr>
      <w:r>
        <w:t>4.4 Runtime characteristics</w:t>
      </w:r>
    </w:p>
    <w:p w14:paraId="03A228F4">
      <w:r>
        <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
      </w:r>
    </w:p>
    <w:p w14:paraId="3CCEDD54">
      <w:pPr>
        <w:pStyle w:val="3"/>
      </w:pPr>
      <w:r>
        <w:t>4.5 Evaluation protocol and metrics</w:t>
      </w:r>
    </w:p>
    <w:p w14:paraId="4A70E458">
      <w:r>
        <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
      </w:r>
    </w:p>
    <w:p w14:paraId="07B0D416">
      <w:r>
        <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
      </w:r>
    </w:p>
    <w:p w14:paraId="68594B53">
      <w:pPr>
        <w:pStyle w:val="4"/>
      </w:pPr>
      <w:r>
        <w:t>Evaluation horizons: per-window versus yearly</w:t>
      </w:r>
    </w:p>
    <w:p w14:paraId="66A0797C">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14:paraId="781218B3">
      <w:pPr>
        <w:pStyle w:val="3"/>
      </w:pPr>
      <w:r>
        <w:t>4.6 Statistical and audit protocol</w:t>
      </w:r>
    </w:p>
    <w:p w14:paraId="2475D0BA">
      <w:r>
        <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
      </w:r>
    </w:p>
    <w:p w14:paraId="28F84AEE">
      <w:r>
        <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
      </w:r>
    </w:p>
    <w:p w14:paraId="62E34DF3">
      <w:pPr>
        <w:pStyle w:val="3"/>
      </w:pPr>
      <w:r>
        <w:t>4.7 Reproducibility and audit trail</w:t>
      </w:r>
    </w:p>
    <w:p w14:paraId="4FDB0890">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14:paraId="6F58B0B6">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14:paraId="3050F5E6">
      <w:pPr>
        <w:pStyle w:val="2"/>
      </w:pPr>
      <w:r>
        <w:t>5. Results I: Digital Twin Fidelity</w:t>
      </w:r>
    </w:p>
    <w:p w14:paraId="2F6E102C">
      <w:pPr>
        <w:pStyle w:val="3"/>
      </w:pPr>
      <w:r>
        <w:t>5.1 Block 1 objective and evidence boundary</w:t>
      </w:r>
    </w:p>
    <w:p w14:paraId="4637F462">
      <w:r>
        <w:t>Block 1 asks whether a higher-fidelity digital twin is also a better reinforcement-learning training environment. The answer is deliberately split. The physically informed v3.5 twin is the stronger predictor after Stage A/B/C inverse calibration, but direct PPO training on that twin is not the strongest live controller. This distinction is the first central result of the paper: predictive validity and RL utility are related but not interchangeable properties.</w:t>
      </w:r>
    </w:p>
    <w:p w14:paraId="4D467F88">
      <w:r>
        <w:t>The control-oriented v3 surrogate is a compact dual-head model with separate temperature-increment and HVAC-power heads. Its purpose is not to be the most accurate 24-hour predictor; its purpose is to provide smooth, fast rollout dynamics for policy optimization. The calibrated v3.5 model, by contrast, is a physically informed RC-NeuralODE twin whose Stage B parameter is explicitly interpretable as the zone capacitance C_zon.</w:t>
      </w:r>
      <w:bookmarkStart w:id="0" w:name="_GoBack"/>
      <w:bookmarkEnd w:id="0"/>
    </w:p>
    <w:p w14:paraId="1C4CF847">
      <w:pPr>
        <w:pStyle w:val="3"/>
      </w:pPr>
      <w:r>
        <w:t>5.2 Stage A/B/C calibration result</w:t>
      </w:r>
    </w:p>
    <w:p w14:paraId="639F6FBA">
      <w:pPr>
        <w:jc w:val="center"/>
      </w:pPr>
      <w:r>
        <w:drawing>
          <wp:inline distT="0" distB="0" distL="0" distR="0">
            <wp:extent cx="5852160" cy="2834640"/>
            <wp:effectExtent l="0" t="0" r="0" b="0"/>
            <wp:docPr id="3" name="q1eng_fig03"/>
            <wp:cNvGraphicFramePr/>
            <a:graphic xmlns:a="http://schemas.openxmlformats.org/drawingml/2006/main">
              <a:graphicData uri="http://schemas.openxmlformats.org/drawingml/2006/picture">
                <pic:pic xmlns:pic="http://schemas.openxmlformats.org/drawingml/2006/picture">
                  <pic:nvPicPr>
                    <pic:cNvPr id="3" name="q1eng_fig03"/>
                    <pic:cNvPicPr/>
                  </pic:nvPicPr>
                  <pic:blipFill>
                    <a:blip r:embed="rId8"/>
                    <a:stretch>
                      <a:fillRect/>
                    </a:stretch>
                  </pic:blipFill>
                  <pic:spPr>
                    <a:xfrm>
                      <a:off x="0" y="0"/>
                      <a:ext cx="5852160" cy="2834640"/>
                    </a:xfrm>
                    <a:prstGeom prst="rect">
                      <a:avLst/>
                    </a:prstGeom>
                  </pic:spPr>
                </pic:pic>
              </a:graphicData>
            </a:graphic>
          </wp:inline>
        </w:drawing>
      </w:r>
    </w:p>
    <w:p w14:paraId="08FBC7E9">
      <w:r>
        <w:rPr>
          <w:i/>
          <w:color w:val="555555"/>
          <w:sz w:val="18"/>
        </w:rPr>
        <w:t>Figure 3. Multi-horizon rollout RMSE curves. Real horizon_metrics.csv artifacts show how recursive temperature error accumulates from 1h to 24h for v3, raw v3.5, and calibrated v3.5.</w:t>
      </w:r>
    </w:p>
    <w:p>
      <w:r>
        <w:t>The quantitative Block 1 conclusion is therefore two-level. First, calibrated v3.5 is the best predictive twin: its 24 h rollout RMSE_T is 0.644 C, compared with 1.466 C for raw v3.5 and 1.557 C for the legacy v3 reference. The improvement is not confined to one-step alignment; it persists under recursive multi-horizon rollout, which is the relevant regime for controller training and validation.</w:t>
      </w:r>
    </w:p>
    <w:p>
      <w:r>
        <w:t>Second, the raw physical architecture alone is not sufficient. Raw v3.5 remains close to the legacy v3 24 h error before inverse calibration, so the observed improvement must be attributed to the Stage A/B/C identification process rather than to adding a physics-inspired network topology by itself.</w:t>
      </w:r>
    </w:p>
    <w:p w14:paraId="2F83DF9B">
      <w:pPr>
        <w:jc w:val="center"/>
      </w:pPr>
      <w:r>
        <w:drawing>
          <wp:inline distT="0" distB="0" distL="0" distR="0">
            <wp:extent cx="6126480" cy="2560320"/>
            <wp:effectExtent l="0" t="0" r="0" b="0"/>
            <wp:docPr id="4" name="q1eng_fig04"/>
            <wp:cNvGraphicFramePr/>
            <a:graphic xmlns:a="http://schemas.openxmlformats.org/drawingml/2006/main">
              <a:graphicData uri="http://schemas.openxmlformats.org/drawingml/2006/picture">
                <pic:pic xmlns:pic="http://schemas.openxmlformats.org/drawingml/2006/picture">
                  <pic:nvPicPr>
                    <pic:cNvPr id="4" name="q1eng_fig04"/>
                    <pic:cNvPicPr/>
                  </pic:nvPicPr>
                  <pic:blipFill>
                    <a:blip r:embed="rId9"/>
                    <a:stretch>
                      <a:fillRect/>
                    </a:stretch>
                  </pic:blipFill>
                  <pic:spPr>
                    <a:xfrm>
                      <a:off x="0" y="0"/>
                      <a:ext cx="6126480" cy="2560320"/>
                    </a:xfrm>
                    <a:prstGeom prst="rect">
                      <a:avLst/>
                    </a:prstGeom>
                  </pic:spPr>
                </pic:pic>
              </a:graphicData>
            </a:graphic>
          </wp:inline>
        </w:drawing>
      </w:r>
    </w:p>
    <w:p w14:paraId="1870D762">
      <w:r>
        <w:rPr>
          <w:i/>
          <w:color w:val="555555"/>
          <w:sz w:val="18"/>
        </w:rPr>
        <w:t>Figure 4. Residual distribution and absolute-error CDF. The figure reports bias, spread, P95 absolute error, and engineering tolerance thresholds at 0.5, 1.0, and 1.5 °C.</w:t>
      </w:r>
    </w:p>
    <w:p w14:paraId="47311735">
      <w:pPr>
        <w:jc w:val="center"/>
      </w:pPr>
      <w:r>
        <w:drawing>
          <wp:inline distT="0" distB="0" distL="0" distR="0">
            <wp:extent cx="5852160" cy="2926080"/>
            <wp:effectExtent l="0" t="0" r="0" b="0"/>
            <wp:docPr id="5" name="q1eng_fig05"/>
            <wp:cNvGraphicFramePr/>
            <a:graphic xmlns:a="http://schemas.openxmlformats.org/drawingml/2006/main">
              <a:graphicData uri="http://schemas.openxmlformats.org/drawingml/2006/picture">
                <pic:pic xmlns:pic="http://schemas.openxmlformats.org/drawingml/2006/picture">
                  <pic:nvPicPr>
                    <pic:cNvPr id="5" name="q1eng_fig05"/>
                    <pic:cNvPicPr/>
                  </pic:nvPicPr>
                  <pic:blipFill>
                    <a:blip r:embed="rId10"/>
                    <a:stretch>
                      <a:fillRect/>
                    </a:stretch>
                  </pic:blipFill>
                  <pic:spPr>
                    <a:xfrm>
                      <a:off x="0" y="0"/>
                      <a:ext cx="5852160" cy="2926080"/>
                    </a:xfrm>
                    <a:prstGeom prst="rect">
                      <a:avLst/>
                    </a:prstGeom>
                  </pic:spPr>
                </pic:pic>
              </a:graphicData>
            </a:graphic>
          </wp:inline>
        </w:drawing>
      </w:r>
    </w:p>
    <w:p w14:paraId="5259A366">
      <w:r>
        <w:rPr>
          <w:i/>
          <w:color w:val="555555"/>
          <w:sz w:val="18"/>
        </w:rPr>
        <w:t>Figure 5. C_zon Stage-B identification and Stage-C residual-head diagnostics. The Stage-B trajectory documents physical-parameter convergence rather than manual tuning.</w:t>
      </w:r>
    </w:p>
    <w:p w14:paraId="79C3FAD5">
      <w:r>
        <w:t>The calibrated v3.5 twin improves one-step and recursive temperature prediction while retaining physical interpretability. Stage B moves the capacitance from the 4.200e5 J/K prior to 4.413e5 J/K, a +5.1% update that is large enough to show data-driven identification but small enough to remain physically plausible. Stage C then reduces the temperature residual and the power-head error without moving the identified capacitance.</w:t>
      </w:r>
    </w:p>
    <w:p>
      <w:r>
        <w:t>Stage B used an excitation-filtered subset of the telemetry rather than all quasi-steady samples. Only the top-excitation rows were used for C_zon identification (403 of 8058 training rows), which prevents steady operating points from dominating a parameter that is identifiable primarily during transients. This filtering is important for interpreting C_zon as a physical parameter rather than as a residual fitting knob.</w:t>
      </w:r>
    </w:p>
    <w:p>
      <w:r>
        <w:t>The final C_zon = 4.413e5 J/K is only 5.1% above the 4.200e5 J/K prior. This is the desired magnitude of update: large enough to show that the data modify the prior, but small enough to remain physically plausible and to avoid the appearance of unconstrained parameter fitting.</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700"/>
        <w:gridCol w:w="1800"/>
        <w:gridCol w:w="1800"/>
        <w:gridCol w:w="1400"/>
        <w:gridCol w:w="2660"/>
      </w:tblGrid>
      <w:tr w14:paraId="692ADA4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shd w:val="clear" w:color="auto" w:fill="EAF2F8"/>
            <w:tcMar>
              <w:top w:w="80" w:type="dxa"/>
              <w:left w:w="90" w:type="dxa"/>
              <w:bottom w:w="80" w:type="dxa"/>
              <w:right w:w="90" w:type="dxa"/>
            </w:tcMar>
          </w:tcPr>
          <w:p w14:paraId="700A9D93">
            <w:r>
              <w:rPr>
                <w:b/>
                <w:sz w:val="11"/>
              </w:rPr>
              <w:t>Metric / variant</w:t>
            </w:r>
          </w:p>
        </w:tc>
        <w:tc>
          <w:tcPr>
            <w:tcW w:w="1800" w:type="dxa"/>
            <w:shd w:val="clear" w:color="auto" w:fill="EAF2F8"/>
            <w:tcMar>
              <w:top w:w="80" w:type="dxa"/>
              <w:left w:w="90" w:type="dxa"/>
              <w:bottom w:w="80" w:type="dxa"/>
              <w:right w:w="90" w:type="dxa"/>
            </w:tcMar>
          </w:tcPr>
          <w:p w14:paraId="39E81260">
            <w:r>
              <w:rPr>
                <w:b/>
                <w:sz w:val="11"/>
              </w:rPr>
              <w:t>Raw or baseline</w:t>
            </w:r>
          </w:p>
        </w:tc>
        <w:tc>
          <w:tcPr>
            <w:tcW w:w="1800" w:type="dxa"/>
            <w:shd w:val="clear" w:color="auto" w:fill="EAF2F8"/>
            <w:tcMar>
              <w:top w:w="80" w:type="dxa"/>
              <w:left w:w="90" w:type="dxa"/>
              <w:bottom w:w="80" w:type="dxa"/>
              <w:right w:w="90" w:type="dxa"/>
            </w:tcMar>
          </w:tcPr>
          <w:p w14:paraId="72EABF68">
            <w:r>
              <w:rPr>
                <w:b/>
                <w:sz w:val="11"/>
              </w:rPr>
              <w:t>Calibrated / matched</w:t>
            </w:r>
          </w:p>
        </w:tc>
        <w:tc>
          <w:tcPr>
            <w:tcW w:w="1400" w:type="dxa"/>
            <w:shd w:val="clear" w:color="auto" w:fill="EAF2F8"/>
            <w:tcMar>
              <w:top w:w="80" w:type="dxa"/>
              <w:left w:w="90" w:type="dxa"/>
              <w:bottom w:w="80" w:type="dxa"/>
              <w:right w:w="90" w:type="dxa"/>
            </w:tcMar>
          </w:tcPr>
          <w:p w14:paraId="3DD606E5">
            <w:r>
              <w:rPr>
                <w:b/>
                <w:sz w:val="11"/>
              </w:rPr>
              <w:t>Absolute change</w:t>
            </w:r>
          </w:p>
        </w:tc>
        <w:tc>
          <w:tcPr>
            <w:tcW w:w="2660" w:type="dxa"/>
            <w:shd w:val="clear" w:color="auto" w:fill="EAF2F8"/>
            <w:tcMar>
              <w:top w:w="80" w:type="dxa"/>
              <w:left w:w="90" w:type="dxa"/>
              <w:bottom w:w="80" w:type="dxa"/>
              <w:right w:w="90" w:type="dxa"/>
            </w:tcMar>
          </w:tcPr>
          <w:p w14:paraId="23E4A53D">
            <w:r>
              <w:rPr>
                <w:b/>
                <w:sz w:val="11"/>
              </w:rPr>
              <w:t>Relative / interpretation</w:t>
            </w:r>
          </w:p>
        </w:tc>
      </w:tr>
      <w:tr w14:paraId="1F328E5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13D58B2A">
            <w:r>
              <w:rPr>
                <w:sz w:val="11"/>
              </w:rPr>
              <w:t>1-step RMSE_T</w:t>
            </w:r>
          </w:p>
        </w:tc>
        <w:tc>
          <w:tcPr>
            <w:tcW w:w="1800" w:type="dxa"/>
            <w:tcMar>
              <w:top w:w="80" w:type="dxa"/>
              <w:left w:w="90" w:type="dxa"/>
              <w:bottom w:w="80" w:type="dxa"/>
              <w:right w:w="90" w:type="dxa"/>
            </w:tcMar>
          </w:tcPr>
          <w:p w14:paraId="4CC14100">
            <w:r>
              <w:rPr>
                <w:sz w:val="11"/>
              </w:rPr>
              <w:t>0.384 C</w:t>
            </w:r>
          </w:p>
        </w:tc>
        <w:tc>
          <w:tcPr>
            <w:tcW w:w="1800" w:type="dxa"/>
            <w:tcMar>
              <w:top w:w="80" w:type="dxa"/>
              <w:left w:w="90" w:type="dxa"/>
              <w:bottom w:w="80" w:type="dxa"/>
              <w:right w:w="90" w:type="dxa"/>
            </w:tcMar>
          </w:tcPr>
          <w:p w14:paraId="0376F795">
            <w:r>
              <w:rPr>
                <w:sz w:val="11"/>
              </w:rPr>
              <w:t>0.235 C</w:t>
            </w:r>
          </w:p>
        </w:tc>
        <w:tc>
          <w:tcPr>
            <w:tcW w:w="1400" w:type="dxa"/>
            <w:tcMar>
              <w:top w:w="80" w:type="dxa"/>
              <w:left w:w="90" w:type="dxa"/>
              <w:bottom w:w="80" w:type="dxa"/>
              <w:right w:w="90" w:type="dxa"/>
            </w:tcMar>
          </w:tcPr>
          <w:p w14:paraId="749EACE0">
            <w:r>
              <w:rPr>
                <w:sz w:val="11"/>
              </w:rPr>
              <w:t>-0.149 C</w:t>
            </w:r>
          </w:p>
        </w:tc>
        <w:tc>
          <w:tcPr>
            <w:tcW w:w="2660" w:type="dxa"/>
            <w:tcMar>
              <w:top w:w="80" w:type="dxa"/>
              <w:left w:w="90" w:type="dxa"/>
              <w:bottom w:w="80" w:type="dxa"/>
              <w:right w:w="90" w:type="dxa"/>
            </w:tcMar>
          </w:tcPr>
          <w:p w14:paraId="35DA0150">
            <w:r>
              <w:rPr>
                <w:sz w:val="11"/>
              </w:rPr>
              <w:t>-38.9% after Stage A/B/C</w:t>
            </w:r>
          </w:p>
        </w:tc>
      </w:tr>
      <w:tr w14:paraId="2DB2F46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5AF38B87">
            <w:r>
              <w:rPr>
                <w:sz w:val="11"/>
              </w:rPr>
              <w:t>24h rollout RMSE_T</w:t>
            </w:r>
          </w:p>
        </w:tc>
        <w:tc>
          <w:tcPr>
            <w:tcW w:w="1800" w:type="dxa"/>
            <w:tcMar>
              <w:top w:w="80" w:type="dxa"/>
              <w:left w:w="90" w:type="dxa"/>
              <w:bottom w:w="80" w:type="dxa"/>
              <w:right w:w="90" w:type="dxa"/>
            </w:tcMar>
          </w:tcPr>
          <w:p w14:paraId="43EEA5E6">
            <w:r>
              <w:rPr>
                <w:sz w:val="11"/>
              </w:rPr>
              <w:t>1.466 C raw v3.5</w:t>
            </w:r>
          </w:p>
        </w:tc>
        <w:tc>
          <w:tcPr>
            <w:tcW w:w="1800" w:type="dxa"/>
            <w:tcMar>
              <w:top w:w="80" w:type="dxa"/>
              <w:left w:w="90" w:type="dxa"/>
              <w:bottom w:w="80" w:type="dxa"/>
              <w:right w:w="90" w:type="dxa"/>
            </w:tcMar>
          </w:tcPr>
          <w:p w14:paraId="083C07DC">
            <w:r>
              <w:rPr>
                <w:sz w:val="11"/>
              </w:rPr>
              <w:t>0.644 C calibrated v3.5</w:t>
            </w:r>
          </w:p>
        </w:tc>
        <w:tc>
          <w:tcPr>
            <w:tcW w:w="1400" w:type="dxa"/>
            <w:tcMar>
              <w:top w:w="80" w:type="dxa"/>
              <w:left w:w="90" w:type="dxa"/>
              <w:bottom w:w="80" w:type="dxa"/>
              <w:right w:w="90" w:type="dxa"/>
            </w:tcMar>
          </w:tcPr>
          <w:p w14:paraId="31B5CE47">
            <w:r>
              <w:rPr>
                <w:sz w:val="11"/>
              </w:rPr>
              <w:t>-0.822 C</w:t>
            </w:r>
          </w:p>
        </w:tc>
        <w:tc>
          <w:tcPr>
            <w:tcW w:w="2660" w:type="dxa"/>
            <w:tcMar>
              <w:top w:w="80" w:type="dxa"/>
              <w:left w:w="90" w:type="dxa"/>
              <w:bottom w:w="80" w:type="dxa"/>
              <w:right w:w="90" w:type="dxa"/>
            </w:tcMar>
          </w:tcPr>
          <w:p w14:paraId="3DFA9B9E">
            <w:r>
              <w:rPr>
                <w:sz w:val="11"/>
              </w:rPr>
              <w:t>-56.1% within v3.5 family</w:t>
            </w:r>
          </w:p>
        </w:tc>
      </w:tr>
      <w:tr w14:paraId="6A5AED8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2F020F91">
            <w:r>
              <w:rPr>
                <w:sz w:val="11"/>
              </w:rPr>
              <w:t>Power MAE</w:t>
            </w:r>
          </w:p>
        </w:tc>
        <w:tc>
          <w:tcPr>
            <w:tcW w:w="1800" w:type="dxa"/>
            <w:tcMar>
              <w:top w:w="80" w:type="dxa"/>
              <w:left w:w="90" w:type="dxa"/>
              <w:bottom w:w="80" w:type="dxa"/>
              <w:right w:w="90" w:type="dxa"/>
            </w:tcMar>
          </w:tcPr>
          <w:p w14:paraId="1F94114A">
            <w:r>
              <w:rPr>
                <w:sz w:val="11"/>
              </w:rPr>
              <w:t>810 W</w:t>
            </w:r>
          </w:p>
        </w:tc>
        <w:tc>
          <w:tcPr>
            <w:tcW w:w="1800" w:type="dxa"/>
            <w:tcMar>
              <w:top w:w="80" w:type="dxa"/>
              <w:left w:w="90" w:type="dxa"/>
              <w:bottom w:w="80" w:type="dxa"/>
              <w:right w:w="90" w:type="dxa"/>
            </w:tcMar>
          </w:tcPr>
          <w:p w14:paraId="05BD9547">
            <w:r>
              <w:rPr>
                <w:sz w:val="11"/>
              </w:rPr>
              <w:t>482 W</w:t>
            </w:r>
          </w:p>
        </w:tc>
        <w:tc>
          <w:tcPr>
            <w:tcW w:w="1400" w:type="dxa"/>
            <w:tcMar>
              <w:top w:w="80" w:type="dxa"/>
              <w:left w:w="90" w:type="dxa"/>
              <w:bottom w:w="80" w:type="dxa"/>
              <w:right w:w="90" w:type="dxa"/>
            </w:tcMar>
          </w:tcPr>
          <w:p w14:paraId="3F41D4AE">
            <w:r>
              <w:rPr>
                <w:sz w:val="11"/>
              </w:rPr>
              <w:t>-328 W</w:t>
            </w:r>
          </w:p>
        </w:tc>
        <w:tc>
          <w:tcPr>
            <w:tcW w:w="2660" w:type="dxa"/>
            <w:tcMar>
              <w:top w:w="80" w:type="dxa"/>
              <w:left w:w="90" w:type="dxa"/>
              <w:bottom w:w="80" w:type="dxa"/>
              <w:right w:w="90" w:type="dxa"/>
            </w:tcMar>
          </w:tcPr>
          <w:p w14:paraId="0DFA257B">
            <w:r>
              <w:rPr>
                <w:sz w:val="11"/>
              </w:rPr>
              <w:t>-40.5% after power-head refinement</w:t>
            </w:r>
          </w:p>
        </w:tc>
      </w:tr>
      <w:tr w14:paraId="342293C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776B8910">
            <w:r>
              <w:rPr>
                <w:sz w:val="11"/>
              </w:rPr>
              <w:t>C_zon</w:t>
            </w:r>
          </w:p>
        </w:tc>
        <w:tc>
          <w:tcPr>
            <w:tcW w:w="1800" w:type="dxa"/>
            <w:tcMar>
              <w:top w:w="80" w:type="dxa"/>
              <w:left w:w="90" w:type="dxa"/>
              <w:bottom w:w="80" w:type="dxa"/>
              <w:right w:w="90" w:type="dxa"/>
            </w:tcMar>
          </w:tcPr>
          <w:p w14:paraId="5FC63AED">
            <w:r>
              <w:rPr>
                <w:sz w:val="11"/>
              </w:rPr>
              <w:t>4.200e5 J/K prior</w:t>
            </w:r>
          </w:p>
        </w:tc>
        <w:tc>
          <w:tcPr>
            <w:tcW w:w="1800" w:type="dxa"/>
            <w:tcMar>
              <w:top w:w="80" w:type="dxa"/>
              <w:left w:w="90" w:type="dxa"/>
              <w:bottom w:w="80" w:type="dxa"/>
              <w:right w:w="90" w:type="dxa"/>
            </w:tcMar>
          </w:tcPr>
          <w:p w14:paraId="42C74BD2">
            <w:r>
              <w:rPr>
                <w:sz w:val="11"/>
              </w:rPr>
              <w:t>4.413e5 J/K</w:t>
            </w:r>
          </w:p>
        </w:tc>
        <w:tc>
          <w:tcPr>
            <w:tcW w:w="1400" w:type="dxa"/>
            <w:tcMar>
              <w:top w:w="80" w:type="dxa"/>
              <w:left w:w="90" w:type="dxa"/>
              <w:bottom w:w="80" w:type="dxa"/>
              <w:right w:w="90" w:type="dxa"/>
            </w:tcMar>
          </w:tcPr>
          <w:p w14:paraId="336F0238">
            <w:r>
              <w:rPr>
                <w:sz w:val="11"/>
              </w:rPr>
              <w:t>+2.13e4 J/K</w:t>
            </w:r>
          </w:p>
        </w:tc>
        <w:tc>
          <w:tcPr>
            <w:tcW w:w="2660" w:type="dxa"/>
            <w:tcMar>
              <w:top w:w="80" w:type="dxa"/>
              <w:left w:w="90" w:type="dxa"/>
              <w:bottom w:w="80" w:type="dxa"/>
              <w:right w:w="90" w:type="dxa"/>
            </w:tcMar>
          </w:tcPr>
          <w:p w14:paraId="47DB6A1E">
            <w:r>
              <w:rPr>
                <w:sz w:val="11"/>
              </w:rPr>
              <w:t>+5.1%; physically plausible update</w:t>
            </w:r>
          </w:p>
        </w:tc>
      </w:tr>
      <w:tr w14:paraId="28DC8F4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30E5FCFC">
            <w:r>
              <w:rPr>
                <w:sz w:val="11"/>
              </w:rPr>
              <w:t>v3 hourly</w:t>
            </w:r>
          </w:p>
        </w:tc>
        <w:tc>
          <w:tcPr>
            <w:tcW w:w="1800" w:type="dxa"/>
            <w:tcMar>
              <w:top w:w="80" w:type="dxa"/>
              <w:left w:w="90" w:type="dxa"/>
              <w:bottom w:w="80" w:type="dxa"/>
              <w:right w:w="90" w:type="dxa"/>
            </w:tcMar>
          </w:tcPr>
          <w:p w14:paraId="687170FD">
            <w:r>
              <w:rPr>
                <w:sz w:val="11"/>
              </w:rPr>
              <w:t>1.557 C</w:t>
            </w:r>
          </w:p>
        </w:tc>
        <w:tc>
          <w:tcPr>
            <w:tcW w:w="1800" w:type="dxa"/>
            <w:tcMar>
              <w:top w:w="80" w:type="dxa"/>
              <w:left w:w="90" w:type="dxa"/>
              <w:bottom w:w="80" w:type="dxa"/>
              <w:right w:w="90" w:type="dxa"/>
            </w:tcMar>
          </w:tcPr>
          <w:p w14:paraId="44A0B921">
            <w:r>
              <w:rPr>
                <w:sz w:val="11"/>
              </w:rPr>
              <w:t>0.876 C v3 15-min</w:t>
            </w:r>
          </w:p>
        </w:tc>
        <w:tc>
          <w:tcPr>
            <w:tcW w:w="1400" w:type="dxa"/>
            <w:tcMar>
              <w:top w:w="80" w:type="dxa"/>
              <w:left w:w="90" w:type="dxa"/>
              <w:bottom w:w="80" w:type="dxa"/>
              <w:right w:w="90" w:type="dxa"/>
            </w:tcMar>
          </w:tcPr>
          <w:p w14:paraId="7E92EB5B">
            <w:r>
              <w:rPr>
                <w:sz w:val="11"/>
              </w:rPr>
              <w:t>-0.681 C</w:t>
            </w:r>
          </w:p>
        </w:tc>
        <w:tc>
          <w:tcPr>
            <w:tcW w:w="2660" w:type="dxa"/>
            <w:tcMar>
              <w:top w:w="80" w:type="dxa"/>
              <w:left w:w="90" w:type="dxa"/>
              <w:bottom w:w="80" w:type="dxa"/>
              <w:right w:w="90" w:type="dxa"/>
            </w:tcMar>
          </w:tcPr>
          <w:p w14:paraId="6BA1687C">
            <w:r>
              <w:rPr>
                <w:sz w:val="11"/>
              </w:rPr>
              <w:t>74.6% of v3-to-v3.5 gap is corpus shift</w:t>
            </w:r>
          </w:p>
        </w:tc>
      </w:tr>
      <w:tr w14:paraId="6A89BF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6BBC651E">
            <w:r>
              <w:rPr>
                <w:sz w:val="11"/>
              </w:rPr>
              <w:t>v3 15-min to v3.5</w:t>
            </w:r>
          </w:p>
        </w:tc>
        <w:tc>
          <w:tcPr>
            <w:tcW w:w="1800" w:type="dxa"/>
            <w:tcMar>
              <w:top w:w="80" w:type="dxa"/>
              <w:left w:w="90" w:type="dxa"/>
              <w:bottom w:w="80" w:type="dxa"/>
              <w:right w:w="90" w:type="dxa"/>
            </w:tcMar>
          </w:tcPr>
          <w:p w14:paraId="767BDE85">
            <w:r>
              <w:rPr>
                <w:sz w:val="11"/>
              </w:rPr>
              <w:t>0.876 C</w:t>
            </w:r>
          </w:p>
        </w:tc>
        <w:tc>
          <w:tcPr>
            <w:tcW w:w="1800" w:type="dxa"/>
            <w:tcMar>
              <w:top w:w="80" w:type="dxa"/>
              <w:left w:w="90" w:type="dxa"/>
              <w:bottom w:w="80" w:type="dxa"/>
              <w:right w:w="90" w:type="dxa"/>
            </w:tcMar>
          </w:tcPr>
          <w:p w14:paraId="5C916AB0">
            <w:r>
              <w:rPr>
                <w:sz w:val="11"/>
              </w:rPr>
              <w:t>0.644 C</w:t>
            </w:r>
          </w:p>
        </w:tc>
        <w:tc>
          <w:tcPr>
            <w:tcW w:w="1400" w:type="dxa"/>
            <w:tcMar>
              <w:top w:w="80" w:type="dxa"/>
              <w:left w:w="90" w:type="dxa"/>
              <w:bottom w:w="80" w:type="dxa"/>
              <w:right w:w="90" w:type="dxa"/>
            </w:tcMar>
          </w:tcPr>
          <w:p w14:paraId="258B8DD5">
            <w:r>
              <w:rPr>
                <w:sz w:val="11"/>
              </w:rPr>
              <w:t>-0.232 C</w:t>
            </w:r>
          </w:p>
        </w:tc>
        <w:tc>
          <w:tcPr>
            <w:tcW w:w="2660" w:type="dxa"/>
            <w:tcMar>
              <w:top w:w="80" w:type="dxa"/>
              <w:left w:w="90" w:type="dxa"/>
              <w:bottom w:w="80" w:type="dxa"/>
              <w:right w:w="90" w:type="dxa"/>
            </w:tcMar>
          </w:tcPr>
          <w:p w14:paraId="533C5A31">
            <w:r>
              <w:rPr>
                <w:sz w:val="11"/>
              </w:rPr>
              <w:t>25.4% of gap is Stage A/B/C calibration</w:t>
            </w:r>
          </w:p>
        </w:tc>
      </w:tr>
    </w:tbl>
    <w:p w14:paraId="4ABAF4EB">
      <w:r>
        <w:rPr>
          <w:i/>
          <w:color w:val="555555"/>
          <w:sz w:val="18"/>
        </w:rPr>
        <w:t>Table 3. Block 1 calibration and matched-corpus metrics. Full per-episode and residual diagnostics are in the supplementary material.</w:t>
      </w:r>
    </w:p>
    <w:p w14:paraId="3D70C998">
      <w:pPr>
        <w:pStyle w:val="3"/>
      </w:pPr>
      <w:r>
        <w:t>5.3 Matched-corpus decomposition</w:t>
      </w:r>
    </w:p>
    <w:p w14:paraId="0AEEFDB6">
      <w:pPr>
        <w:jc w:val="center"/>
      </w:pPr>
      <w:r>
        <w:drawing>
          <wp:inline distT="0" distB="0" distL="0" distR="0">
            <wp:extent cx="5669280" cy="2743200"/>
            <wp:effectExtent l="0" t="0" r="0" b="0"/>
            <wp:docPr id="6" name="q1eng_fig06"/>
            <wp:cNvGraphicFramePr/>
            <a:graphic xmlns:a="http://schemas.openxmlformats.org/drawingml/2006/main">
              <a:graphicData uri="http://schemas.openxmlformats.org/drawingml/2006/picture">
                <pic:pic xmlns:pic="http://schemas.openxmlformats.org/drawingml/2006/picture">
                  <pic:nvPicPr>
                    <pic:cNvPr id="6" name="q1eng_fig06"/>
                    <pic:cNvPicPr/>
                  </pic:nvPicPr>
                  <pic:blipFill>
                    <a:blip r:embed="rId11"/>
                    <a:stretch>
                      <a:fillRect/>
                    </a:stretch>
                  </pic:blipFill>
                  <pic:spPr>
                    <a:xfrm>
                      <a:off x="0" y="0"/>
                      <a:ext cx="5669280" cy="2743200"/>
                    </a:xfrm>
                    <a:prstGeom prst="rect">
                      <a:avLst/>
                    </a:prstGeom>
                  </pic:spPr>
                </pic:pic>
              </a:graphicData>
            </a:graphic>
          </wp:inline>
        </w:drawing>
      </w:r>
    </w:p>
    <w:p w14:paraId="51504EF9">
      <w:r>
        <w:rPr>
          <w:i/>
          <w:color w:val="555555"/>
          <w:sz w:val="18"/>
        </w:rPr>
        <w:t>Figure 6. Matched-corpus waterfall decomposition. The plot separates the 15-minute corpus contribution from the additional Stage A/B/C calibration contribution.</w:t>
      </w:r>
    </w:p>
    <w:p w14:paraId="6DC33E04">
      <w:r>
        <w:t>A direct v3-versus-v3.5 comparison would be misleading because the active v3.5 pipeline uses a 15-minute corpus while the legacy v3 benchmark was originally trained on an hourly workflow. The matched-corpus check resolves this confound. Most of the v3-to-v3.5 24-hour RMSE gain is explained by the data-resolution shift, while the remaining gain is attributable to Stage A/B/C calibration. This is reported as a reviewer-facing mitigation rather than hidden in the supplement.</w:t>
      </w:r>
    </w:p>
    <w:p>
      <w:r>
        <w:t>This decomposition bounds the calibration claim. The move from the legacy hourly v3 corpus to a matched 15 min v3 corpus reduces 24 h RMSE_T from 1.557 C to 0.876 C, explaining 74.6% of the original v3-to-v3.5 gap. Stage A/B/C then reduces the matched-corpus error further from 0.876 C to 0.644 C, explaining the remaining 25.4%. We therefore do not claim that physics alone explains the full improvement; the defensible claim is that corpus resolution and physical calibration jointly produce the final predictive-fidelity gain.</w:t>
      </w:r>
    </w:p>
    <w:p w14:paraId="6EFF1327">
      <w:pPr>
        <w:pStyle w:val="3"/>
      </w:pPr>
      <w:r>
        <w:t>5.4 Fidelity-to-control gap</w:t>
      </w:r>
    </w:p>
    <w:p w14:paraId="62C37030">
      <w:pPr>
        <w:jc w:val="center"/>
      </w:pPr>
      <w:r>
        <w:drawing>
          <wp:inline distT="0" distB="0" distL="0" distR="0">
            <wp:extent cx="5303520" cy="3108960"/>
            <wp:effectExtent l="0" t="0" r="0" b="0"/>
            <wp:docPr id="7" name="q1eng_fig07"/>
            <wp:cNvGraphicFramePr/>
            <a:graphic xmlns:a="http://schemas.openxmlformats.org/drawingml/2006/main">
              <a:graphicData uri="http://schemas.openxmlformats.org/drawingml/2006/picture">
                <pic:pic xmlns:pic="http://schemas.openxmlformats.org/drawingml/2006/picture">
                  <pic:nvPicPr>
                    <pic:cNvPr id="7" name="q1eng_fig07"/>
                    <pic:cNvPicPr/>
                  </pic:nvPicPr>
                  <pic:blipFill>
                    <a:blip r:embed="rId12"/>
                    <a:stretch>
                      <a:fillRect/>
                    </a:stretch>
                  </pic:blipFill>
                  <pic:spPr>
                    <a:xfrm>
                      <a:off x="0" y="0"/>
                      <a:ext cx="5303520" cy="3108960"/>
                    </a:xfrm>
                    <a:prstGeom prst="rect">
                      <a:avLst/>
                    </a:prstGeom>
                  </pic:spPr>
                </pic:pic>
              </a:graphicData>
            </a:graphic>
          </wp:inline>
        </w:drawing>
      </w:r>
    </w:p>
    <w:p w14:paraId="67331D69">
      <w:r>
        <w:rPr>
          <w:i/>
          <w:color w:val="555555"/>
          <w:sz w:val="18"/>
        </w:rPr>
        <w:t>Figure 7. Predictive fidelity vs live control utility. Calibrated v3.5 is the strongest offline predictor but the weakest direct RL rollout backend; hybrid role separation recovers live utility.</w:t>
      </w:r>
    </w:p>
    <w:p w14:paraId="53A1E30F">
      <w:pPr>
        <w:jc w:val="center"/>
      </w:pPr>
      <w:r>
        <w:drawing>
          <wp:inline distT="0" distB="0" distL="0" distR="0">
            <wp:extent cx="6126480" cy="4206240"/>
            <wp:effectExtent l="0" t="0" r="0" b="0"/>
            <wp:docPr id="8" name="q1eng_fig08"/>
            <wp:cNvGraphicFramePr/>
            <a:graphic xmlns:a="http://schemas.openxmlformats.org/drawingml/2006/main">
              <a:graphicData uri="http://schemas.openxmlformats.org/drawingml/2006/picture">
                <pic:pic xmlns:pic="http://schemas.openxmlformats.org/drawingml/2006/picture">
                  <pic:nvPicPr>
                    <pic:cNvPr id="8" name="q1eng_fig08"/>
                    <pic:cNvPicPr/>
                  </pic:nvPicPr>
                  <pic:blipFill>
                    <a:blip r:embed="rId13"/>
                    <a:stretch>
                      <a:fillRect/>
                    </a:stretch>
                  </pic:blipFill>
                  <pic:spPr>
                    <a:xfrm>
                      <a:off x="0" y="0"/>
                      <a:ext cx="6126480" cy="4206240"/>
                    </a:xfrm>
                    <a:prstGeom prst="rect">
                      <a:avLst/>
                    </a:prstGeom>
                  </pic:spPr>
                </pic:pic>
              </a:graphicData>
            </a:graphic>
          </wp:inline>
        </w:drawing>
      </w:r>
    </w:p>
    <w:p w14:paraId="5C23683B">
      <w:r>
        <w:rPr>
          <w:i/>
          <w:color w:val="555555"/>
          <w:sz w:val="18"/>
        </w:rPr>
        <w:t>Figure 8. Live BOPTEST closed-loop traces for pure v3, direct v3.5, and hybrid_l010. The trace view shows the comfort-band behaviour, supply commands, and power response behind the aggregate KPIs.</w:t>
      </w:r>
    </w:p>
    <w:p w14:paraId="2E6FB2F8">
      <w:pPr>
        <w:jc w:val="center"/>
      </w:pPr>
      <w:r>
        <w:drawing>
          <wp:inline distT="0" distB="0" distL="0" distR="0">
            <wp:extent cx="6126480" cy="2743200"/>
            <wp:effectExtent l="0" t="0" r="0" b="0"/>
            <wp:docPr id="9" name="q1eng_fig09"/>
            <wp:cNvGraphicFramePr/>
            <a:graphic xmlns:a="http://schemas.openxmlformats.org/drawingml/2006/main">
              <a:graphicData uri="http://schemas.openxmlformats.org/drawingml/2006/picture">
                <pic:pic xmlns:pic="http://schemas.openxmlformats.org/drawingml/2006/picture">
                  <pic:nvPicPr>
                    <pic:cNvPr id="9" name="q1eng_fig09"/>
                    <pic:cNvPicPr/>
                  </pic:nvPicPr>
                  <pic:blipFill>
                    <a:blip r:embed="rId14"/>
                    <a:stretch>
                      <a:fillRect/>
                    </a:stretch>
                  </pic:blipFill>
                  <pic:spPr>
                    <a:xfrm>
                      <a:off x="0" y="0"/>
                      <a:ext cx="6126480" cy="2743200"/>
                    </a:xfrm>
                    <a:prstGeom prst="rect">
                      <a:avLst/>
                    </a:prstGeom>
                  </pic:spPr>
                </pic:pic>
              </a:graphicData>
            </a:graphic>
          </wp:inline>
        </w:drawing>
      </w:r>
    </w:p>
    <w:p w14:paraId="7E0EF6D4">
      <w:r>
        <w:rPr>
          <w:i/>
          <w:color w:val="555555"/>
          <w:sz w:val="18"/>
        </w:rPr>
        <w:t>Figure 9. Action distribution and phase portrait. Direct v3.5 PPO exhibits bang-bang action saturation and extreme action response relative to temperature error, explaining its live transfer failure.</w:t>
      </w:r>
    </w:p>
    <w:p w14:paraId="111C471B">
      <w:r>
        <w:t>The closed-loop result is the critical negative finding. Calibrated v3.5 is the most accurate predictive model, but a PPO controller trained directly on it produces poor live BOPTEST performance. The live failure is not a simulator artifact: replay audits confirmed deterministic BOPTEST responses, and transfer diagnostics show that the direct-v3.5 policy enters action regimes that do not survive the live RTE. Therefore, the successful role for v3.5 is not as the direct rollout environment, but as a frozen physical teacher in the hybrid backend.</w:t>
      </w:r>
    </w:p>
    <w:p>
      <w:r>
        <w:t>The live-control deltas are large enough to rule out a minor tuning explanation. Direct-v3.5 PPO reaches approximately 4.32-4.40 C live RMSE_T with comfort violation around 77-82%, whereas the hybrid controller is around 0.61-0.63 C RMSE_T with low single-digit violation on the same targeted windows. Thus, the failure is not that v3.5 is an inaccurate predictor; it is that direct PPO training on v3.5 induces a brittle policy distribution.</w:t>
      </w:r>
    </w:p>
    <w:p>
      <w:r>
        <w:t>The action distribution and phase portrait in Figure 9 provide the mechanism-level explanation. The direct-v3.5 policy enters saturated bang-bang action regimes and produces extreme actions for modest temperature errors. Hybridization avoids this by preserving v3 as the smooth rollout model while using frozen v3.5 only as a physical disagreement penalty.</w:t>
      </w:r>
    </w:p>
    <w:p>
      <w:r>
        <w:t>The hybrid backend also remains computationally feasible for reinforcement learning. In the CPU speed benchmark it sustains approximately 1787 environment steps per second, about 85x faster than the live BOPTEST RTE HTTP-Docker loop used for validation. The hybrid result is therefore not only more stable in live control; it is also fast enough to remain a practical PPO training backend.</w:t>
      </w:r>
    </w:p>
    <w:p>
      <w:pPr>
        <w:pStyle w:val="Heading2"/>
      </w:pPr>
      <w:r>
        <w:t>5.5 Block 1 conclusion</w:t>
      </w:r>
    </w:p>
    <w:p>
      <w:r>
        <w:t>Block 1 closes with a deliberately asymmetric conclusion. As a predictive digital twin, calibrated v3.5 is supported: Stage A/B/C reduces 24 h rollout RMSE_T from 1.466 C to 0.644 C, reduces power MAE from 810 W to 482 W, and identifies a physically plausible C_zon = 4.413e5 J/K. The residual distribution, error CDF, and Stage-B convergence diagnostics show that this is not a single-metric artifact.</w:t>
      </w:r>
    </w:p>
    <w:p>
      <w:r>
        <w:t>As a direct RL rollout environment, however, calibrated v3.5 is rejected. PPO trained directly on v3.5 enters saturated action regimes and fails live BOPTEST validation despite the model's stronger offline predictive fidelity. This falsifies the simple assumption that the most accurate surrogate is automatically the best policy-training environment.</w:t>
      </w:r>
    </w:p>
    <w:p>
      <w:r>
        <w:t>The constructive outcome is role separation. The v3 surrogate remains the rollout backend because it provides smooth and computationally cheap dynamics for PPO; calibrated v3.5 is retained as a frozen physical teacher through disagreement regularization. This conclusion is the dependency passed to Block 2: controller validation must test the hybrid role assignment, not merely compare surrogate RMSE values.</w:t>
      </w:r>
    </w:p>
    <w:p w14:paraId="75BA3EE8">
      <w:pPr>
        <w:pStyle w:val="2"/>
      </w:pPr>
      <w:r>
        <w:t>6. Results II: Control Performance</w:t>
      </w:r>
    </w:p>
    <w:p w14:paraId="7391BC6F">
      <w:pPr>
        <w:pStyle w:val="3"/>
      </w:pPr>
      <w:r>
        <w:t>6.1 Block 2 objective and controller families</w:t>
      </w:r>
    </w:p>
    <w:p w14:paraId="02660913">
      <w:r>
        <w:t>Block 2 tests whether the Block 1 surrogate-role separation translates into better closed-loop control. The experiments compare thermostatic PPO, HDRL and MORL under the same BOPTEST RTE evaluation discipline. The result is controller-family specific: the hybrid disagreement penalty helps the thermostatic PPO controller, hurts HDRL when copied naively, and yields promising but high-variance MORL behaviour.</w:t>
      </w:r>
    </w:p>
    <w:p w14:paraId="447AE3A6">
      <w:pPr>
        <w:pStyle w:val="3"/>
      </w:pPr>
      <w:r>
        <w:t>6.2 Thermostatic PPO and HDRL</w:t>
      </w:r>
    </w:p>
    <w:p w14:paraId="04A6F0E4">
      <w:r>
        <w:t>For thermostatic PPO, the canonical hybrid setting lambda_temp = 0.10 is the main positive controller result. It improves the typical-window safety metric and maintains energy efficiency while avoiding the direct-v3.5 failure mode. HDRL reverses this conclusion: the same temperature disagreement penalty degrades performance, and lambda_temp = 0 is the best HDRL setting. This prevents the paper from claiming that physics-informed penalties are universally beneficial; they are backend- and controller-family-specific.</w:t>
      </w:r>
    </w:p>
    <w:p w14:paraId="5644FAD3">
      <w:pPr>
        <w:pStyle w:val="3"/>
      </w:pPr>
      <w:r>
        <w:t>6.3 MORL, observation interface and seed variance</w:t>
      </w:r>
    </w:p>
    <w:p w14:paraId="2353DB70">
      <w:pPr>
        <w:jc w:val="center"/>
      </w:pPr>
      <w:r>
        <w:drawing>
          <wp:inline distT="0" distB="0" distL="0" distR="0">
            <wp:extent cx="5303520" cy="3200400"/>
            <wp:effectExtent l="0" t="0" r="0" b="0"/>
            <wp:docPr id="10" name="q1eng_fig10"/>
            <wp:cNvGraphicFramePr/>
            <a:graphic xmlns:a="http://schemas.openxmlformats.org/drawingml/2006/main">
              <a:graphicData uri="http://schemas.openxmlformats.org/drawingml/2006/picture">
                <pic:pic xmlns:pic="http://schemas.openxmlformats.org/drawingml/2006/picture">
                  <pic:nvPicPr>
                    <pic:cNvPr id="10" name="q1eng_fig10"/>
                    <pic:cNvPicPr/>
                  </pic:nvPicPr>
                  <pic:blipFill>
                    <a:blip r:embed="rId15"/>
                    <a:stretch>
                      <a:fillRect/>
                    </a:stretch>
                  </pic:blipFill>
                  <pic:spPr>
                    <a:xfrm>
                      <a:off x="0" y="0"/>
                      <a:ext cx="5303520" cy="3200400"/>
                    </a:xfrm>
                    <a:prstGeom prst="rect">
                      <a:avLst/>
                    </a:prstGeom>
                  </pic:spPr>
                </pic:pic>
              </a:graphicData>
            </a:graphic>
          </wp:inline>
        </w:drawing>
      </w:r>
    </w:p>
    <w:p w14:paraId="31892C98">
      <w:r>
        <w:rPr>
          <w:i/>
          <w:color w:val="555555"/>
          <w:sz w:val="18"/>
        </w:rPr>
        <w:t>Figure 10. MORL comfort-energy Pareto front with canonical seed-variance information. Energy-only scalarization collapses, comfort-only has the lowest m_s, and practical 75/25 remains seed-sensitive.</w:t>
      </w:r>
    </w:p>
    <w:p w14:paraId="114E378E">
      <w:r>
        <w:t>MORL initially failed under a compact 5D observation interface. Expanding to the 17D TSup-style observation recovers a usable preference-conditioned controller, showing that the observation geometry is not an implementation detail but a primary determinant of success. The Pareto sweep then identifies neutral and practical canonical weight vectors, but the N=5 seed extension changes the scientific interpretation: aggregate high variance persists, the N=3 seasonal-inversion hypothesis is falsified, and MORL must be reported as promising but not deployment-stable without additional stabilization.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1650"/>
        <w:gridCol w:w="3050"/>
        <w:gridCol w:w="1550"/>
        <w:gridCol w:w="1610"/>
      </w:tblGrid>
      <w:tr w14:paraId="45148CB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74E5C37B">
            <w:r>
              <w:rPr>
                <w:b/>
                <w:sz w:val="11"/>
              </w:rPr>
              <w:t>Family / policy</w:t>
            </w:r>
          </w:p>
        </w:tc>
        <w:tc>
          <w:tcPr>
            <w:tcW w:w="1650" w:type="dxa"/>
            <w:shd w:val="clear" w:color="auto" w:fill="EAF2F8"/>
            <w:tcMar>
              <w:top w:w="80" w:type="dxa"/>
              <w:left w:w="90" w:type="dxa"/>
              <w:bottom w:w="80" w:type="dxa"/>
              <w:right w:w="90" w:type="dxa"/>
            </w:tcMar>
          </w:tcPr>
          <w:p w14:paraId="7CEF30BC">
            <w:r>
              <w:rPr>
                <w:b/>
                <w:sz w:val="11"/>
              </w:rPr>
              <w:t>Best backend or variant</w:t>
            </w:r>
          </w:p>
        </w:tc>
        <w:tc>
          <w:tcPr>
            <w:tcW w:w="3050" w:type="dxa"/>
            <w:shd w:val="clear" w:color="auto" w:fill="EAF2F8"/>
            <w:tcMar>
              <w:top w:w="80" w:type="dxa"/>
              <w:left w:w="90" w:type="dxa"/>
              <w:bottom w:w="80" w:type="dxa"/>
              <w:right w:w="90" w:type="dxa"/>
            </w:tcMar>
          </w:tcPr>
          <w:p w14:paraId="3FA45B4E">
            <w:r>
              <w:rPr>
                <w:b/>
                <w:sz w:val="11"/>
              </w:rPr>
              <w:t>Primary result</w:t>
            </w:r>
          </w:p>
        </w:tc>
        <w:tc>
          <w:tcPr>
            <w:tcW w:w="1550" w:type="dxa"/>
            <w:shd w:val="clear" w:color="auto" w:fill="EAF2F8"/>
            <w:tcMar>
              <w:top w:w="80" w:type="dxa"/>
              <w:left w:w="90" w:type="dxa"/>
              <w:bottom w:w="80" w:type="dxa"/>
              <w:right w:w="90" w:type="dxa"/>
            </w:tcMar>
          </w:tcPr>
          <w:p w14:paraId="17C329A0">
            <w:r>
              <w:rPr>
                <w:b/>
                <w:sz w:val="11"/>
              </w:rPr>
              <w:t>m_s / variance</w:t>
            </w:r>
          </w:p>
        </w:tc>
        <w:tc>
          <w:tcPr>
            <w:tcW w:w="1610" w:type="dxa"/>
            <w:shd w:val="clear" w:color="auto" w:fill="EAF2F8"/>
            <w:tcMar>
              <w:top w:w="80" w:type="dxa"/>
              <w:left w:w="90" w:type="dxa"/>
              <w:bottom w:w="80" w:type="dxa"/>
              <w:right w:w="90" w:type="dxa"/>
            </w:tcMar>
          </w:tcPr>
          <w:p w14:paraId="097B1A23">
            <w:r>
              <w:rPr>
                <w:b/>
                <w:sz w:val="11"/>
              </w:rPr>
              <w:t>Verdict</w:t>
            </w:r>
          </w:p>
        </w:tc>
      </w:tr>
      <w:tr w14:paraId="7796AC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2273184">
            <w:r>
              <w:rPr>
                <w:sz w:val="11"/>
              </w:rPr>
              <w:t>Thermostatic PPO</w:t>
            </w:r>
          </w:p>
        </w:tc>
        <w:tc>
          <w:tcPr>
            <w:tcW w:w="1650" w:type="dxa"/>
            <w:tcMar>
              <w:top w:w="80" w:type="dxa"/>
              <w:left w:w="90" w:type="dxa"/>
              <w:bottom w:w="80" w:type="dxa"/>
              <w:right w:w="90" w:type="dxa"/>
            </w:tcMar>
          </w:tcPr>
          <w:p w14:paraId="38DC7291">
            <w:r>
              <w:rPr>
                <w:sz w:val="11"/>
              </w:rPr>
              <w:t>hybrid_l010</w:t>
            </w:r>
          </w:p>
        </w:tc>
        <w:tc>
          <w:tcPr>
            <w:tcW w:w="3050" w:type="dxa"/>
            <w:tcMar>
              <w:top w:w="80" w:type="dxa"/>
              <w:left w:w="90" w:type="dxa"/>
              <w:bottom w:w="80" w:type="dxa"/>
              <w:right w:w="90" w:type="dxa"/>
            </w:tcMar>
          </w:tcPr>
          <w:p w14:paraId="4DE51784">
            <w:r>
              <w:rPr>
                <w:sz w:val="11"/>
              </w:rPr>
              <w:t>Peak/typical RMSE 0.633 / 0.612 C</w:t>
            </w:r>
          </w:p>
        </w:tc>
        <w:tc>
          <w:tcPr>
            <w:tcW w:w="1550" w:type="dxa"/>
            <w:tcMar>
              <w:top w:w="80" w:type="dxa"/>
              <w:left w:w="90" w:type="dxa"/>
              <w:bottom w:w="80" w:type="dxa"/>
              <w:right w:w="90" w:type="dxa"/>
            </w:tcMar>
          </w:tcPr>
          <w:p w14:paraId="4A1425CD">
            <w:r>
              <w:rPr>
                <w:sz w:val="11"/>
              </w:rPr>
              <w:t>m_s 0.0866 / 0.0411</w:t>
            </w:r>
          </w:p>
        </w:tc>
        <w:tc>
          <w:tcPr>
            <w:tcW w:w="1610" w:type="dxa"/>
            <w:tcMar>
              <w:top w:w="80" w:type="dxa"/>
              <w:left w:w="90" w:type="dxa"/>
              <w:bottom w:w="80" w:type="dxa"/>
              <w:right w:w="90" w:type="dxa"/>
            </w:tcMar>
          </w:tcPr>
          <w:p w14:paraId="7AC458D9">
            <w:r>
              <w:rPr>
                <w:sz w:val="11"/>
              </w:rPr>
              <w:t>Hybrid regularization supported</w:t>
            </w:r>
          </w:p>
        </w:tc>
      </w:tr>
      <w:tr w14:paraId="1A6F3F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04DFF7CD">
            <w:r>
              <w:rPr>
                <w:sz w:val="11"/>
              </w:rPr>
              <w:t>Direct v3.5 PPO</w:t>
            </w:r>
          </w:p>
        </w:tc>
        <w:tc>
          <w:tcPr>
            <w:tcW w:w="1650" w:type="dxa"/>
            <w:tcMar>
              <w:top w:w="80" w:type="dxa"/>
              <w:left w:w="90" w:type="dxa"/>
              <w:bottom w:w="80" w:type="dxa"/>
              <w:right w:w="90" w:type="dxa"/>
            </w:tcMar>
          </w:tcPr>
          <w:p w14:paraId="7CFFDA49">
            <w:r>
              <w:rPr>
                <w:sz w:val="11"/>
              </w:rPr>
              <w:t>standalone calibrated v3.5</w:t>
            </w:r>
          </w:p>
        </w:tc>
        <w:tc>
          <w:tcPr>
            <w:tcW w:w="3050" w:type="dxa"/>
            <w:tcMar>
              <w:top w:w="80" w:type="dxa"/>
              <w:left w:w="90" w:type="dxa"/>
              <w:bottom w:w="80" w:type="dxa"/>
              <w:right w:w="90" w:type="dxa"/>
            </w:tcMar>
          </w:tcPr>
          <w:p w14:paraId="376E05DB">
            <w:r>
              <w:rPr>
                <w:sz w:val="11"/>
              </w:rPr>
              <w:t>Live RMSE 4.32 / 4.40 C</w:t>
            </w:r>
          </w:p>
        </w:tc>
        <w:tc>
          <w:tcPr>
            <w:tcW w:w="1550" w:type="dxa"/>
            <w:tcMar>
              <w:top w:w="80" w:type="dxa"/>
              <w:left w:w="90" w:type="dxa"/>
              <w:bottom w:w="80" w:type="dxa"/>
              <w:right w:w="90" w:type="dxa"/>
            </w:tcMar>
          </w:tcPr>
          <w:p w14:paraId="1706284F">
            <w:r>
              <w:rPr>
                <w:sz w:val="11"/>
              </w:rPr>
              <w:t>m_s &gt; 1.0</w:t>
            </w:r>
          </w:p>
        </w:tc>
        <w:tc>
          <w:tcPr>
            <w:tcW w:w="1610" w:type="dxa"/>
            <w:tcMar>
              <w:top w:w="80" w:type="dxa"/>
              <w:left w:w="90" w:type="dxa"/>
              <w:bottom w:w="80" w:type="dxa"/>
              <w:right w:w="90" w:type="dxa"/>
            </w:tcMar>
          </w:tcPr>
          <w:p w14:paraId="7077000A">
            <w:r>
              <w:rPr>
                <w:sz w:val="11"/>
              </w:rPr>
              <w:t>Negative control</w:t>
            </w:r>
          </w:p>
        </w:tc>
      </w:tr>
      <w:tr w14:paraId="5DF3806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CE7CFA1">
            <w:r>
              <w:rPr>
                <w:sz w:val="11"/>
              </w:rPr>
              <w:t>HDRL</w:t>
            </w:r>
          </w:p>
        </w:tc>
        <w:tc>
          <w:tcPr>
            <w:tcW w:w="1650" w:type="dxa"/>
            <w:tcMar>
              <w:top w:w="80" w:type="dxa"/>
              <w:left w:w="90" w:type="dxa"/>
              <w:bottom w:w="80" w:type="dxa"/>
              <w:right w:w="90" w:type="dxa"/>
            </w:tcMar>
          </w:tcPr>
          <w:p w14:paraId="000CCAE7">
            <w:r>
              <w:rPr>
                <w:sz w:val="11"/>
              </w:rPr>
              <w:t>lambda_temp=0</w:t>
            </w:r>
          </w:p>
        </w:tc>
        <w:tc>
          <w:tcPr>
            <w:tcW w:w="3050" w:type="dxa"/>
            <w:tcMar>
              <w:top w:w="80" w:type="dxa"/>
              <w:left w:w="90" w:type="dxa"/>
              <w:bottom w:w="80" w:type="dxa"/>
              <w:right w:w="90" w:type="dxa"/>
            </w:tcMar>
          </w:tcPr>
          <w:p w14:paraId="5E69FA60">
            <w:r>
              <w:rPr>
                <w:sz w:val="11"/>
              </w:rPr>
              <w:t>Temperature regularizer hurts hierarchy</w:t>
            </w:r>
          </w:p>
        </w:tc>
        <w:tc>
          <w:tcPr>
            <w:tcW w:w="1550" w:type="dxa"/>
            <w:tcMar>
              <w:top w:w="80" w:type="dxa"/>
              <w:left w:w="90" w:type="dxa"/>
              <w:bottom w:w="80" w:type="dxa"/>
              <w:right w:w="90" w:type="dxa"/>
            </w:tcMar>
          </w:tcPr>
          <w:p w14:paraId="01A22FB9">
            <w:r>
              <w:rPr>
                <w:sz w:val="11"/>
              </w:rPr>
              <w:t>best at lambda=0</w:t>
            </w:r>
          </w:p>
        </w:tc>
        <w:tc>
          <w:tcPr>
            <w:tcW w:w="1610" w:type="dxa"/>
            <w:tcMar>
              <w:top w:w="80" w:type="dxa"/>
              <w:left w:w="90" w:type="dxa"/>
              <w:bottom w:w="80" w:type="dxa"/>
              <w:right w:w="90" w:type="dxa"/>
            </w:tcMar>
          </w:tcPr>
          <w:p w14:paraId="2DEF7865">
            <w:r>
              <w:rPr>
                <w:sz w:val="11"/>
              </w:rPr>
              <w:t>Controller-family specificity</w:t>
            </w:r>
          </w:p>
        </w:tc>
      </w:tr>
      <w:tr w14:paraId="634E77B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5538A2DE">
            <w:r>
              <w:rPr>
                <w:sz w:val="11"/>
              </w:rPr>
              <w:t>MORL 17D</w:t>
            </w:r>
          </w:p>
        </w:tc>
        <w:tc>
          <w:tcPr>
            <w:tcW w:w="1650" w:type="dxa"/>
            <w:tcMar>
              <w:top w:w="80" w:type="dxa"/>
              <w:left w:w="90" w:type="dxa"/>
              <w:bottom w:w="80" w:type="dxa"/>
              <w:right w:w="90" w:type="dxa"/>
            </w:tcMar>
          </w:tcPr>
          <w:p w14:paraId="251A8161">
            <w:r>
              <w:rPr>
                <w:sz w:val="11"/>
              </w:rPr>
              <w:t>power-only hybrid</w:t>
            </w:r>
          </w:p>
        </w:tc>
        <w:tc>
          <w:tcPr>
            <w:tcW w:w="3050" w:type="dxa"/>
            <w:tcMar>
              <w:top w:w="80" w:type="dxa"/>
              <w:left w:w="90" w:type="dxa"/>
              <w:bottom w:w="80" w:type="dxa"/>
              <w:right w:w="90" w:type="dxa"/>
            </w:tcMar>
          </w:tcPr>
          <w:p w14:paraId="1A12ED47">
            <w:r>
              <w:rPr>
                <w:sz w:val="11"/>
              </w:rPr>
              <w:t>Pareto sweep usable after 17D interface</w:t>
            </w:r>
          </w:p>
        </w:tc>
        <w:tc>
          <w:tcPr>
            <w:tcW w:w="1550" w:type="dxa"/>
            <w:tcMar>
              <w:top w:w="80" w:type="dxa"/>
              <w:left w:w="90" w:type="dxa"/>
              <w:bottom w:w="80" w:type="dxa"/>
              <w:right w:w="90" w:type="dxa"/>
            </w:tcMar>
          </w:tcPr>
          <w:p w14:paraId="0D57F638">
            <w:r>
              <w:rPr>
                <w:sz w:val="11"/>
              </w:rPr>
              <w:t>canonical N=5 high variance</w:t>
            </w:r>
          </w:p>
        </w:tc>
        <w:tc>
          <w:tcPr>
            <w:tcW w:w="1610" w:type="dxa"/>
            <w:tcMar>
              <w:top w:w="80" w:type="dxa"/>
              <w:left w:w="90" w:type="dxa"/>
              <w:bottom w:w="80" w:type="dxa"/>
              <w:right w:w="90" w:type="dxa"/>
            </w:tcMar>
          </w:tcPr>
          <w:p w14:paraId="69A055A0">
            <w:r>
              <w:rPr>
                <w:sz w:val="11"/>
              </w:rPr>
              <w:t>Promising but not stable</w:t>
            </w:r>
          </w:p>
        </w:tc>
      </w:tr>
      <w:tr w14:paraId="562770E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62E5A113">
            <w:r>
              <w:rPr>
                <w:sz w:val="11"/>
              </w:rPr>
              <w:t>MORL N=5 test</w:t>
            </w:r>
          </w:p>
        </w:tc>
        <w:tc>
          <w:tcPr>
            <w:tcW w:w="1650" w:type="dxa"/>
            <w:tcMar>
              <w:top w:w="80" w:type="dxa"/>
              <w:left w:w="90" w:type="dxa"/>
              <w:bottom w:w="80" w:type="dxa"/>
              <w:right w:w="90" w:type="dxa"/>
            </w:tcMar>
          </w:tcPr>
          <w:p w14:paraId="3A949FA6">
            <w:r>
              <w:rPr>
                <w:sz w:val="11"/>
              </w:rPr>
              <w:t>neutral/practical canonicals</w:t>
            </w:r>
          </w:p>
        </w:tc>
        <w:tc>
          <w:tcPr>
            <w:tcW w:w="3050" w:type="dxa"/>
            <w:tcMar>
              <w:top w:w="80" w:type="dxa"/>
              <w:left w:w="90" w:type="dxa"/>
              <w:bottom w:w="80" w:type="dxa"/>
              <w:right w:w="90" w:type="dxa"/>
            </w:tcMar>
          </w:tcPr>
          <w:p w14:paraId="36EC0591">
            <w:r>
              <w:rPr>
                <w:sz w:val="11"/>
              </w:rPr>
              <w:t>Replay deterministic; action-saturation hypothesis falsified</w:t>
            </w:r>
          </w:p>
        </w:tc>
        <w:tc>
          <w:tcPr>
            <w:tcW w:w="1550" w:type="dxa"/>
            <w:tcMar>
              <w:top w:w="80" w:type="dxa"/>
              <w:left w:w="90" w:type="dxa"/>
              <w:bottom w:w="80" w:type="dxa"/>
              <w:right w:w="90" w:type="dxa"/>
            </w:tcMar>
          </w:tcPr>
          <w:p w14:paraId="20191EA8">
            <w:r>
              <w:rPr>
                <w:sz w:val="11"/>
              </w:rPr>
              <w:t>sigma/mean &gt; threshold</w:t>
            </w:r>
          </w:p>
        </w:tc>
        <w:tc>
          <w:tcPr>
            <w:tcW w:w="1610" w:type="dxa"/>
            <w:tcMar>
              <w:top w:w="80" w:type="dxa"/>
              <w:left w:w="90" w:type="dxa"/>
              <w:bottom w:w="80" w:type="dxa"/>
              <w:right w:w="90" w:type="dxa"/>
            </w:tcMar>
          </w:tcPr>
          <w:p w14:paraId="2650615E">
            <w:r>
              <w:rPr>
                <w:sz w:val="11"/>
              </w:rPr>
              <w:t>Report with limitations</w:t>
            </w:r>
          </w:p>
        </w:tc>
      </w:tr>
    </w:tbl>
    <w:p w14:paraId="13E6AB6A">
      <w:r>
        <w:rPr>
          <w:i/>
          <w:color w:val="555555"/>
          <w:sz w:val="18"/>
        </w:rPr>
        <w:t>Table 5. Block 2 controller-family and MORL summary. Detailed lambda sweeps, per-seed tables and monthly diagnostics are in the supplementary material.</w:t>
      </w:r>
    </w:p>
    <w:p w14:paraId="13A8C023">
      <w:pPr>
        <w:pStyle w:val="3"/>
      </w:pPr>
      <w:r>
        <w:t>6.4 Seasonal variance heatmap interpretation</w:t>
      </w:r>
    </w:p>
    <w:p w14:paraId="7F5543B8">
      <w:r>
        <w:t>The seasonal variance heatmap is retained as a falsification artifact, not as support for the original action-saturation mechanism. At N=3 the practical canonical appeared winter-stable and summer-unstable, motivating a pre-registered N=5 test. Seeds 45/46 falsified that mechanism: February variance increased sharply and the winter neutral/practical ratio collapsed. This is a methodologically useful result because it shows that mechanism-level interpretations from small-seed MORL seasonal patterns can be transient.</w:t>
      </w:r>
    </w:p>
    <w:p w14:paraId="3D8E0EE2">
      <w:pPr>
        <w:pStyle w:val="2"/>
      </w:pPr>
      <w:r>
        <w:t>7. Results III: Transferability and Generalization</w:t>
      </w:r>
    </w:p>
    <w:p w14:paraId="0B1F340D">
      <w:pPr>
        <w:pStyle w:val="3"/>
      </w:pPr>
      <w:r>
        <w:t>7.1 Block 3 objective and transfer protocol</w:t>
      </w:r>
    </w:p>
    <w:p w14:paraId="504B96C5">
      <w:r>
        <w:t>Block 3 evaluates whether the bestest_air recipe transfers to related hydronic BOPTEST testcases. Because the target actuators are not literal direct supply-temperature actuators, transfer is adapter-mediated and pre-registered before control runs. The tested regimes separate controller transfer from surrogate recalibration: mode=none deploys the frozen controller through the documented adapter, while mode=full re-runs Stage A/B/C on target telemetry but still keeps the controller frozen.</w:t>
      </w:r>
    </w:p>
    <w:p w14:paraId="2F01607B">
      <w:pPr>
        <w:pStyle w:val="3"/>
      </w:pPr>
      <w:r>
        <w:t>7.2 Controller-side transfer</w:t>
      </w:r>
    </w:p>
    <w:p w14:paraId="5D1CBFB5">
      <w:pPr>
        <w:jc w:val="center"/>
      </w:pPr>
      <w:r>
        <w:drawing>
          <wp:inline distT="0" distB="0" distL="0" distR="0">
            <wp:extent cx="5303520" cy="3291840"/>
            <wp:effectExtent l="0" t="0" r="0" b="0"/>
            <wp:docPr id="11" name="q1eng_fig11"/>
            <wp:cNvGraphicFramePr/>
            <a:graphic xmlns:a="http://schemas.openxmlformats.org/drawingml/2006/main">
              <a:graphicData uri="http://schemas.openxmlformats.org/drawingml/2006/picture">
                <pic:pic xmlns:pic="http://schemas.openxmlformats.org/drawingml/2006/picture">
                  <pic:nvPicPr>
                    <pic:cNvPr id="11" name="q1eng_fig11"/>
                    <pic:cNvPicPr/>
                  </pic:nvPicPr>
                  <pic:blipFill>
                    <a:blip r:embed="rId16"/>
                    <a:stretch>
                      <a:fillRect/>
                    </a:stretch>
                  </pic:blipFill>
                  <pic:spPr>
                    <a:xfrm>
                      <a:off x="0" y="0"/>
                      <a:ext cx="5303520" cy="3291840"/>
                    </a:xfrm>
                    <a:prstGeom prst="rect">
                      <a:avLst/>
                    </a:prstGeom>
                  </pic:spPr>
                </pic:pic>
              </a:graphicData>
            </a:graphic>
          </wp:inline>
        </w:drawing>
      </w:r>
    </w:p>
    <w:p w14:paraId="16E76C3C">
      <w:r>
        <w:rPr>
          <w:i/>
          <w:color w:val="555555"/>
          <w:sz w:val="18"/>
        </w:rPr>
        <w:t>Figure 11. Block 3 comfort-energy deployment plane. Residential hydronic testcases fail the m_s threshold while saving energy; the commercial testcase passes the threshold but incurs a large energy penalty.</w:t>
      </w:r>
    </w:p>
    <w:p w14:paraId="118691E0">
      <w:r>
        <w:t>Controller transfer is not deployment-ready under the frozen-controller scope. The two residential hydronic testcases fail the pre-registered m_s threshold, primarily through comfort degradation. The commercial hydronic testcase passes the scalar m_s threshold, but only with a +35.3% energy penalty relative to PI. This distinction matters: the commercial cell is a threshold PASS but not a deployment PASS under a two-axis comfort-energy interpretation.</w:t>
      </w:r>
    </w:p>
    <w:p w14:paraId="7C5D0F9A">
      <w:pPr>
        <w:pStyle w:val="3"/>
      </w:pPr>
      <w:r>
        <w:t>7.3 Surrogate-side transfer</w:t>
      </w:r>
    </w:p>
    <w:p w14:paraId="27E8C0DC">
      <w:pPr>
        <w:jc w:val="center"/>
      </w:pPr>
      <w:r>
        <w:drawing>
          <wp:inline distT="0" distB="0" distL="0" distR="0">
            <wp:extent cx="5394960" cy="3291840"/>
            <wp:effectExtent l="0" t="0" r="0" b="0"/>
            <wp:docPr id="12" name="q1eng_fig12"/>
            <wp:cNvGraphicFramePr/>
            <a:graphic xmlns:a="http://schemas.openxmlformats.org/drawingml/2006/main">
              <a:graphicData uri="http://schemas.openxmlformats.org/drawingml/2006/picture">
                <pic:pic xmlns:pic="http://schemas.openxmlformats.org/drawingml/2006/picture">
                  <pic:nvPicPr>
                    <pic:cNvPr id="12" name="q1eng_fig12"/>
                    <pic:cNvPicPr/>
                  </pic:nvPicPr>
                  <pic:blipFill>
                    <a:blip r:embed="rId17"/>
                    <a:stretch>
                      <a:fillRect/>
                    </a:stretch>
                  </pic:blipFill>
                  <pic:spPr>
                    <a:xfrm>
                      <a:off x="0" y="0"/>
                      <a:ext cx="5394960" cy="3291840"/>
                    </a:xfrm>
                    <a:prstGeom prst="rect">
                      <a:avLst/>
                    </a:prstGeom>
                  </pic:spPr>
                </pic:pic>
              </a:graphicData>
            </a:graphic>
          </wp:inline>
        </w:drawing>
      </w:r>
    </w:p>
    <w:p w14:paraId="52CE3D90">
      <w:r>
        <w:rPr>
          <w:i/>
          <w:color w:val="555555"/>
          <w:sz w:val="18"/>
        </w:rPr>
        <w:t>Figure 12. C_zon hypothesis interval test across hydronic testcases. Observed ratios support the 1.7–2.2× uniform hydronic-family hypothesis and falsify the 3–10× scale-dependent hypothesis for the tested cases.</w:t>
      </w:r>
    </w:p>
    <w:p w14:paraId="3B35163A">
      <w:r>
        <w:t>The surrogate component transfers much more cleanly than the controller component. Full Stage A/B/C recalibration improves target-testcase RMSE_T by 60.2-87.8% across the three hydronic testcases. Even more importantly, the identified hydronic C_zon ratios cluster tightly around 1.9x the bestest_air value. This consistency is physical evidence that the inverse calibration pipeline recovers a stable family-level thermal-mass relationship rather than overfitting a single testcase.</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550"/>
        <w:gridCol w:w="550"/>
        <w:gridCol w:w="650"/>
        <w:gridCol w:w="650"/>
        <w:gridCol w:w="850"/>
        <w:gridCol w:w="850"/>
        <w:gridCol w:w="850"/>
        <w:gridCol w:w="2960"/>
      </w:tblGrid>
      <w:tr w14:paraId="4BE711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27CD8725">
            <w:r>
              <w:rPr>
                <w:b/>
                <w:sz w:val="10"/>
              </w:rPr>
              <w:t>Testcase</w:t>
            </w:r>
          </w:p>
        </w:tc>
        <w:tc>
          <w:tcPr>
            <w:tcW w:w="550" w:type="dxa"/>
            <w:shd w:val="clear" w:color="auto" w:fill="EAF2F8"/>
            <w:tcMar>
              <w:top w:w="80" w:type="dxa"/>
              <w:left w:w="90" w:type="dxa"/>
              <w:bottom w:w="80" w:type="dxa"/>
              <w:right w:w="90" w:type="dxa"/>
            </w:tcMar>
          </w:tcPr>
          <w:p w14:paraId="2B9F46AF">
            <w:r>
              <w:rPr>
                <w:b/>
                <w:sz w:val="10"/>
              </w:rPr>
              <w:t>None</w:t>
            </w:r>
          </w:p>
        </w:tc>
        <w:tc>
          <w:tcPr>
            <w:tcW w:w="550" w:type="dxa"/>
            <w:shd w:val="clear" w:color="auto" w:fill="EAF2F8"/>
            <w:tcMar>
              <w:top w:w="80" w:type="dxa"/>
              <w:left w:w="90" w:type="dxa"/>
              <w:bottom w:w="80" w:type="dxa"/>
              <w:right w:w="90" w:type="dxa"/>
            </w:tcMar>
          </w:tcPr>
          <w:p w14:paraId="282D63F0">
            <w:r>
              <w:rPr>
                <w:b/>
                <w:sz w:val="10"/>
              </w:rPr>
              <w:t>Full</w:t>
            </w:r>
          </w:p>
        </w:tc>
        <w:tc>
          <w:tcPr>
            <w:tcW w:w="650" w:type="dxa"/>
            <w:shd w:val="clear" w:color="auto" w:fill="EAF2F8"/>
            <w:tcMar>
              <w:top w:w="80" w:type="dxa"/>
              <w:left w:w="90" w:type="dxa"/>
              <w:bottom w:w="80" w:type="dxa"/>
              <w:right w:w="90" w:type="dxa"/>
            </w:tcMar>
          </w:tcPr>
          <w:p w14:paraId="0F09B926">
            <w:r>
              <w:rPr>
                <w:b/>
                <w:sz w:val="10"/>
              </w:rPr>
              <w:t>m_s RL</w:t>
            </w:r>
          </w:p>
        </w:tc>
        <w:tc>
          <w:tcPr>
            <w:tcW w:w="650" w:type="dxa"/>
            <w:shd w:val="clear" w:color="auto" w:fill="EAF2F8"/>
            <w:tcMar>
              <w:top w:w="80" w:type="dxa"/>
              <w:left w:w="90" w:type="dxa"/>
              <w:bottom w:w="80" w:type="dxa"/>
              <w:right w:w="90" w:type="dxa"/>
            </w:tcMar>
          </w:tcPr>
          <w:p w14:paraId="097CE275">
            <w:r>
              <w:rPr>
                <w:b/>
                <w:sz w:val="10"/>
              </w:rPr>
              <w:t>m_s PI</w:t>
            </w:r>
          </w:p>
        </w:tc>
        <w:tc>
          <w:tcPr>
            <w:tcW w:w="850" w:type="dxa"/>
            <w:shd w:val="clear" w:color="auto" w:fill="EAF2F8"/>
            <w:tcMar>
              <w:top w:w="80" w:type="dxa"/>
              <w:left w:w="90" w:type="dxa"/>
              <w:bottom w:w="80" w:type="dxa"/>
              <w:right w:w="90" w:type="dxa"/>
            </w:tcMar>
          </w:tcPr>
          <w:p w14:paraId="7CCA95A3">
            <w:r>
              <w:rPr>
                <w:b/>
                <w:sz w:val="10"/>
              </w:rPr>
              <w:t>Energy delta</w:t>
            </w:r>
          </w:p>
        </w:tc>
        <w:tc>
          <w:tcPr>
            <w:tcW w:w="850" w:type="dxa"/>
            <w:shd w:val="clear" w:color="auto" w:fill="EAF2F8"/>
            <w:tcMar>
              <w:top w:w="80" w:type="dxa"/>
              <w:left w:w="90" w:type="dxa"/>
              <w:bottom w:w="80" w:type="dxa"/>
              <w:right w:w="90" w:type="dxa"/>
            </w:tcMar>
          </w:tcPr>
          <w:p w14:paraId="7053F2E8">
            <w:r>
              <w:rPr>
                <w:b/>
                <w:sz w:val="10"/>
              </w:rPr>
              <w:t>Full RMSE gain</w:t>
            </w:r>
          </w:p>
        </w:tc>
        <w:tc>
          <w:tcPr>
            <w:tcW w:w="850" w:type="dxa"/>
            <w:shd w:val="clear" w:color="auto" w:fill="EAF2F8"/>
            <w:tcMar>
              <w:top w:w="80" w:type="dxa"/>
              <w:left w:w="90" w:type="dxa"/>
              <w:bottom w:w="80" w:type="dxa"/>
              <w:right w:w="90" w:type="dxa"/>
            </w:tcMar>
          </w:tcPr>
          <w:p w14:paraId="00EFFB61">
            <w:r>
              <w:rPr>
                <w:b/>
                <w:sz w:val="10"/>
              </w:rPr>
              <w:t>C_zon ratio</w:t>
            </w:r>
          </w:p>
        </w:tc>
        <w:tc>
          <w:tcPr>
            <w:tcW w:w="2960" w:type="dxa"/>
            <w:shd w:val="clear" w:color="auto" w:fill="EAF2F8"/>
            <w:tcMar>
              <w:top w:w="80" w:type="dxa"/>
              <w:left w:w="90" w:type="dxa"/>
              <w:bottom w:w="80" w:type="dxa"/>
              <w:right w:w="90" w:type="dxa"/>
            </w:tcMar>
          </w:tcPr>
          <w:p w14:paraId="131A91DE">
            <w:r>
              <w:rPr>
                <w:b/>
                <w:sz w:val="10"/>
              </w:rPr>
              <w:t>Interpretation</w:t>
            </w:r>
          </w:p>
        </w:tc>
      </w:tr>
      <w:tr w14:paraId="7A4BFFC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408E1876">
            <w:r>
              <w:rPr>
                <w:sz w:val="10"/>
              </w:rPr>
              <w:t>bestest_hydronic_heat_pump</w:t>
            </w:r>
          </w:p>
        </w:tc>
        <w:tc>
          <w:tcPr>
            <w:tcW w:w="550" w:type="dxa"/>
            <w:tcMar>
              <w:top w:w="80" w:type="dxa"/>
              <w:left w:w="90" w:type="dxa"/>
              <w:bottom w:w="80" w:type="dxa"/>
              <w:right w:w="90" w:type="dxa"/>
            </w:tcMar>
          </w:tcPr>
          <w:p w14:paraId="7CE0A656">
            <w:r>
              <w:rPr>
                <w:sz w:val="10"/>
              </w:rPr>
              <w:t>FAIL</w:t>
            </w:r>
          </w:p>
        </w:tc>
        <w:tc>
          <w:tcPr>
            <w:tcW w:w="550" w:type="dxa"/>
            <w:tcMar>
              <w:top w:w="80" w:type="dxa"/>
              <w:left w:w="90" w:type="dxa"/>
              <w:bottom w:w="80" w:type="dxa"/>
              <w:right w:w="90" w:type="dxa"/>
            </w:tcMar>
          </w:tcPr>
          <w:p w14:paraId="0E4955CF">
            <w:r>
              <w:rPr>
                <w:sz w:val="10"/>
              </w:rPr>
              <w:t>FAIL</w:t>
            </w:r>
          </w:p>
        </w:tc>
        <w:tc>
          <w:tcPr>
            <w:tcW w:w="650" w:type="dxa"/>
            <w:tcMar>
              <w:top w:w="80" w:type="dxa"/>
              <w:left w:w="90" w:type="dxa"/>
              <w:bottom w:w="80" w:type="dxa"/>
              <w:right w:w="90" w:type="dxa"/>
            </w:tcMar>
          </w:tcPr>
          <w:p w14:paraId="794D8DE6">
            <w:r>
              <w:rPr>
                <w:sz w:val="10"/>
              </w:rPr>
              <w:t>0.665</w:t>
            </w:r>
          </w:p>
        </w:tc>
        <w:tc>
          <w:tcPr>
            <w:tcW w:w="650" w:type="dxa"/>
            <w:tcMar>
              <w:top w:w="80" w:type="dxa"/>
              <w:left w:w="90" w:type="dxa"/>
              <w:bottom w:w="80" w:type="dxa"/>
              <w:right w:w="90" w:type="dxa"/>
            </w:tcMar>
          </w:tcPr>
          <w:p w14:paraId="39529002">
            <w:r>
              <w:rPr>
                <w:sz w:val="10"/>
              </w:rPr>
              <w:t>0.464</w:t>
            </w:r>
          </w:p>
        </w:tc>
        <w:tc>
          <w:tcPr>
            <w:tcW w:w="850" w:type="dxa"/>
            <w:tcMar>
              <w:top w:w="80" w:type="dxa"/>
              <w:left w:w="90" w:type="dxa"/>
              <w:bottom w:w="80" w:type="dxa"/>
              <w:right w:w="90" w:type="dxa"/>
            </w:tcMar>
          </w:tcPr>
          <w:p w14:paraId="788AFD4D">
            <w:r>
              <w:rPr>
                <w:sz w:val="10"/>
              </w:rPr>
              <w:t>-7.3%</w:t>
            </w:r>
          </w:p>
        </w:tc>
        <w:tc>
          <w:tcPr>
            <w:tcW w:w="850" w:type="dxa"/>
            <w:tcMar>
              <w:top w:w="80" w:type="dxa"/>
              <w:left w:w="90" w:type="dxa"/>
              <w:bottom w:w="80" w:type="dxa"/>
              <w:right w:w="90" w:type="dxa"/>
            </w:tcMar>
          </w:tcPr>
          <w:p w14:paraId="6BD73387">
            <w:r>
              <w:rPr>
                <w:sz w:val="10"/>
              </w:rPr>
              <w:t>60.2%</w:t>
            </w:r>
          </w:p>
        </w:tc>
        <w:tc>
          <w:tcPr>
            <w:tcW w:w="850" w:type="dxa"/>
            <w:tcMar>
              <w:top w:w="80" w:type="dxa"/>
              <w:left w:w="90" w:type="dxa"/>
              <w:bottom w:w="80" w:type="dxa"/>
              <w:right w:w="90" w:type="dxa"/>
            </w:tcMar>
          </w:tcPr>
          <w:p w14:paraId="5EBEFE81">
            <w:r>
              <w:rPr>
                <w:sz w:val="10"/>
              </w:rPr>
              <w:t>1.89x</w:t>
            </w:r>
          </w:p>
        </w:tc>
        <w:tc>
          <w:tcPr>
            <w:tcW w:w="2960" w:type="dxa"/>
            <w:tcMar>
              <w:top w:w="80" w:type="dxa"/>
              <w:left w:w="90" w:type="dxa"/>
              <w:bottom w:w="80" w:type="dxa"/>
              <w:right w:w="90" w:type="dxa"/>
            </w:tcMar>
          </w:tcPr>
          <w:p w14:paraId="702CE5A7">
            <w:r>
              <w:rPr>
                <w:sz w:val="10"/>
              </w:rPr>
              <w:t>Residential hydronic heat-pump transfer fails on controller safety but succeeds on full surrogate recalibration.</w:t>
            </w:r>
          </w:p>
        </w:tc>
      </w:tr>
      <w:tr w14:paraId="5FDE624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8477AC0">
            <w:r>
              <w:rPr>
                <w:sz w:val="10"/>
              </w:rPr>
              <w:t>bestest_hydronic</w:t>
            </w:r>
          </w:p>
        </w:tc>
        <w:tc>
          <w:tcPr>
            <w:tcW w:w="550" w:type="dxa"/>
            <w:tcMar>
              <w:top w:w="80" w:type="dxa"/>
              <w:left w:w="90" w:type="dxa"/>
              <w:bottom w:w="80" w:type="dxa"/>
              <w:right w:w="90" w:type="dxa"/>
            </w:tcMar>
          </w:tcPr>
          <w:p w14:paraId="4C5E1D5C">
            <w:r>
              <w:rPr>
                <w:sz w:val="10"/>
              </w:rPr>
              <w:t>FAIL</w:t>
            </w:r>
          </w:p>
        </w:tc>
        <w:tc>
          <w:tcPr>
            <w:tcW w:w="550" w:type="dxa"/>
            <w:tcMar>
              <w:top w:w="80" w:type="dxa"/>
              <w:left w:w="90" w:type="dxa"/>
              <w:bottom w:w="80" w:type="dxa"/>
              <w:right w:w="90" w:type="dxa"/>
            </w:tcMar>
          </w:tcPr>
          <w:p w14:paraId="28C698E1">
            <w:r>
              <w:rPr>
                <w:sz w:val="10"/>
              </w:rPr>
              <w:t>FAIL</w:t>
            </w:r>
          </w:p>
        </w:tc>
        <w:tc>
          <w:tcPr>
            <w:tcW w:w="650" w:type="dxa"/>
            <w:tcMar>
              <w:top w:w="80" w:type="dxa"/>
              <w:left w:w="90" w:type="dxa"/>
              <w:bottom w:w="80" w:type="dxa"/>
              <w:right w:w="90" w:type="dxa"/>
            </w:tcMar>
          </w:tcPr>
          <w:p w14:paraId="3A43DEFA">
            <w:r>
              <w:rPr>
                <w:sz w:val="10"/>
              </w:rPr>
              <w:t>0.976</w:t>
            </w:r>
          </w:p>
        </w:tc>
        <w:tc>
          <w:tcPr>
            <w:tcW w:w="650" w:type="dxa"/>
            <w:tcMar>
              <w:top w:w="80" w:type="dxa"/>
              <w:left w:w="90" w:type="dxa"/>
              <w:bottom w:w="80" w:type="dxa"/>
              <w:right w:w="90" w:type="dxa"/>
            </w:tcMar>
          </w:tcPr>
          <w:p w14:paraId="618BF921">
            <w:r>
              <w:rPr>
                <w:sz w:val="10"/>
              </w:rPr>
              <w:t>0.750</w:t>
            </w:r>
          </w:p>
        </w:tc>
        <w:tc>
          <w:tcPr>
            <w:tcW w:w="850" w:type="dxa"/>
            <w:tcMar>
              <w:top w:w="80" w:type="dxa"/>
              <w:left w:w="90" w:type="dxa"/>
              <w:bottom w:w="80" w:type="dxa"/>
              <w:right w:w="90" w:type="dxa"/>
            </w:tcMar>
          </w:tcPr>
          <w:p w14:paraId="48354E2F">
            <w:r>
              <w:rPr>
                <w:sz w:val="10"/>
              </w:rPr>
              <w:t>-5.8%</w:t>
            </w:r>
          </w:p>
        </w:tc>
        <w:tc>
          <w:tcPr>
            <w:tcW w:w="850" w:type="dxa"/>
            <w:tcMar>
              <w:top w:w="80" w:type="dxa"/>
              <w:left w:w="90" w:type="dxa"/>
              <w:bottom w:w="80" w:type="dxa"/>
              <w:right w:w="90" w:type="dxa"/>
            </w:tcMar>
          </w:tcPr>
          <w:p w14:paraId="1AF59822">
            <w:r>
              <w:rPr>
                <w:sz w:val="10"/>
              </w:rPr>
              <w:t>87.4%</w:t>
            </w:r>
          </w:p>
        </w:tc>
        <w:tc>
          <w:tcPr>
            <w:tcW w:w="850" w:type="dxa"/>
            <w:tcMar>
              <w:top w:w="80" w:type="dxa"/>
              <w:left w:w="90" w:type="dxa"/>
              <w:bottom w:w="80" w:type="dxa"/>
              <w:right w:w="90" w:type="dxa"/>
            </w:tcMar>
          </w:tcPr>
          <w:p w14:paraId="7733FE3C">
            <w:r>
              <w:rPr>
                <w:sz w:val="10"/>
              </w:rPr>
              <w:t>1.95x</w:t>
            </w:r>
          </w:p>
        </w:tc>
        <w:tc>
          <w:tcPr>
            <w:tcW w:w="2960" w:type="dxa"/>
            <w:tcMar>
              <w:top w:w="80" w:type="dxa"/>
              <w:left w:w="90" w:type="dxa"/>
              <w:bottom w:w="80" w:type="dxa"/>
              <w:right w:w="90" w:type="dxa"/>
            </w:tcMar>
          </w:tcPr>
          <w:p w14:paraId="7785F12D">
            <w:r>
              <w:rPr>
                <w:sz w:val="10"/>
              </w:rPr>
              <w:t>Residential hydronic transfer replicates controller-side FAIL and surrogate-side PASS.</w:t>
            </w:r>
          </w:p>
        </w:tc>
      </w:tr>
      <w:tr w14:paraId="73F3AE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5798FAD">
            <w:r>
              <w:rPr>
                <w:sz w:val="10"/>
              </w:rPr>
              <w:t>singlezone_commercial_hydronic</w:t>
            </w:r>
          </w:p>
        </w:tc>
        <w:tc>
          <w:tcPr>
            <w:tcW w:w="550" w:type="dxa"/>
            <w:tcMar>
              <w:top w:w="80" w:type="dxa"/>
              <w:left w:w="90" w:type="dxa"/>
              <w:bottom w:w="80" w:type="dxa"/>
              <w:right w:w="90" w:type="dxa"/>
            </w:tcMar>
          </w:tcPr>
          <w:p w14:paraId="0B336FF8">
            <w:r>
              <w:rPr>
                <w:sz w:val="10"/>
              </w:rPr>
              <w:t>PASS</w:t>
            </w:r>
          </w:p>
        </w:tc>
        <w:tc>
          <w:tcPr>
            <w:tcW w:w="550" w:type="dxa"/>
            <w:tcMar>
              <w:top w:w="80" w:type="dxa"/>
              <w:left w:w="90" w:type="dxa"/>
              <w:bottom w:w="80" w:type="dxa"/>
              <w:right w:w="90" w:type="dxa"/>
            </w:tcMar>
          </w:tcPr>
          <w:p w14:paraId="07127232">
            <w:r>
              <w:rPr>
                <w:sz w:val="10"/>
              </w:rPr>
              <w:t>PASS</w:t>
            </w:r>
          </w:p>
        </w:tc>
        <w:tc>
          <w:tcPr>
            <w:tcW w:w="650" w:type="dxa"/>
            <w:tcMar>
              <w:top w:w="80" w:type="dxa"/>
              <w:left w:w="90" w:type="dxa"/>
              <w:bottom w:w="80" w:type="dxa"/>
              <w:right w:w="90" w:type="dxa"/>
            </w:tcMar>
          </w:tcPr>
          <w:p w14:paraId="7B26CBD3">
            <w:r>
              <w:rPr>
                <w:sz w:val="10"/>
              </w:rPr>
              <w:t>0.431</w:t>
            </w:r>
          </w:p>
        </w:tc>
        <w:tc>
          <w:tcPr>
            <w:tcW w:w="650" w:type="dxa"/>
            <w:tcMar>
              <w:top w:w="80" w:type="dxa"/>
              <w:left w:w="90" w:type="dxa"/>
              <w:bottom w:w="80" w:type="dxa"/>
              <w:right w:w="90" w:type="dxa"/>
            </w:tcMar>
          </w:tcPr>
          <w:p w14:paraId="30B55FD7">
            <w:r>
              <w:rPr>
                <w:sz w:val="10"/>
              </w:rPr>
              <w:t>0.628</w:t>
            </w:r>
          </w:p>
        </w:tc>
        <w:tc>
          <w:tcPr>
            <w:tcW w:w="850" w:type="dxa"/>
            <w:tcMar>
              <w:top w:w="80" w:type="dxa"/>
              <w:left w:w="90" w:type="dxa"/>
              <w:bottom w:w="80" w:type="dxa"/>
              <w:right w:w="90" w:type="dxa"/>
            </w:tcMar>
          </w:tcPr>
          <w:p w14:paraId="13A3C055">
            <w:r>
              <w:rPr>
                <w:sz w:val="10"/>
              </w:rPr>
              <w:t>35.3%</w:t>
            </w:r>
          </w:p>
        </w:tc>
        <w:tc>
          <w:tcPr>
            <w:tcW w:w="850" w:type="dxa"/>
            <w:tcMar>
              <w:top w:w="80" w:type="dxa"/>
              <w:left w:w="90" w:type="dxa"/>
              <w:bottom w:w="80" w:type="dxa"/>
              <w:right w:w="90" w:type="dxa"/>
            </w:tcMar>
          </w:tcPr>
          <w:p w14:paraId="149563C4">
            <w:r>
              <w:rPr>
                <w:sz w:val="10"/>
              </w:rPr>
              <w:t>87.8%</w:t>
            </w:r>
          </w:p>
        </w:tc>
        <w:tc>
          <w:tcPr>
            <w:tcW w:w="850" w:type="dxa"/>
            <w:tcMar>
              <w:top w:w="80" w:type="dxa"/>
              <w:left w:w="90" w:type="dxa"/>
              <w:bottom w:w="80" w:type="dxa"/>
              <w:right w:w="90" w:type="dxa"/>
            </w:tcMar>
          </w:tcPr>
          <w:p w14:paraId="578954AF">
            <w:r>
              <w:rPr>
                <w:sz w:val="10"/>
              </w:rPr>
              <w:t>1.91x</w:t>
            </w:r>
          </w:p>
        </w:tc>
        <w:tc>
          <w:tcPr>
            <w:tcW w:w="2960" w:type="dxa"/>
            <w:tcMar>
              <w:top w:w="80" w:type="dxa"/>
              <w:left w:w="90" w:type="dxa"/>
              <w:bottom w:w="80" w:type="dxa"/>
              <w:right w:w="90" w:type="dxa"/>
            </w:tcMar>
          </w:tcPr>
          <w:p w14:paraId="299E747F">
            <w:r>
              <w:rPr>
                <w:sz w:val="10"/>
              </w:rPr>
              <w:t>Commercial stretch falsifies expected controller FAIL: safety passes but energy increases substantially; surrogate-side PASS and C_zon ratio remains near 1.9x.</w:t>
            </w:r>
          </w:p>
        </w:tc>
      </w:tr>
    </w:tbl>
    <w:p w14:paraId="10CF52D4">
      <w:r>
        <w:rPr>
          <w:i/>
          <w:color w:val="555555"/>
          <w:sz w:val="18"/>
        </w:rPr>
        <w:t>Table 6. Block 3 transfer matrix, combining adapters, controller verdicts, surrogate gains, and C_zon re-identification.</w:t>
      </w:r>
    </w:p>
    <w:p w14:paraId="336DCDD6">
      <w:pPr>
        <w:pStyle w:val="3"/>
      </w:pPr>
      <w:r>
        <w:t>7.4 Component-level transferability conclusion</w:t>
      </w:r>
    </w:p>
    <w:p w14:paraId="5AB52D08">
      <w:r>
        <w:t>The Block 3 conclusion is therefore component-level rather than binary. The surrogate physics representation is transferable under full recalibration. The frozen controller is not robustly transferable through actuator adapters. The transferability boundary lies at the controller-adapter interface, and the natural next experiment is controller fine-tuning on the target-recalibrated surrogate. That experiment is explicitly outside the pre-registered scope of this paper.</w:t>
      </w:r>
    </w:p>
    <w:p w14:paraId="1331502B">
      <w:pPr>
        <w:pStyle w:val="2"/>
      </w:pPr>
      <w:r>
        <w:t>8. Discussion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250"/>
        <w:gridCol w:w="2400"/>
        <w:gridCol w:w="2200"/>
        <w:gridCol w:w="1250"/>
        <w:gridCol w:w="2260"/>
      </w:tblGrid>
      <w:tr w14:paraId="3FF9B66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shd w:val="clear" w:color="auto" w:fill="EAF2F8"/>
            <w:tcMar>
              <w:top w:w="80" w:type="dxa"/>
              <w:left w:w="90" w:type="dxa"/>
              <w:bottom w:w="80" w:type="dxa"/>
              <w:right w:w="90" w:type="dxa"/>
            </w:tcMar>
          </w:tcPr>
          <w:p w14:paraId="14BF6239">
            <w:r>
              <w:rPr>
                <w:b/>
                <w:sz w:val="10"/>
              </w:rPr>
              <w:t>Hypothesis</w:t>
            </w:r>
          </w:p>
        </w:tc>
        <w:tc>
          <w:tcPr>
            <w:tcW w:w="2400" w:type="dxa"/>
            <w:shd w:val="clear" w:color="auto" w:fill="EAF2F8"/>
            <w:tcMar>
              <w:top w:w="80" w:type="dxa"/>
              <w:left w:w="90" w:type="dxa"/>
              <w:bottom w:w="80" w:type="dxa"/>
              <w:right w:w="90" w:type="dxa"/>
            </w:tcMar>
          </w:tcPr>
          <w:p w14:paraId="21D7322C">
            <w:r>
              <w:rPr>
                <w:b/>
                <w:sz w:val="10"/>
              </w:rPr>
              <w:t>Pre-registered claim</w:t>
            </w:r>
          </w:p>
        </w:tc>
        <w:tc>
          <w:tcPr>
            <w:tcW w:w="2200" w:type="dxa"/>
            <w:shd w:val="clear" w:color="auto" w:fill="EAF2F8"/>
            <w:tcMar>
              <w:top w:w="80" w:type="dxa"/>
              <w:left w:w="90" w:type="dxa"/>
              <w:bottom w:w="80" w:type="dxa"/>
              <w:right w:w="90" w:type="dxa"/>
            </w:tcMar>
          </w:tcPr>
          <w:p w14:paraId="3E9FB0F2">
            <w:r>
              <w:rPr>
                <w:b/>
                <w:sz w:val="10"/>
              </w:rPr>
              <w:t>Operational criterion</w:t>
            </w:r>
          </w:p>
        </w:tc>
        <w:tc>
          <w:tcPr>
            <w:tcW w:w="1250" w:type="dxa"/>
            <w:shd w:val="clear" w:color="auto" w:fill="EAF2F8"/>
            <w:tcMar>
              <w:top w:w="80" w:type="dxa"/>
              <w:left w:w="90" w:type="dxa"/>
              <w:bottom w:w="80" w:type="dxa"/>
              <w:right w:w="90" w:type="dxa"/>
            </w:tcMar>
          </w:tcPr>
          <w:p w14:paraId="668ABF85">
            <w:r>
              <w:rPr>
                <w:b/>
                <w:sz w:val="10"/>
              </w:rPr>
              <w:t>Verdict</w:t>
            </w:r>
          </w:p>
        </w:tc>
        <w:tc>
          <w:tcPr>
            <w:tcW w:w="2260" w:type="dxa"/>
            <w:shd w:val="clear" w:color="auto" w:fill="EAF2F8"/>
            <w:tcMar>
              <w:top w:w="80" w:type="dxa"/>
              <w:left w:w="90" w:type="dxa"/>
              <w:bottom w:w="80" w:type="dxa"/>
              <w:right w:w="90" w:type="dxa"/>
            </w:tcMar>
          </w:tcPr>
          <w:p w14:paraId="1C63614F">
            <w:r>
              <w:rPr>
                <w:b/>
                <w:sz w:val="10"/>
              </w:rPr>
              <w:t>Evidence</w:t>
            </w:r>
          </w:p>
        </w:tc>
      </w:tr>
      <w:tr w14:paraId="774B8A8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2D22520D">
            <w:r>
              <w:rPr>
                <w:sz w:val="10"/>
              </w:rPr>
              <w:t>H1 strong</w:t>
            </w:r>
          </w:p>
        </w:tc>
        <w:tc>
          <w:tcPr>
            <w:tcW w:w="2400" w:type="dxa"/>
            <w:tcMar>
              <w:top w:w="80" w:type="dxa"/>
              <w:left w:w="90" w:type="dxa"/>
              <w:bottom w:w="80" w:type="dxa"/>
              <w:right w:w="90" w:type="dxa"/>
            </w:tcMar>
          </w:tcPr>
          <w:p w14:paraId="2B6D37B6">
            <w:r>
              <w:rPr>
                <w:sz w:val="10"/>
              </w:rPr>
              <w:t>Frozen recipe transfers directly</w:t>
            </w:r>
          </w:p>
        </w:tc>
        <w:tc>
          <w:tcPr>
            <w:tcW w:w="2200" w:type="dxa"/>
            <w:tcMar>
              <w:top w:w="80" w:type="dxa"/>
              <w:left w:w="90" w:type="dxa"/>
              <w:bottom w:w="80" w:type="dxa"/>
              <w:right w:w="90" w:type="dxa"/>
            </w:tcMar>
          </w:tcPr>
          <w:p w14:paraId="7A5DE54D">
            <w:r>
              <w:rPr>
                <w:sz w:val="10"/>
              </w:rPr>
              <w:t>mode=none PASS on &gt;=2/3 without severe KPI penalty</w:t>
            </w:r>
          </w:p>
        </w:tc>
        <w:tc>
          <w:tcPr>
            <w:tcW w:w="1250" w:type="dxa"/>
            <w:tcMar>
              <w:top w:w="80" w:type="dxa"/>
              <w:left w:w="90" w:type="dxa"/>
              <w:bottom w:w="80" w:type="dxa"/>
              <w:right w:w="90" w:type="dxa"/>
            </w:tcMar>
          </w:tcPr>
          <w:p w14:paraId="31D57C19">
            <w:r>
              <w:rPr>
                <w:sz w:val="10"/>
              </w:rPr>
              <w:t>Falsified</w:t>
            </w:r>
          </w:p>
        </w:tc>
        <w:tc>
          <w:tcPr>
            <w:tcW w:w="2260" w:type="dxa"/>
            <w:tcMar>
              <w:top w:w="80" w:type="dxa"/>
              <w:left w:w="90" w:type="dxa"/>
              <w:bottom w:w="80" w:type="dxa"/>
              <w:right w:w="90" w:type="dxa"/>
            </w:tcMar>
          </w:tcPr>
          <w:p w14:paraId="331038D4">
            <w:r>
              <w:rPr>
                <w:sz w:val="10"/>
              </w:rPr>
              <w:t>Residential hydronic cases fail; commercial passes m_s but +35.3% energy.</w:t>
            </w:r>
          </w:p>
        </w:tc>
      </w:tr>
      <w:tr w14:paraId="0D775B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3C4A06">
            <w:r>
              <w:rPr>
                <w:sz w:val="10"/>
              </w:rPr>
              <w:t>H2 medium</w:t>
            </w:r>
          </w:p>
        </w:tc>
        <w:tc>
          <w:tcPr>
            <w:tcW w:w="2400" w:type="dxa"/>
            <w:tcMar>
              <w:top w:w="80" w:type="dxa"/>
              <w:left w:w="90" w:type="dxa"/>
              <w:bottom w:w="80" w:type="dxa"/>
              <w:right w:w="90" w:type="dxa"/>
            </w:tcMar>
          </w:tcPr>
          <w:p w14:paraId="3383DEE0">
            <w:r>
              <w:rPr>
                <w:sz w:val="10"/>
              </w:rPr>
              <w:t>Partial surrogate recalibration is sufficient</w:t>
            </w:r>
          </w:p>
        </w:tc>
        <w:tc>
          <w:tcPr>
            <w:tcW w:w="2200" w:type="dxa"/>
            <w:tcMar>
              <w:top w:w="80" w:type="dxa"/>
              <w:left w:w="90" w:type="dxa"/>
              <w:bottom w:w="80" w:type="dxa"/>
              <w:right w:w="90" w:type="dxa"/>
            </w:tcMar>
          </w:tcPr>
          <w:p w14:paraId="7238F0C9">
            <w:r>
              <w:rPr>
                <w:sz w:val="10"/>
              </w:rPr>
              <w:t>Stage C only improves controller verdict</w:t>
            </w:r>
          </w:p>
        </w:tc>
        <w:tc>
          <w:tcPr>
            <w:tcW w:w="1250" w:type="dxa"/>
            <w:tcMar>
              <w:top w:w="80" w:type="dxa"/>
              <w:left w:w="90" w:type="dxa"/>
              <w:bottom w:w="80" w:type="dxa"/>
              <w:right w:w="90" w:type="dxa"/>
            </w:tcMar>
          </w:tcPr>
          <w:p w14:paraId="67CC611A">
            <w:r>
              <w:rPr>
                <w:sz w:val="10"/>
              </w:rPr>
              <w:t>Falsified structurally</w:t>
            </w:r>
          </w:p>
        </w:tc>
        <w:tc>
          <w:tcPr>
            <w:tcW w:w="2260" w:type="dxa"/>
            <w:tcMar>
              <w:top w:w="80" w:type="dxa"/>
              <w:left w:w="90" w:type="dxa"/>
              <w:bottom w:w="80" w:type="dxa"/>
              <w:right w:w="90" w:type="dxa"/>
            </w:tcMar>
          </w:tcPr>
          <w:p w14:paraId="2A25F3EA">
            <w:r>
              <w:rPr>
                <w:sz w:val="10"/>
              </w:rPr>
              <w:t>Controller frozen, so live KPI cannot change from none.</w:t>
            </w:r>
          </w:p>
        </w:tc>
      </w:tr>
      <w:tr w14:paraId="7560C5C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F50B1D">
            <w:r>
              <w:rPr>
                <w:sz w:val="10"/>
              </w:rPr>
              <w:t>H3 weak surrogate side</w:t>
            </w:r>
          </w:p>
        </w:tc>
        <w:tc>
          <w:tcPr>
            <w:tcW w:w="2400" w:type="dxa"/>
            <w:tcMar>
              <w:top w:w="80" w:type="dxa"/>
              <w:left w:w="90" w:type="dxa"/>
              <w:bottom w:w="80" w:type="dxa"/>
              <w:right w:w="90" w:type="dxa"/>
            </w:tcMar>
          </w:tcPr>
          <w:p w14:paraId="38934CBD">
            <w:r>
              <w:rPr>
                <w:sz w:val="10"/>
              </w:rPr>
              <w:t>Full recalibration gives useful target twin</w:t>
            </w:r>
          </w:p>
        </w:tc>
        <w:tc>
          <w:tcPr>
            <w:tcW w:w="2200" w:type="dxa"/>
            <w:tcMar>
              <w:top w:w="80" w:type="dxa"/>
              <w:left w:w="90" w:type="dxa"/>
              <w:bottom w:w="80" w:type="dxa"/>
              <w:right w:w="90" w:type="dxa"/>
            </w:tcMar>
          </w:tcPr>
          <w:p w14:paraId="1FD6873A">
            <w:r>
              <w:rPr>
                <w:sz w:val="10"/>
              </w:rPr>
              <w:t>RMSE_T improves under full Stage A/B/C</w:t>
            </w:r>
          </w:p>
        </w:tc>
        <w:tc>
          <w:tcPr>
            <w:tcW w:w="1250" w:type="dxa"/>
            <w:tcMar>
              <w:top w:w="80" w:type="dxa"/>
              <w:left w:w="90" w:type="dxa"/>
              <w:bottom w:w="80" w:type="dxa"/>
              <w:right w:w="90" w:type="dxa"/>
            </w:tcMar>
          </w:tcPr>
          <w:p w14:paraId="0D674952">
            <w:r>
              <w:rPr>
                <w:sz w:val="10"/>
              </w:rPr>
              <w:t>Supported</w:t>
            </w:r>
          </w:p>
        </w:tc>
        <w:tc>
          <w:tcPr>
            <w:tcW w:w="2260" w:type="dxa"/>
            <w:tcMar>
              <w:top w:w="80" w:type="dxa"/>
              <w:left w:w="90" w:type="dxa"/>
              <w:bottom w:w="80" w:type="dxa"/>
              <w:right w:w="90" w:type="dxa"/>
            </w:tcMar>
          </w:tcPr>
          <w:p w14:paraId="4D2D0BC9">
            <w:r>
              <w:rPr>
                <w:sz w:val="10"/>
              </w:rPr>
              <w:t>60.2-87.8% RMSE_T improvement across N=3.</w:t>
            </w:r>
          </w:p>
        </w:tc>
      </w:tr>
      <w:tr w14:paraId="69B4680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5FDD427B">
            <w:r>
              <w:rPr>
                <w:sz w:val="10"/>
              </w:rPr>
              <w:t>H3 weak controller side</w:t>
            </w:r>
          </w:p>
        </w:tc>
        <w:tc>
          <w:tcPr>
            <w:tcW w:w="2400" w:type="dxa"/>
            <w:tcMar>
              <w:top w:w="80" w:type="dxa"/>
              <w:left w:w="90" w:type="dxa"/>
              <w:bottom w:w="80" w:type="dxa"/>
              <w:right w:w="90" w:type="dxa"/>
            </w:tcMar>
          </w:tcPr>
          <w:p w14:paraId="2744CAF6">
            <w:r>
              <w:rPr>
                <w:sz w:val="10"/>
              </w:rPr>
              <w:t>Full surrogate recalibration rescues frozen controller</w:t>
            </w:r>
          </w:p>
        </w:tc>
        <w:tc>
          <w:tcPr>
            <w:tcW w:w="2200" w:type="dxa"/>
            <w:tcMar>
              <w:top w:w="80" w:type="dxa"/>
              <w:left w:w="90" w:type="dxa"/>
              <w:bottom w:w="80" w:type="dxa"/>
              <w:right w:w="90" w:type="dxa"/>
            </w:tcMar>
          </w:tcPr>
          <w:p w14:paraId="75652B81">
            <w:r>
              <w:rPr>
                <w:sz w:val="10"/>
              </w:rPr>
              <w:t>Controller PASS after full</w:t>
            </w:r>
          </w:p>
        </w:tc>
        <w:tc>
          <w:tcPr>
            <w:tcW w:w="1250" w:type="dxa"/>
            <w:tcMar>
              <w:top w:w="80" w:type="dxa"/>
              <w:left w:w="90" w:type="dxa"/>
              <w:bottom w:w="80" w:type="dxa"/>
              <w:right w:w="90" w:type="dxa"/>
            </w:tcMar>
          </w:tcPr>
          <w:p w14:paraId="0707C895">
            <w:r>
              <w:rPr>
                <w:sz w:val="10"/>
              </w:rPr>
              <w:t>Falsified/split</w:t>
            </w:r>
          </w:p>
        </w:tc>
        <w:tc>
          <w:tcPr>
            <w:tcW w:w="2260" w:type="dxa"/>
            <w:tcMar>
              <w:top w:w="80" w:type="dxa"/>
              <w:left w:w="90" w:type="dxa"/>
              <w:bottom w:w="80" w:type="dxa"/>
              <w:right w:w="90" w:type="dxa"/>
            </w:tcMar>
          </w:tcPr>
          <w:p w14:paraId="12039177">
            <w:r>
              <w:rPr>
                <w:sz w:val="10"/>
              </w:rPr>
              <w:t>Surrogate succeeds, controller remains regime-dependent.</w:t>
            </w:r>
          </w:p>
        </w:tc>
      </w:tr>
      <w:tr w14:paraId="00B42D8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4F623230">
            <w:r>
              <w:rPr>
                <w:sz w:val="10"/>
              </w:rPr>
              <w:t>MORL action-saturation</w:t>
            </w:r>
          </w:p>
        </w:tc>
        <w:tc>
          <w:tcPr>
            <w:tcW w:w="2400" w:type="dxa"/>
            <w:tcMar>
              <w:top w:w="80" w:type="dxa"/>
              <w:left w:w="90" w:type="dxa"/>
              <w:bottom w:w="80" w:type="dxa"/>
              <w:right w:w="90" w:type="dxa"/>
            </w:tcMar>
          </w:tcPr>
          <w:p w14:paraId="0C6A1A43">
            <w:r>
              <w:rPr>
                <w:sz w:val="10"/>
              </w:rPr>
              <w:t>N=3 seasonal inversion persists at N=5</w:t>
            </w:r>
          </w:p>
        </w:tc>
        <w:tc>
          <w:tcPr>
            <w:tcW w:w="2200" w:type="dxa"/>
            <w:tcMar>
              <w:top w:w="80" w:type="dxa"/>
              <w:left w:w="90" w:type="dxa"/>
              <w:bottom w:w="80" w:type="dxa"/>
              <w:right w:w="90" w:type="dxa"/>
            </w:tcMar>
          </w:tcPr>
          <w:p w14:paraId="1D85DAA3">
            <w:r>
              <w:rPr>
                <w:sz w:val="10"/>
              </w:rPr>
              <w:t>Feb sigma &lt;0.005 and winter ratio &gt;20x</w:t>
            </w:r>
          </w:p>
        </w:tc>
        <w:tc>
          <w:tcPr>
            <w:tcW w:w="1250" w:type="dxa"/>
            <w:tcMar>
              <w:top w:w="80" w:type="dxa"/>
              <w:left w:w="90" w:type="dxa"/>
              <w:bottom w:w="80" w:type="dxa"/>
              <w:right w:w="90" w:type="dxa"/>
            </w:tcMar>
          </w:tcPr>
          <w:p w14:paraId="6751BAA3">
            <w:r>
              <w:rPr>
                <w:sz w:val="10"/>
              </w:rPr>
              <w:t>Falsified</w:t>
            </w:r>
          </w:p>
        </w:tc>
        <w:tc>
          <w:tcPr>
            <w:tcW w:w="2260" w:type="dxa"/>
            <w:tcMar>
              <w:top w:w="80" w:type="dxa"/>
              <w:left w:w="90" w:type="dxa"/>
              <w:bottom w:w="80" w:type="dxa"/>
              <w:right w:w="90" w:type="dxa"/>
            </w:tcMar>
          </w:tcPr>
          <w:p w14:paraId="60C95CAD">
            <w:r>
              <w:rPr>
                <w:sz w:val="10"/>
              </w:rPr>
              <w:t>Feb sigma rose and inversion collapsed at N=5.</w:t>
            </w:r>
          </w:p>
        </w:tc>
      </w:tr>
    </w:tbl>
    <w:p w14:paraId="16A30AA2">
      <w:r>
        <w:rPr>
          <w:i/>
          <w:color w:val="555555"/>
          <w:sz w:val="18"/>
        </w:rPr>
        <w:t>Table 7. Hypothesis closure table. The audit trail maps each claim to the pre-registered protocol and post-result append-only records.</w:t>
      </w:r>
    </w:p>
    <w:p w14:paraId="74B75180">
      <w:pPr>
        <w:pStyle w:val="3"/>
      </w:pPr>
      <w:r>
        <w:t>8.1 Predictive validity versus RL training utility</w:t>
      </w:r>
    </w:p>
    <w:p w14:paraId="7772D26F">
      <w:r>
        <w:t>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policy’s experienced state distribution and can produce qualitatively different behavior. This explains why calibrated v3.5 is a strong predictive twin yet fails as a standalone RL backend (m_s = 1.046, live RMSE &gt; 4 °C).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
      </w:r>
    </w:p>
    <w:p w14:paraId="17D1F0C0">
      <w:pPr>
        <w:pStyle w:val="3"/>
      </w:pPr>
      <w:r>
        <w:t>8.2 Controller-family specificity</w:t>
      </w:r>
    </w:p>
    <w:p w14:paraId="54F9CA74">
      <w:r>
        <w:t>The regulariser is not universally beneficial. Thermostatic PPO benefits from the temperature anchor because the disagreement penalty stabilises the local temperature-power trade-off. HDRL and 17-D MORL are more sensitive to the temperature channel and perform best with λ_temp = 0; their structural priors already supply the comfort-aware inductive bias. The MORL canonical seed analysis at N=5 remains high-variance (CV § 0.42–0.61).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
      </w:r>
    </w:p>
    <w:p w14:paraId="6973B67D">
      <w:pPr>
        <w:pStyle w:val="3"/>
      </w:pPr>
      <w:r>
        <w:t>8.3 Transferability boundary</w:t>
      </w:r>
    </w:p>
    <w:p w14:paraId="6A7C2E72">
      <w:r>
        <w:t>Block 3 decomposes transferability into a surrogate component and a controller component. The surrogate side transfers strongly on N=3 hydronic testcases: full Stage A/B/C improves RMSE_T by 60.2 %, 87.4 %, and 87.8 %; the re-identified C_zon clusters in 1.89–1.95× bestest_air, supporting the pre-registered uniform-hydronic-family hypothesis A (a-priori 0.35) and falsifying scale-dependent alternative B (a-priori 0.50). The controller side does not transfer in a deployment-ready sense: residential cases save 6–7 % energy versus PI but fail the 1.25×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
      </w:r>
    </w:p>
    <w:p w14:paraId="4A0DF50A">
      <w:pPr>
        <w:pStyle w:val="3"/>
      </w:pPr>
      <w:r>
        <w:t>8.4 Step-size disclosure and pre-registration discipline</w:t>
      </w:r>
    </w:p>
    <w:p w14:paraId="219338C6">
      <w:r>
        <w:t>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 a multiplicative –T bias is absorbed by critic normalisation; (iii) the higher v3 24-h RMSE (1.557 °C) strengthens the fidelity-utility paradox. A corpus-matched v3 retraining (§5.3) reduces 24-h RMSE to 0.876 °C but is reported as decomposition evidence, not as the canonical, to protect the pre-registration chain. Three findings are pre-registered predictions whose results could have been falsified and were: the single-λ hypothesis (RQ2/H2), the stretch-testcase controller-FAIL prediction (a-priori 0.80), and the scale-dependent C_zon hypothesis (a-priori 0.50). All three shifted the supported hypothesis to lower a-priori alternatives.</w:t>
      </w:r>
    </w:p>
    <w:p w14:paraId="0F79FFE7">
      <w:pPr>
        <w:pStyle w:val="3"/>
      </w:pPr>
      <w:r>
        <w:t>8.5 Positioning relative to related work</w:t>
      </w:r>
    </w:p>
    <w:p w14:paraId="11369B10">
      <w:r>
        <w:t>Our fidelity-utility paradox is consistent with surrogate-development reporting gaps highlighted by Hou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
      </w:r>
    </w:p>
    <w:p w14:paraId="14B2E74B">
      <w:pPr>
        <w:pStyle w:val="3"/>
      </w:pPr>
      <w:r>
        <w:t>8.6 Threats to validity</w:t>
      </w:r>
    </w:p>
    <w:p w14:paraId="08DE7B5F">
      <w:r>
        <w:t>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 speed-up is measured against the BOPTEST RTE HTTP-Docker deployment, not bare FMU evaluation. The two-horizon evaluation protocol (§4.4) uses 14-day windows for Sections 5–6 and yearly evaluation for Section 7; Block 2 targeted-window results should not be interpreted as yearly deployment guarantees. The Block 3 1.25× PI threshold can mask per-KPI deterioration — the commercial stretch case is a threshold PASS that is not deployment-ready because of its energy penalty. Future protocols should use a tiered verdict with per-KPI floors for energy and violation rate.</w:t>
      </w:r>
    </w:p>
    <w:p w14:paraId="2234FDD4">
      <w:pPr>
        <w:pStyle w:val="2"/>
      </w:pPr>
      <w:r>
        <w:t>9. Conclusion</w:t>
      </w:r>
    </w:p>
    <w:p w14:paraId="392FD99C">
      <w:r>
        <w:t>This paper tested a common assumption in physics-informed RL for buildings — that a more predictive physical twin should be the better RL training environment — and reported a negative result on the BOPTEST bestest_air testcase. The calibrated v3.5 grey-box twin (24-h rollout RMSE 0.644 °C, 2.4× better than v3) improves long-horizon predictive fidelity, yet when used directly as the PPO backbone the resulting policy collapses to m_s = 1.046 with live comfort RMSE above 4 °C.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 surrogate-speed advantage required for RL training, and is mechanism-preserving: PPO computes advantage from the augmented reward in the standard way with no policy-gradient modification.</w:t>
      </w:r>
    </w:p>
    <w:p w14:paraId="7C5FA343">
      <w:r>
        <w:t>The hybrid weight is not universal across controller families. Thermostatic PPO favours λ_temp = 0.10; HDRL favours λ_temp = 0.00 (its m_s degrades monotonically with increasing λ_temp from 0.180 to 0.440 on peak); the 17-D MORL matches HDRL. The MORL N=5 canonical analysis remains high-variance (CV § 0.42–0.61); the pre-registered action-saturation hypothesis is falsified at commit 62dc859 and the defensible reading is that MORL needs explicit policy-stabilisation to become deployment-stable.</w:t>
      </w:r>
    </w:p>
    <w:p w14:paraId="791F75F2">
      <w:r>
        <w:t>The pre-registered Block 3 transferability study extends the contribution beyond bestest_air. Across three single-zone hydronic testcases the Stage A/B/C inverse calibration pipeline transfers robustly, with 60.2 % / 87.4 % / 87.8 % RMSE_T improvement and tightly clustered C_zon at 1.918 ± 0.032× bestest_air. This falsifies the pre-registered scale-dependent hypothesis (a-priori 0.50) in favour of the uniform-hydronic-family hypothesis (a-priori 0.35). The frozen-controller side does not transfer in a deployment-ready sense: residential cases fail the 1.25× PI comfort threshold; the commercial stretch passes safety but at +35.3 % energy versus PI.</w:t>
      </w:r>
    </w:p>
    <w:p w14:paraId="0B5A25D0">
      <w:r>
        <w:t>The component-level take-away is that the physically informed surrogate representation transfers, while the controller-adapter interface is the bottleneck. The immediate next experiment is target-specific controller fine-tuning on the target-recalibrated surrogate under a tiered comfort–energy transfer criterion —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
      </w:r>
    </w:p>
    <w:p w14:paraId="3B0CF506">
      <w:pPr>
        <w:pStyle w:val="2"/>
      </w:pPr>
      <w:r>
        <w:t>Data availability</w:t>
      </w:r>
    </w:p>
    <w:p w14:paraId="250FB146">
      <w:r>
        <w:t>All numerical values are sourced from CSV artifacts under reports/ and outputs/. The figure-source manifest is reports/article_real_figures_manifest.csv.</w:t>
      </w:r>
    </w:p>
    <w:p w14:paraId="0EF4F94D">
      <w:r>
        <w:br w:type="page"/>
      </w:r>
    </w:p>
    <w:p w14:paraId="734F79A2">
      <w:pPr>
        <w:pStyle w:val="2"/>
      </w:pPr>
      <w:r>
        <w:t>Supplementary Material: Hou and Evins Numerical Artifacts</w:t>
      </w:r>
    </w:p>
    <w:p w14:paraId="2FFB6489">
      <w:r>
        <w:t>The following tables summarize the eleven article-facing numerical artifacts adapted from the Hou-and-Evins surrogate reporting protocol [17]. The complete machine-readable versions remain in reports/hou_evins_*.csv.</w:t>
      </w:r>
    </w:p>
    <w:p w14:paraId="7AB46C4B">
      <w:pPr>
        <w:pStyle w:val="3"/>
      </w:pPr>
      <w:r>
        <w:t>S1. Sample generation (reports/hou_evins_sample_generation_table.csv)</w:t>
      </w:r>
    </w:p>
    <w:p w14:paraId="283F1637">
      <w:pPr>
        <w:pStyle w:val="3"/>
      </w:pPr>
      <w:r>
        <w:t>S2. Sample-size justification (reports/hou_evins_sample_size_justification_table.csv)</w:t>
      </w:r>
    </w:p>
    <w:p w14:paraId="184332D7">
      <w:pPr>
        <w:pStyle w:val="3"/>
      </w:pPr>
      <w:r>
        <w:t>S3. Split representativeness (reports/hou_evins_split_representativeness_table.csv)</w:t>
      </w:r>
    </w:p>
    <w:p w14:paraId="560D8825">
      <w:pPr>
        <w:pStyle w:val="3"/>
      </w:pPr>
      <w:r>
        <w:t>S4. Stage A processing (reports/hou_evins_stage_a_processing_table.csv)</w:t>
      </w:r>
    </w:p>
    <w:p w14:paraId="4412A2C2">
      <w:pPr>
        <w:pStyle w:val="3"/>
      </w:pPr>
      <w:r>
        <w:t>S5. Feature significance and encoding (reports/hou_evins_feature_justification_table.csv)</w:t>
      </w:r>
    </w:p>
    <w:p w14:paraId="01516FC3">
      <w:pPr>
        <w:pStyle w:val="3"/>
      </w:pPr>
      <w:r>
        <w:t>S6. Scaling (reports/hou_evins_scaling_table.csv)</w:t>
      </w:r>
    </w:p>
    <w:p w14:paraId="243DA8A4">
      <w:pPr>
        <w:pStyle w:val="3"/>
      </w:pPr>
      <w:r>
        <w:t>S7. Input independence (reports/hou_evins_input_independence_table.csv)</w:t>
      </w:r>
    </w:p>
    <w:p w14:paraId="6332FF3D">
      <w:pPr>
        <w:pStyle w:val="3"/>
      </w:pPr>
      <w:r>
        <w:t>S8. Training hyperparameters (reports/hou_evins_training_hyperparams_table.csv)</w:t>
      </w:r>
    </w:p>
    <w:p w14:paraId="4D778662">
      <w:pPr>
        <w:pStyle w:val="3"/>
      </w:pPr>
      <w:r>
        <w:t>S9. Architecture justification (reports/hou_evins_architecture_justification_table.csv)</w:t>
      </w:r>
    </w:p>
    <w:p w14:paraId="3B43A408">
      <w:pPr>
        <w:pStyle w:val="3"/>
      </w:pPr>
      <w:r>
        <w:t>S10. Targeted sensitivity (reports/hou_evins_targeted_sensitivity_table.csv)</w:t>
      </w:r>
    </w:p>
    <w:p w14:paraId="797F036F">
      <w:pPr>
        <w:pStyle w:val="3"/>
      </w:pPr>
      <w:r>
        <w:t>S11. Predictive validity (reports/hou_evins_predictive_validity_table.csv)</w:t>
      </w:r>
    </w:p>
    <w:p w14:paraId="3625F9BC">
      <w:pPr>
        <w:pStyle w:val="2"/>
      </w:pPr>
      <w:r>
        <w:t>References</w:t>
      </w:r>
    </w:p>
    <w:p w14:paraId="1546773A">
      <w:r>
        <w:rPr>
          <w:sz w:val="18"/>
        </w:rPr>
        <w:t>[1] Zhang S, Ma M, Zhou N, Yan J. GLOBUS: Global building renovation potential by 2070. arXiv preprint arXiv:2406.04133, 2024.</w:t>
      </w:r>
    </w:p>
    <w:p w14:paraId="2DE4A9AF">
      <w:r>
        <w:rPr>
          <w:sz w:val="18"/>
        </w:rPr>
        <w:t>[2] Arroyo J, Spiessens F, Helsen L. Comparison of optimal control techniques for building energy management. Frontiers in Built Environment. 2022;8:849754. doi:10.3389/fbuil.2022.849754.</w:t>
      </w:r>
    </w:p>
    <w:p w14:paraId="0636EAC2">
      <w:r>
        <w:rPr>
          <w:sz w:val="18"/>
        </w:rPr>
        <w:t>[3] Arroyo J, Spiessens F, Helsen L. Identification of multi-zone grey-box building models for use in model predictive control. Journal of Building Performance Simulation. 2020;13(4):472-486. doi:10.1080/19401493.2020.1770861.</w:t>
      </w:r>
    </w:p>
    <w:p w14:paraId="68BF49C5">
      <w:r>
        <w:rPr>
          <w:sz w:val="18"/>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
      </w:r>
    </w:p>
    <w:p w14:paraId="26429B7D">
      <w:r>
        <w:rPr>
          <w:sz w:val="18"/>
        </w:rPr>
        <w:t>[5] Arroyo J, Manna C, Spiessens F, Helsen L. An OpenAI-Gym environment for the Building Optimization Testing Framework. Proceedings of the 17th IBPSA Conference; 2021 Sep 1-3; Bruges, Belgium.</w:t>
      </w:r>
    </w:p>
    <w:p w14:paraId="38F9ADC8">
      <w:r>
        <w:rPr>
          <w:sz w:val="18"/>
        </w:rPr>
        <w:t>[6] Wang D, Zheng W, Wang Z, Wang Y, Pang X, Wang W. Comparison of reinforcement learning and model predictive control for building energy system optimization. Applied Thermal Engineering. 2023;228:120430. doi:10.1016/j.applthermaleng.2023.120430.</w:t>
      </w:r>
    </w:p>
    <w:p w14:paraId="61AE2380">
      <w:r>
        <w:rPr>
          <w:sz w:val="18"/>
        </w:rPr>
        <w:t>[7] Arroyo J, Manna C, Spiessens F, Helsen L. Reinforced model predictive control for building energy management. Applied Energy. 2022;309:118346. doi:10.1016/j.apenergy.2021.118346.</w:t>
      </w:r>
    </w:p>
    <w:p w14:paraId="272A1C9A">
      <w:r>
        <w:rPr>
          <w:sz w:val="18"/>
        </w:rPr>
        <w:t>[8] Drgona J, Tuor AR, Chandan V, Vrabie DL. Physics-constrained deep learning of multi-zone building thermal dynamics. arXiv preprint arXiv:2011.05987, 2020.</w:t>
      </w:r>
    </w:p>
    <w:p w14:paraId="2904CB8B">
      <w:r>
        <w:rPr>
          <w:sz w:val="18"/>
        </w:rPr>
        <w:t>[9] Jiang Z, Lee YM. Deep transfer learning for thermal dynamics modeling in smart buildings. arXiv preprint arXiv:1911.03318, 2019.</w:t>
      </w:r>
    </w:p>
    <w:p w14:paraId="2273D907">
      <w:r>
        <w:rPr>
          <w:sz w:val="18"/>
        </w:rPr>
        <w:t>[10] Xu S, Wang Y, Wang Y, O'Neill Z, Zhu Q. One for many: transfer learning for building HVAC control. arXiv preprint arXiv:2008.03625, 2020.</w:t>
      </w:r>
    </w:p>
    <w:p w14:paraId="63FCC504">
      <w:r>
        <w:rPr>
          <w:sz w:val="18"/>
        </w:rPr>
        <w:t>[11] Fierro G, Prakash AK, Blum D, Bender J, Paulson E, Wetter M. Notes paper: enabling building application development with simulated digital twins. BuildSys '22; 2022 Nov 9-10; Boston, MA, USA. doi:10.1145/3563357.3564060.</w:t>
      </w:r>
    </w:p>
    <w:p w14:paraId="63385B08">
      <w:r>
        <w:rPr>
          <w:sz w:val="18"/>
        </w:rPr>
        <w:t>[12] Mostafavi S, Song C, Sharma A, Goyal R, Brito A. Benchmarking model predictive control algorithms in Building Optimization Testing Framework. arXiv preprint arXiv:2301.13447, 2023.</w:t>
      </w:r>
    </w:p>
    <w:p w14:paraId="6B2E3EC5">
      <w:r>
        <w:rPr>
          <w:sz w:val="18"/>
        </w:rPr>
        <w:t>[13] Khabbazi AJ, Pergantis EN, Reyes Premer LD, Papageorgiou P, Lee AH, Braun JE, Henze GP, Kircher KJ. Lessons learned from field demonstrations of model predictive control and reinforcement learning for residential and commercial HVAC: a review. arXiv preprint arXiv:2503.05022, 2025.</w:t>
      </w:r>
    </w:p>
    <w:p w14:paraId="2E696AD9">
      <w:r>
        <w:rPr>
          <w:sz w:val="18"/>
        </w:rPr>
        <w:t>[14] Bekal GU, Ghareeb A, Pujari A. Continual reinforcement learning for HVAC systems control: integrating hypernetworks and transfer learning. arXiv preprint arXiv:2503.19212, 2025.</w:t>
      </w:r>
    </w:p>
    <w:p w14:paraId="3CAC3C12">
      <w:r>
        <w:rPr>
          <w:sz w:val="18"/>
        </w:rPr>
        <w:t>[15] Ruiz de Vargas JM, Raisch F, Nagy Z, Pinson P, Goebel C. Counter-Dyna: data-efficient RL-based HVAC control using counterfactual building models. arXiv preprint arXiv:2605.04555, 2026.</w:t>
      </w:r>
    </w:p>
    <w:p w14:paraId="4657C797">
      <w:r>
        <w:rPr>
          <w:sz w:val="18"/>
        </w:rPr>
        <w:t>[16] Al Sayed K et al. Reinforcement learning for HVAC control in intelligent buildings: a technical and conceptual review. Journal of Building Engineering. 2024;95:110085.</w:t>
      </w:r>
    </w:p>
    <w:p w14:paraId="234DF362">
      <w:r>
        <w:rPr>
          <w:sz w:val="18"/>
        </w:rPr>
        <w:t>[17] Hou J, Evins R. A protocol for developing and evaluating neural network-based surrogate models and its application to building energy prediction. Renewable and Sustainable Energy Reviews. 2024;193:114283.</w:t>
      </w:r>
    </w:p>
    <w:p w14:paraId="36BDCF68">
      <w:r>
        <w:rPr>
          <w:sz w:val="18"/>
        </w:rPr>
        <w:t>[18] Gao H et al. Successful application of predictive information in deep reinforcement learning control: a case study based on an office building HVAC system. Energy. 2024;291:130344.</w:t>
      </w:r>
    </w:p>
    <w:p w14:paraId="5EB63DE0">
      <w:r>
        <w:rPr>
          <w:sz w:val="18"/>
        </w:rPr>
        <w:t>[19] Wang Z et al. Safe deep reinforcement learning for building energy management. Applied Energy. 2025;377:124328.</w:t>
      </w:r>
    </w:p>
    <w:p w14:paraId="1F2F312A">
      <w:r>
        <w:rPr>
          <w:sz w:val="18"/>
        </w:rPr>
        <w:t>[20] Hedayat Z, Ziarati SR, Manganelli M. A physics-informed reinforcement learning framework for HVAC optimization: thermodynamically-constrained DDPG with uncertainty-aware safety verification. 2025.</w:t>
      </w:r>
    </w:p>
    <w:p w14:paraId="502F7E9B">
      <w:r>
        <w:rPr>
          <w:sz w:val="18"/>
        </w:rPr>
        <w:t>[21] Liao B et al. Year-round operational optimization of HVAC systems using hierarchical deep reinforcement learning with multi-objective reward mechanisms. Applied Energy. 2025;390:125816.</w:t>
      </w:r>
    </w:p>
    <w:p w14:paraId="14B8638F">
      <w:r>
        <w:rPr>
          <w:sz w:val="18"/>
        </w:rPr>
        <w:t>[22] Roijers DM, Vamplew P, Whiteson S, Dazeley R. A survey of multi-objective sequential decision-making. Journal of Artificial Intelligence Research. 2013;48:67-113.</w:t>
      </w:r>
    </w:p>
    <w:p w14:paraId="4CB2B4AF">
      <w:r>
        <w:rPr>
          <w:sz w:val="18"/>
        </w:rPr>
        <w:t>[23] Coraci D et al. A scalable approach for real-world implementation of DRL controllers in buildings based on online transfer learning: the HiLo case study. Energy and Buildings. 2025;329:115254.</w:t>
      </w:r>
    </w:p>
    <w:p w14:paraId="4C5FBF63">
      <w:r>
        <w:rPr>
          <w:sz w:val="18"/>
        </w:rPr>
        <w:t>[24] Hou J et al. Multi-source transfer learning method for enhancing the deployment of deep reinforcement learning in multi-zone building HVAC control. Energy and Buildings. 2024;322:114696.</w:t>
      </w:r>
    </w:p>
    <w:p w14:paraId="485FFE00">
      <w:r>
        <w:rPr>
          <w:sz w:val="18"/>
        </w:rPr>
        <w:t>[25] Kadamala P et al. Enhancing HVAC control systems through transfer learning with deep reinforcement learning agents. Smart Energy. 2024;13:100131.</w:t>
      </w:r>
    </w:p>
    <w:p w14:paraId="22A36F28">
      <w:r>
        <w:rPr>
          <w:sz w:val="18"/>
        </w:rPr>
        <w:t>[26] Coraci D et al. An innovative heterogeneous transfer learning framework to enhance the scalability of deep reinforcement learning controllers for building energy management. Building Simulation. 2024;17:739-770.</w:t>
      </w:r>
    </w:p>
    <w:p w14:paraId="2DDA21E5">
      <w:r>
        <w:rPr>
          <w:sz w:val="18"/>
        </w:rPr>
        <w:t>[27] Samani MR et al. Distribution shift, generalization and OOD challenge in offline reinforcement learning: a comprehensive survey. Neural Computing and Applications. 2026.</w:t>
      </w:r>
    </w:p>
    <w:p w14:paraId="7693F630">
      <w:r>
        <w:rPr>
          <w:sz w:val="18"/>
        </w:rPr>
        <w:t>[28] Savino M et al. Deploying deep reinforcement learning for low-level HVAC control in multi-zone buildings: a comparative study with ASHRAE G36 sequences. Energy and Buildings. 2025;348:116456.</w:t>
      </w:r>
    </w:p>
    <w:p w14:paraId="7C376E03">
      <w:r>
        <w:rPr>
          <w:sz w:val="18"/>
        </w:rPr>
        <w:t>[29] Sun Y et al. Individual room air-conditioning control in high-insulation residential building during winter: a deep reinforcement learning-based control model for reducing energy consumption. Energy and Buildings. 2024;323:114799.</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67D86"/>
    <w:rsid w:val="274765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A1A2E"/>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1A1A2E"/>
      <w:sz w:val="26"/>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1A1A2E"/>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8924</Words>
  <Characters>56960</Characters>
  <Lines>0</Lines>
  <Paragraphs>0</Paragraphs>
  <TotalTime>3</TotalTime>
  <ScaleCrop>false</ScaleCrop>
  <LinksUpToDate>false</LinksUpToDate>
  <CharactersWithSpaces>65431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Алмаз Сапаргали</cp:lastModifiedBy>
  <dcterms:modified xsi:type="dcterms:W3CDTF">2026-06-01T13:20:33Z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eyJoZGlkIjoiOGM4MWJkNjgxYjk1YTVjMTFiZmZiYjZhMjgzN2U0ZmEiLCJ1c2VySWQiOiI4ODEzNDAxNDMyMDYwIn0=</vt:lpwstr>
  </property>
  <property fmtid="{D5CDD505-2E9C-101B-9397-08002B2CF9AE}" pid="3" name="KSOProductBuildVer">
    <vt:lpwstr>1049-12.1.0.26880</vt:lpwstr>
  </property>
  <property fmtid="{D5CDD505-2E9C-101B-9397-08002B2CF9AE}" pid="4" name="ICV">
    <vt:lpwstr>1B43E6E04EB647BAB0D25EFBB0E5C1C1_12</vt:lpwstr>
  </property>
</Properties>
</file>