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Supplementary Material</w:t>
      </w:r>
    </w:p>
    <w:p>
      <w:pPr>
        <w:pStyle w:val="Heading1"/>
      </w:pPr>
      <w:r>
        <w:t>Supplementary organization map</w:t>
      </w:r>
    </w:p>
    <w:p>
      <w:r>
        <w:t>This supplementary file holds detailed numerical artifacts that were intentionally removed from the main Q1 paper to keep the main body within a compact figure/table budget. The main paper keeps only eight high-impact figures and seven consolidated tables; detailed per-block tables, traces, variance diagnostics, and supporting figures remain here.</w:t>
      </w:r>
    </w:p>
    <w:p>
      <w:pPr>
        <w:pStyle w:val="Heading2"/>
      </w:pPr>
      <w:r>
        <w:t>S1. Block 1 detailed surrogate-fidelity evidence</w:t>
      </w:r>
    </w:p>
    <w:p>
      <w:r>
        <w:t>Includes v3 dual-head architecture details, C_zon Stage-B trajectory, backend speed benchmark, per-episode 24h rollout RMSE, residual distributions, action-saturation diagnostics, and literature-positioning graphics. These support Results I without duplicating the main-paper figures.</w:t>
      </w:r>
    </w:p>
    <w:p>
      <w:pPr>
        <w:pStyle w:val="Heading2"/>
      </w:pPr>
      <w:r>
        <w:t>S2. Block 2 detailed control and MORL evidence</w:t>
      </w:r>
    </w:p>
    <w:p>
      <w:r>
        <w:t>Includes thermostatic hybrid traces, direct-v3.5 negative-control details, HDRL lambda sweep, MORL 5D vs 17D ablation, MORL seasonal and seed-variance diagnostics, Pareto sweep details, and surrogate-to-live transfer-gap tables. These support Results II.</w:t>
      </w:r>
    </w:p>
    <w:p>
      <w:pPr>
        <w:pStyle w:val="Heading2"/>
      </w:pPr>
      <w:r>
        <w:t>S3. Block 3 detailed transferability evidence</w:t>
      </w:r>
    </w:p>
    <w:p>
      <w:r>
        <w:t>Includes testcase selection, actuator-adapter checks, recalibration-regime definitions, per-testcase transfer summaries, hydronic C_zon re-identification details, stretch-testcase prediction closure, and hypothesis-status audit records. These support Results III.</w:t>
      </w:r>
    </w:p>
    <w:p>
      <w:pPr>
        <w:pStyle w:val="Heading2"/>
      </w:pPr>
      <w:r>
        <w:t>Traceability note</w:t>
      </w:r>
    </w:p>
    <w:p>
      <w:r>
        <w:t>The standalone block result documents remain preserved as docs/block1_complete_results.docx, docs/block2_complete_results.docx, and docs/block3_complete_results.docx. The main document docs/hvac_paper_final_q1.docx now references only the compact main-paper subset; this supplementary file retains the detailed artifacts.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Deep Reinforcement Learning for Energy-Efficient Consumption Management in Smart Buildings: A Calibrated Physical Twin as Soft Regularizer for HVAC Control</w:t>
      </w:r>
    </w:p>
    <w:p>
      <w:pPr>
        <w:spacing w:after="36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Almaz Sapargali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606060"/>
          <w:sz w:val="20"/>
          <w:szCs w:val="20"/>
        </w:rPr>
        <w:t xml:space="preserve">Target journal: Results in Engineering (Elsevier, Q1)</w:t>
      </w:r>
    </w:p>
    <w:p>
      <w:pPr>
        <w:pBdr>
          <w:bottom w:val="single" w:color="2E75B6" w:sz="4" w:space="1"/>
        </w:pBdr>
        <w:spacing w:after="200" w:before="200"/>
      </w:pPr>
    </w:p>
    <w:p>
      <w:pPr>
        <w:spacing w:after="100" w:before="100"/>
        <w:jc w:val="both"/>
      </w:pPr>
      <w:r>
        <w:rPr>
          <w:rFonts w:ascii="Arial" w:cs="Arial" w:eastAsia="Arial" w:hAnsi="Arial"/>
          <w:sz w:val="20"/>
          <w:szCs w:val="20"/>
        </w:rPr>
        <w:t xml:space="preserve">This supplementary document accompanies the main manuscript and contains six categories of additional material that did not fit within the main paper page budget: (S1) Block 1 supplementary figures covering surrogate fidelity diagnostics; (S2) Block 2 supplementary figures covering controller-side validation traces, MORL seed variance, and HDRL tracking detail; (S3) Block 3 supplementary figures covering pre-registration protocol schematics and hypothesis closure tables; (S4) the eleven Hou-and-Evins Reporting-Level-3 numerical-justification tables (S4.1–S4.11); (S5) the full pre-registration audit chain with verbatim git commit messages; (S6) per-seed MORL yearly metrics for the N=5 falsification test. All numerical values trace to CSV/JSON artifacts under reports/ and outputs/ in the project GitHub repository (https://github.com/Almaz-2001/HVAC_DRL_MORL.git).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S1.  Block 1 supplementary figures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0"/>
          <w:szCs w:val="20"/>
        </w:rPr>
        <w:t xml:space="preserve">These figures support the surrogate-fidelity analysis in Section 5 of the main paper. They include architecture diagrams (S1.1, S1.2), the Stage B C_zon inverse-identification trajectory (S1.3), per-episode rollout RMSE distributions (S1.4–S1.5), runtime benchmarks (S1.6), action-saturation diagnostics (S1.7), and a positioning map relative to related surrogate-modelling work (S1.8).</w:t>
      </w:r>
    </w:p>
    <w:p>
      <w:pPr>
        <w:spacing w:after="80" w:before="160"/>
        <w:jc w:val="center"/>
      </w:pPr>
      <w:r>
        <w:drawing>
          <wp:inline distT="0" distB="0" distL="0" distR="0">
            <wp:extent cx="5800000" cy="2800000"/>
            <wp:effectExtent t="0" r="0" b="0" l="0"/>
            <wp:docPr id="1" name="block1_q1_fig02_v3_dual_head.png" descr=" v3 dual-head architecture (temperature + power heads; 8,482 total parameters; 7,105 temp head, 1,377 power head)." title="Figure S1.1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00" cy="2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Figure S1.1. </w:t>
      </w:r>
      <w:r>
        <w:rPr>
          <w:rFonts w:ascii="Arial" w:cs="Arial" w:eastAsia="Arial" w:hAnsi="Arial"/>
          <w:sz w:val="18"/>
          <w:szCs w:val="18"/>
        </w:rPr>
        <w:t xml:space="preserve"> v3 dual-head architecture (temperature + power heads; 8,482 total parameters; 7,105 temp head, 1,377 power head).</w:t>
      </w:r>
    </w:p>
    <w:p>
      <w:pPr>
        <w:spacing w:after="80" w:before="160"/>
        <w:jc w:val="center"/>
      </w:pPr>
      <w:r>
        <w:drawing>
          <wp:inline distT="0" distB="0" distL="0" distR="0">
            <wp:extent cx="5800000" cy="2800000"/>
            <wp:effectExtent t="0" r="0" b="0" l="0"/>
            <wp:docPr id="1" name="block1_q1_fig04_czon_identification.png" descr=" Stage B C_zon inverse identification trajectory. The 120-epoch solve converges from the 4.200×10⁵ J/K prior to the identified 4.413×10⁵ J/K (+5.06%)." title="Figure S1.2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00" cy="2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Figure S1.2. </w:t>
      </w:r>
      <w:r>
        <w:rPr>
          <w:rFonts w:ascii="Arial" w:cs="Arial" w:eastAsia="Arial" w:hAnsi="Arial"/>
          <w:sz w:val="18"/>
          <w:szCs w:val="18"/>
        </w:rPr>
        <w:t xml:space="preserve"> Stage B C_zon inverse identification trajectory. The 120-epoch solve converges from the 4.200×10⁵ J/K prior to the identified 4.413×10⁵ J/K (+5.06%).</w:t>
      </w:r>
    </w:p>
    <w:p>
      <w:pPr>
        <w:spacing w:after="80" w:before="160"/>
        <w:jc w:val="center"/>
      </w:pPr>
      <w:r>
        <w:drawing>
          <wp:inline distT="0" distB="0" distL="0" distR="0">
            <wp:extent cx="5800000" cy="2800000"/>
            <wp:effectExtent t="0" r="0" b="0" l="0"/>
            <wp:docPr id="1" name="block1_q1_fig09_backend_speed.png" descr=" Backend speed benchmark across surrogate variants. The hybrid backend sustains 1,786.8 environment steps/s on a single CPU thread (85.0× the live BOPTEST RTE)." title="Figure S1.3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00" cy="2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Figure S1.3. </w:t>
      </w:r>
      <w:r>
        <w:rPr>
          <w:rFonts w:ascii="Arial" w:cs="Arial" w:eastAsia="Arial" w:hAnsi="Arial"/>
          <w:sz w:val="18"/>
          <w:szCs w:val="18"/>
        </w:rPr>
        <w:t xml:space="preserve"> Backend speed benchmark across surrogate variants. The hybrid backend sustains 1,786.8 environment steps/s on a single CPU thread (85.0× the live BOPTEST RTE).</w:t>
      </w:r>
    </w:p>
    <w:p>
      <w:pPr>
        <w:spacing w:after="80" w:before="160"/>
        <w:jc w:val="center"/>
      </w:pPr>
      <w:r>
        <w:drawing>
          <wp:inline distT="0" distB="0" distL="0" distR="0">
            <wp:extent cx="5800000" cy="2800000"/>
            <wp:effectExtent t="0" r="0" b="0" l="0"/>
            <wp:docPr id="1" name="block1_q1_fig12_per_episode_rmse.png" descr=" Per-episode rollout RMSE distributions for v3, raw v3.5, calibrated v3.5, and corpus-matched v3." title="Figure S1.4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00" cy="2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Figure S1.4. </w:t>
      </w:r>
      <w:r>
        <w:rPr>
          <w:rFonts w:ascii="Arial" w:cs="Arial" w:eastAsia="Arial" w:hAnsi="Arial"/>
          <w:sz w:val="18"/>
          <w:szCs w:val="18"/>
        </w:rPr>
        <w:t xml:space="preserve"> Per-episode rollout RMSE distributions for v3, raw v3.5, calibrated v3.5, and corpus-matched v3.</w:t>
      </w:r>
    </w:p>
    <w:p>
      <w:pPr>
        <w:spacing w:after="80" w:before="160"/>
        <w:jc w:val="center"/>
      </w:pPr>
      <w:r>
        <w:drawing>
          <wp:inline distT="0" distB="0" distL="0" distR="0">
            <wp:extent cx="5800000" cy="2800000"/>
            <wp:effectExtent t="0" r="0" b="0" l="0"/>
            <wp:docPr id="1" name="block1_q1_fig13_residual_distributions.png" descr=" Temperature residual distributions across the four surrogate variants." title="Figure S1.5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00" cy="2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Figure S1.5. </w:t>
      </w:r>
      <w:r>
        <w:rPr>
          <w:rFonts w:ascii="Arial" w:cs="Arial" w:eastAsia="Arial" w:hAnsi="Arial"/>
          <w:sz w:val="18"/>
          <w:szCs w:val="18"/>
        </w:rPr>
        <w:t xml:space="preserve"> Temperature residual distributions across the four surrogate variants.</w:t>
      </w:r>
    </w:p>
    <w:p>
      <w:pPr>
        <w:spacing w:after="80" w:before="160"/>
        <w:jc w:val="center"/>
      </w:pPr>
      <w:r>
        <w:drawing>
          <wp:inline distT="0" distB="0" distL="0" distR="0">
            <wp:extent cx="5800000" cy="2800000"/>
            <wp:effectExtent t="0" r="0" b="0" l="0"/>
            <wp:docPr id="1" name="block1_stage_abc_calibration_diagnostics.png" descr=" Stage A/B/C calibration diagnostics, including telemetry-preprocessing artefacts and per-stage RMSE deltas." title="Figure S1.6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00" cy="2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Figure S1.6. </w:t>
      </w:r>
      <w:r>
        <w:rPr>
          <w:rFonts w:ascii="Arial" w:cs="Arial" w:eastAsia="Arial" w:hAnsi="Arial"/>
          <w:sz w:val="18"/>
          <w:szCs w:val="18"/>
        </w:rPr>
        <w:t xml:space="preserve"> Stage A/B/C calibration diagnostics, including telemetry-preprocessing artefacts and per-stage RMSE deltas.</w:t>
      </w:r>
    </w:p>
    <w:p>
      <w:pPr>
        <w:spacing w:after="80" w:before="160"/>
        <w:jc w:val="center"/>
      </w:pPr>
      <w:r>
        <w:drawing>
          <wp:inline distT="0" distB="0" distL="0" distR="0">
            <wp:extent cx="5800000" cy="2800000"/>
            <wp:effectExtent t="0" r="0" b="0" l="0"/>
            <wp:docPr id="1" name="block1_q1_fig11_action_saturation.png" descr=" Action-saturation diagnostic. Direct v3.5 PPO drives the actuator into saturation early; hybrid_l010 holds policy fidelity through step 16 on the typical winter window." title="Figure S1.7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00" cy="2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Figure S1.7. </w:t>
      </w:r>
      <w:r>
        <w:rPr>
          <w:rFonts w:ascii="Arial" w:cs="Arial" w:eastAsia="Arial" w:hAnsi="Arial"/>
          <w:sz w:val="18"/>
          <w:szCs w:val="18"/>
        </w:rPr>
        <w:t xml:space="preserve"> Action-saturation diagnostic. Direct v3.5 PPO drives the actuator into saturation early; hybrid_l010 holds policy fidelity through step 16 on the typical winter window.</w:t>
      </w:r>
    </w:p>
    <w:p>
      <w:pPr>
        <w:spacing w:after="80" w:before="160"/>
        <w:jc w:val="center"/>
      </w:pPr>
      <w:r>
        <w:drawing>
          <wp:inline distT="0" distB="0" distL="0" distR="0">
            <wp:extent cx="5800000" cy="2800000"/>
            <wp:effectExtent t="0" r="0" b="0" l="0"/>
            <wp:docPr id="1" name="block1_q1_fig15_literature_positioning.png" descr=" Literature positioning map. Our work occupies the (low predictive fidelity + high RL utility) quadrant via deliberate role separation; existing physics-constrained surrogate work targets the (high fidelity + unknown RL utility) corner." title="Figure S1.8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00" cy="2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Figure S1.8. </w:t>
      </w:r>
      <w:r>
        <w:rPr>
          <w:rFonts w:ascii="Arial" w:cs="Arial" w:eastAsia="Arial" w:hAnsi="Arial"/>
          <w:sz w:val="18"/>
          <w:szCs w:val="18"/>
        </w:rPr>
        <w:t xml:space="preserve"> Literature positioning map. Our work occupies the (low predictive fidelity + high RL utility) quadrant via deliberate role separation; existing physics-constrained surrogate work targets the (high fidelity + unknown RL utility) corner.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S2.  Block 2 supplementary figures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0"/>
          <w:szCs w:val="20"/>
        </w:rPr>
        <w:t xml:space="preserve">These figures support the controller-side analysis in Section 6. They include conceptual pipeline schematics (S2.1, S2.2), live BOPTEST traces (S2.3–S2.6), MORL observation-interface ablation (S2.7–S2.9), hybrid-disagreement bounds (S2.10), HDRL tracking detail (S2.11), and three-panel hybrid-vs-PI comparison (S2.12).</w:t>
      </w:r>
    </w:p>
    <w:p>
      <w:pPr>
        <w:spacing w:after="80" w:before="160"/>
        <w:jc w:val="center"/>
      </w:pPr>
      <w:r>
        <w:drawing>
          <wp:inline distT="0" distB="0" distL="0" distR="0">
            <wp:extent cx="5800000" cy="2800000"/>
            <wp:effectExtent t="0" r="0" b="0" l="0"/>
            <wp:docPr id="1" name="fig_block2_pipeline.png" descr=" Block 2 controller-side validation pipeline: three surrogate backends feed five training stacks; all controller KPIs measured on live BOPTEST RTE." title="Figure S2.1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00" cy="2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Figure S2.1. </w:t>
      </w:r>
      <w:r>
        <w:rPr>
          <w:rFonts w:ascii="Arial" w:cs="Arial" w:eastAsia="Arial" w:hAnsi="Arial"/>
          <w:sz w:val="18"/>
          <w:szCs w:val="18"/>
        </w:rPr>
        <w:t xml:space="preserve"> Block 2 controller-side validation pipeline: three surrogate backends feed five training stacks; all controller KPIs measured on live BOPTEST RTE.</w:t>
      </w:r>
    </w:p>
    <w:p>
      <w:pPr>
        <w:spacing w:after="80" w:before="160"/>
        <w:jc w:val="center"/>
      </w:pPr>
      <w:r>
        <w:drawing>
          <wp:inline distT="0" distB="0" distL="0" distR="0">
            <wp:extent cx="5800000" cy="2800000"/>
            <wp:effectExtent t="0" r="0" b="0" l="0"/>
            <wp:docPr id="1" name="fig_block2_reward_shaping.png" descr=" Hybrid backend reward-shaping mechanism. v3 supplies rollout dynamics; v3.5 contributes per-step disagreement penalties subtracted from the comfort+energy reward." title="Figure S2.2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00" cy="2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Figure S2.2. </w:t>
      </w:r>
      <w:r>
        <w:rPr>
          <w:rFonts w:ascii="Arial" w:cs="Arial" w:eastAsia="Arial" w:hAnsi="Arial"/>
          <w:sz w:val="18"/>
          <w:szCs w:val="18"/>
        </w:rPr>
        <w:t xml:space="preserve"> Hybrid backend reward-shaping mechanism. v3 supplies rollout dynamics; v3.5 contributes per-step disagreement penalties subtracted from the comfort+energy reward.</w:t>
      </w:r>
    </w:p>
    <w:p>
      <w:pPr>
        <w:spacing w:after="80" w:before="160"/>
        <w:jc w:val="center"/>
      </w:pPr>
      <w:r>
        <w:drawing>
          <wp:inline distT="0" distB="0" distL="0" distR="0">
            <wp:extent cx="5800000" cy="2800000"/>
            <wp:effectExtent t="0" r="0" b="0" l="0"/>
            <wp:docPr id="1" name="hybrid_boptest_comfort_traces.png" descr=" Hybrid_l010 live BOPTEST comfort traces on peak and typical winter windows. The hybrid policy stays close to the 21–24 °C comfort band." title="Figure S2.3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00" cy="2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Figure S2.3. </w:t>
      </w:r>
      <w:r>
        <w:rPr>
          <w:rFonts w:ascii="Arial" w:cs="Arial" w:eastAsia="Arial" w:hAnsi="Arial"/>
          <w:sz w:val="18"/>
          <w:szCs w:val="18"/>
        </w:rPr>
        <w:t xml:space="preserve"> Hybrid_l010 live BOPTEST comfort traces on peak and typical winter windows. The hybrid policy stays close to the 21–24 °C comfort band.</w:t>
      </w:r>
    </w:p>
    <w:p>
      <w:pPr>
        <w:spacing w:after="80" w:before="160"/>
        <w:jc w:val="center"/>
      </w:pPr>
      <w:r>
        <w:drawing>
          <wp:inline distT="0" distB="0" distL="0" distR="0">
            <wp:extent cx="5800000" cy="2800000"/>
            <wp:effectExtent t="0" r="0" b="0" l="0"/>
            <wp:docPr id="1" name="hybrid_boptest_power_energy_traces.png" descr=" Hybrid_l010 power and cumulative-energy traces. Energy advantage over pure v3 is comparable; the hybrid achieves better comfort at no energy cost." title="Figure S2.4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00" cy="2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Figure S2.4. </w:t>
      </w:r>
      <w:r>
        <w:rPr>
          <w:rFonts w:ascii="Arial" w:cs="Arial" w:eastAsia="Arial" w:hAnsi="Arial"/>
          <w:sz w:val="18"/>
          <w:szCs w:val="18"/>
        </w:rPr>
        <w:t xml:space="preserve"> Hybrid_l010 power and cumulative-energy traces. Energy advantage over pure v3 is comparable; the hybrid achieves better comfort at no energy cost.</w:t>
      </w:r>
    </w:p>
    <w:p>
      <w:pPr>
        <w:spacing w:after="80" w:before="160"/>
        <w:jc w:val="center"/>
      </w:pPr>
      <w:r>
        <w:drawing>
          <wp:inline distT="0" distB="0" distL="0" distR="0">
            <wp:extent cx="5800000" cy="2800000"/>
            <wp:effectExtent t="0" r="0" b="0" l="0"/>
            <wp:docPr id="1" name="block2_warmstart_negative_eval_kpis.png" descr=" Direct v3.5 warm-start negative control. Pre-training from v3.5 hurts subsequent hybrid training compared to scratch initialisation." title="Figure S2.5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00" cy="2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Figure S2.5. </w:t>
      </w:r>
      <w:r>
        <w:rPr>
          <w:rFonts w:ascii="Arial" w:cs="Arial" w:eastAsia="Arial" w:hAnsi="Arial"/>
          <w:sz w:val="18"/>
          <w:szCs w:val="18"/>
        </w:rPr>
        <w:t xml:space="preserve"> Direct v3.5 warm-start negative control. Pre-training from v3.5 hurts subsequent hybrid training compared to scratch initialisation.</w:t>
      </w:r>
    </w:p>
    <w:p>
      <w:pPr>
        <w:spacing w:after="80" w:before="160"/>
        <w:jc w:val="center"/>
      </w:pPr>
      <w:r>
        <w:drawing>
          <wp:inline distT="0" distB="0" distL="0" distR="0">
            <wp:extent cx="5800000" cy="2800000"/>
            <wp:effectExtent t="0" r="0" b="0" l="0"/>
            <wp:docPr id="1" name="block2_morl_5d_vs_17d_radar.png" descr=" MORL 5D vs 17D observation-interface ablation. The 5D path collapses (m_s = 1.046); the 17D path recovers a usable MORL policy (m_s = 0.099)." title="Figure S2.6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00" cy="2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Figure S2.6. </w:t>
      </w:r>
      <w:r>
        <w:rPr>
          <w:rFonts w:ascii="Arial" w:cs="Arial" w:eastAsia="Arial" w:hAnsi="Arial"/>
          <w:sz w:val="18"/>
          <w:szCs w:val="18"/>
        </w:rPr>
        <w:t xml:space="preserve"> MORL 5D vs 17D observation-interface ablation. The 5D path collapses (m_s = 1.046); the 17D path recovers a usable MORL policy (m_s = 0.099).</w:t>
      </w:r>
    </w:p>
    <w:p>
      <w:pPr>
        <w:spacing w:after="80" w:before="160"/>
        <w:jc w:val="center"/>
      </w:pPr>
      <w:r>
        <w:drawing>
          <wp:inline distT="0" distB="0" distL="0" distR="0">
            <wp:extent cx="5800000" cy="2800000"/>
            <wp:effectExtent t="0" r="0" b="0" l="0"/>
            <wp:docPr id="1" name="block2_morl_17d_seasonal_heatmap.png" descr=" MORL 17D monthly seasonal performance heatmap. Performance varies across the calendar year but stays within the pre-registered safety band." title="Figure S2.7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00" cy="2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Figure S2.7. </w:t>
      </w:r>
      <w:r>
        <w:rPr>
          <w:rFonts w:ascii="Arial" w:cs="Arial" w:eastAsia="Arial" w:hAnsi="Arial"/>
          <w:sz w:val="18"/>
          <w:szCs w:val="18"/>
        </w:rPr>
        <w:t xml:space="preserve"> MORL 17D monthly seasonal performance heatmap. Performance varies across the calendar year but stays within the pre-registered safety band.</w:t>
      </w:r>
    </w:p>
    <w:p>
      <w:pPr>
        <w:spacing w:after="80" w:before="160"/>
        <w:jc w:val="center"/>
      </w:pPr>
      <w:r>
        <w:drawing>
          <wp:inline distT="0" distB="0" distL="0" distR="0">
            <wp:extent cx="5800000" cy="2800000"/>
            <wp:effectExtent t="0" r="0" b="0" l="0"/>
            <wp:docPr id="1" name="block2_morl_seasonal_variance_inversion.png" descr=" MORL seasonal seed-variance heatmap after the N=5 falsification test. The original N=3 seasonal-inversion mechanism does not survive." title="Figure S2.8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00" cy="2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Figure S2.8. </w:t>
      </w:r>
      <w:r>
        <w:rPr>
          <w:rFonts w:ascii="Arial" w:cs="Arial" w:eastAsia="Arial" w:hAnsi="Arial"/>
          <w:sz w:val="18"/>
          <w:szCs w:val="18"/>
        </w:rPr>
        <w:t xml:space="preserve"> MORL seasonal seed-variance heatmap after the N=5 falsification test. The original N=3 seasonal-inversion mechanism does not survive.</w:t>
      </w:r>
    </w:p>
    <w:p>
      <w:pPr>
        <w:spacing w:after="80" w:before="160"/>
        <w:jc w:val="center"/>
      </w:pPr>
      <w:r>
        <w:drawing>
          <wp:inline distT="0" distB="0" distL="0" distR="0">
            <wp:extent cx="5800000" cy="2800000"/>
            <wp:effectExtent t="0" r="0" b="0" l="0"/>
            <wp:docPr id="1" name="hybrid_disagreement_summary.png" descr=" Hybrid disagreement bounds: mean v3–v3.5 temperature disagreement 0.969 °C (p95 2.516 °C); mean power 708.4 W (p95 1,236 W). Bounded rather than chaotic divergence." title="Figure S2.9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00" cy="2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Figure S2.9. </w:t>
      </w:r>
      <w:r>
        <w:rPr>
          <w:rFonts w:ascii="Arial" w:cs="Arial" w:eastAsia="Arial" w:hAnsi="Arial"/>
          <w:sz w:val="18"/>
          <w:szCs w:val="18"/>
        </w:rPr>
        <w:t xml:space="preserve"> Hybrid disagreement bounds: mean v3–v3.5 temperature disagreement 0.969 °C (p95 2.516 °C); mean power 708.4 W (p95 1,236 W). Bounded rather than chaotic divergence.</w:t>
      </w:r>
    </w:p>
    <w:p>
      <w:pPr>
        <w:spacing w:after="80" w:before="160"/>
        <w:jc w:val="center"/>
      </w:pPr>
      <w:r>
        <w:drawing>
          <wp:inline distT="0" distB="0" distL="0" distR="0">
            <wp:extent cx="5800000" cy="2800000"/>
            <wp:effectExtent t="0" r="0" b="0" l="0"/>
            <wp:docPr id="1" name="block2_hdrl_l000_winter_tracking.png" descr=" HDRL l000 representative winter trace. The hierarchical winter specialist tracks the lower edge of the comfort band closely with low energy expenditure." title="Figure S2.10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00" cy="2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Figure S2.10. </w:t>
      </w:r>
      <w:r>
        <w:rPr>
          <w:rFonts w:ascii="Arial" w:cs="Arial" w:eastAsia="Arial" w:hAnsi="Arial"/>
          <w:sz w:val="18"/>
          <w:szCs w:val="18"/>
        </w:rPr>
        <w:t xml:space="preserve"> HDRL l000 representative winter trace. The hierarchical winter specialist tracks the lower edge of the comfort band closely with low energy expenditure.</w:t>
      </w:r>
    </w:p>
    <w:p>
      <w:pPr>
        <w:spacing w:after="80" w:before="160"/>
        <w:jc w:val="center"/>
      </w:pPr>
      <w:r>
        <w:drawing>
          <wp:inline distT="0" distB="0" distL="0" distR="0">
            <wp:extent cx="5800000" cy="2800000"/>
            <wp:effectExtent t="0" r="0" b="0" l="0"/>
            <wp:docPr id="1" name="hybrid_transfer_gap_comparison.png" descr=" Surrogate-to-live transfer-gap comparison across pure v3, hybrid_l010, and direct v3.5. The hybrid narrows the surrogate→live ms_gap from |gap| ≈ 0.9–1.0 to ≈ 0.02." title="Figure S2.11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00" cy="2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Figure S2.11. </w:t>
      </w:r>
      <w:r>
        <w:rPr>
          <w:rFonts w:ascii="Arial" w:cs="Arial" w:eastAsia="Arial" w:hAnsi="Arial"/>
          <w:sz w:val="18"/>
          <w:szCs w:val="18"/>
        </w:rPr>
        <w:t xml:space="preserve"> Surrogate-to-live transfer-gap comparison across pure v3, hybrid_l010, and direct v3.5. The hybrid narrows the surrogate→live ms_gap from |gap| ≈ 0.9–1.0 to ≈ 0.02.</w:t>
      </w:r>
    </w:p>
    <w:p>
      <w:pPr>
        <w:spacing w:after="80" w:before="160"/>
        <w:jc w:val="center"/>
      </w:pPr>
      <w:r>
        <w:drawing>
          <wp:inline distT="0" distB="0" distL="0" distR="0">
            <wp:extent cx="5800000" cy="2800000"/>
            <wp:effectExtent t="0" r="0" b="0" l="0"/>
            <wp:docPr id="1" name="hybrid_vs_pi_ms.png" descr=" Hybrid_l010 vs PI baseline — m_s comparison." title="Figure S2.12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00" cy="2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Figure S2.12a. </w:t>
      </w:r>
      <w:r>
        <w:rPr>
          <w:rFonts w:ascii="Arial" w:cs="Arial" w:eastAsia="Arial" w:hAnsi="Arial"/>
          <w:sz w:val="18"/>
          <w:szCs w:val="18"/>
        </w:rPr>
        <w:t xml:space="preserve"> Hybrid_l010 vs PI baseline — m_s comparison.</w:t>
      </w:r>
    </w:p>
    <w:p>
      <w:pPr>
        <w:spacing w:after="80" w:before="160"/>
        <w:jc w:val="center"/>
      </w:pPr>
      <w:r>
        <w:drawing>
          <wp:inline distT="0" distB="0" distL="0" distR="0">
            <wp:extent cx="5800000" cy="2800000"/>
            <wp:effectExtent t="0" r="0" b="0" l="0"/>
            <wp:docPr id="1" name="hybrid_vs_pi_violation.png" descr=" Hybrid_l010 vs PI baseline — setpoint violation percentage comparison." title="Figure S2.12b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00" cy="2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Figure S2.12b. </w:t>
      </w:r>
      <w:r>
        <w:rPr>
          <w:rFonts w:ascii="Arial" w:cs="Arial" w:eastAsia="Arial" w:hAnsi="Arial"/>
          <w:sz w:val="18"/>
          <w:szCs w:val="18"/>
        </w:rPr>
        <w:t xml:space="preserve"> Hybrid_l010 vs PI baseline — setpoint violation percentage comparison.</w:t>
      </w:r>
    </w:p>
    <w:p>
      <w:pPr>
        <w:spacing w:after="80" w:before="160"/>
        <w:jc w:val="center"/>
      </w:pPr>
      <w:r>
        <w:drawing>
          <wp:inline distT="0" distB="0" distL="0" distR="0">
            <wp:extent cx="5800000" cy="2800000"/>
            <wp:effectExtent t="0" r="0" b="0" l="0"/>
            <wp:docPr id="1" name="hybrid_vs_pi_energy.png" descr=" Hybrid_l010 vs PI baseline — energy consumption comparison." title="Figure S2.12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00" cy="2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Figure S2.12c. </w:t>
      </w:r>
      <w:r>
        <w:rPr>
          <w:rFonts w:ascii="Arial" w:cs="Arial" w:eastAsia="Arial" w:hAnsi="Arial"/>
          <w:sz w:val="18"/>
          <w:szCs w:val="18"/>
        </w:rPr>
        <w:t xml:space="preserve"> Hybrid_l010 vs PI baseline — energy consumption comparison.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S3.  Block 3 supplementary figures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0"/>
          <w:szCs w:val="20"/>
        </w:rPr>
        <w:t xml:space="preserve">These figures support the transferability analysis in Section 7. They include the pre-registered protocol schematic (S3.1), the testcase difficulty ladder (S3.2), the controller transfer verdict heatmap (S3.3), the full Stage A/B/C gain bar chart (S3.4), and the pre-registered predictions vs observed outcomes table (S3.5).</w:t>
      </w:r>
    </w:p>
    <w:p>
      <w:pPr>
        <w:spacing w:after="80" w:before="160"/>
        <w:jc w:val="center"/>
      </w:pPr>
      <w:r>
        <w:drawing>
          <wp:inline distT="0" distB="0" distL="0" distR="0">
            <wp:extent cx="5800000" cy="2800000"/>
            <wp:effectExtent t="0" r="0" b="0" l="0"/>
            <wp:docPr id="1" name="fig_block3_protocol.png" descr=" Pre-registered Block 3 transferability protocol with the 9-commit audit chain timeline. Bit-identical pre-registration block verifiable via `git diff 1861e48..7ada793`." title="Figure S3.1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00" cy="2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Figure S3.1. </w:t>
      </w:r>
      <w:r>
        <w:rPr>
          <w:rFonts w:ascii="Arial" w:cs="Arial" w:eastAsia="Arial" w:hAnsi="Arial"/>
          <w:sz w:val="18"/>
          <w:szCs w:val="18"/>
        </w:rPr>
        <w:t xml:space="preserve"> Pre-registered Block 3 transferability protocol with the 9-commit audit chain timeline. Bit-identical pre-registration block verifiable via `git diff 1861e48..7ada793`.</w:t>
      </w:r>
    </w:p>
    <w:p>
      <w:pPr>
        <w:spacing w:after="80" w:before="160"/>
        <w:jc w:val="center"/>
      </w:pPr>
      <w:r>
        <w:drawing>
          <wp:inline distT="0" distB="0" distL="0" distR="0">
            <wp:extent cx="5800000" cy="2800000"/>
            <wp:effectExtent t="0" r="0" b="0" l="0"/>
            <wp:docPr id="1" name="fig_block3_testcase_ladder.png" descr=" Block 3 testcase difficulty ladder: source (bestest_air) → primary (bestest_hydronic_heat_pump) → secondary (bestest_hydronic) → stretch (singlezone_commercial_hydronic), each with its pre-registered actuator adapter." title="Figure S3.2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00" cy="2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Figure S3.2. </w:t>
      </w:r>
      <w:r>
        <w:rPr>
          <w:rFonts w:ascii="Arial" w:cs="Arial" w:eastAsia="Arial" w:hAnsi="Arial"/>
          <w:sz w:val="18"/>
          <w:szCs w:val="18"/>
        </w:rPr>
        <w:t xml:space="preserve"> Block 3 testcase difficulty ladder: source (bestest_air) → primary (bestest_hydronic_heat_pump) → secondary (bestest_hydronic) → stretch (singlezone_commercial_hydronic), each with its pre-registered actuator adapter.</w:t>
      </w:r>
    </w:p>
    <w:p>
      <w:pPr>
        <w:spacing w:after="80" w:before="160"/>
        <w:jc w:val="center"/>
      </w:pPr>
      <w:r>
        <w:drawing>
          <wp:inline distT="0" distB="0" distL="0" distR="0">
            <wp:extent cx="5800000" cy="2800000"/>
            <wp:effectExtent t="0" r="0" b="0" l="0"/>
            <wp:docPr id="1" name="fig_block3_rl_vs_pi.png" descr=" Frozen-controller transfer: m_s_RL vs 1.25× PI threshold and energy delta versus PI. Residential cases save energy but fail comfort; commercial passes safety but at +35.3% energy." title="Figure S3.3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00" cy="2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Figure S3.3. </w:t>
      </w:r>
      <w:r>
        <w:rPr>
          <w:rFonts w:ascii="Arial" w:cs="Arial" w:eastAsia="Arial" w:hAnsi="Arial"/>
          <w:sz w:val="18"/>
          <w:szCs w:val="18"/>
        </w:rPr>
        <w:t xml:space="preserve"> Frozen-controller transfer: m_s_RL vs 1.25× PI threshold and energy delta versus PI. Residential cases save energy but fail comfort; commercial passes safety but at +35.3% energy.</w:t>
      </w:r>
    </w:p>
    <w:p>
      <w:pPr>
        <w:spacing w:after="80" w:before="160"/>
        <w:jc w:val="center"/>
      </w:pPr>
      <w:r>
        <w:drawing>
          <wp:inline distT="0" distB="0" distL="0" distR="0">
            <wp:extent cx="5800000" cy="2800000"/>
            <wp:effectExtent t="0" r="0" b="0" l="0"/>
            <wp:docPr id="1" name="fig_block3_stage_abc_gain.png" descr=" Full Stage A/B/C surrogate recalibration improves RMSE_T by 60.2 / 87.4 / 87.8 % on the three hydronic testcases; power-head MAE improvements are large on residential cases and marginal on commercial." title="Figure S3.4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00" cy="2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Figure S3.4. </w:t>
      </w:r>
      <w:r>
        <w:rPr>
          <w:rFonts w:ascii="Arial" w:cs="Arial" w:eastAsia="Arial" w:hAnsi="Arial"/>
          <w:sz w:val="18"/>
          <w:szCs w:val="18"/>
        </w:rPr>
        <w:t xml:space="preserve"> Full Stage A/B/C surrogate recalibration improves RMSE_T by 60.2 / 87.4 / 87.8 % on the three hydronic testcases; power-head MAE improvements are large on residential cases and marginal on commercial.</w:t>
      </w:r>
    </w:p>
    <w:p>
      <w:pPr>
        <w:spacing w:after="80" w:before="160"/>
        <w:jc w:val="center"/>
      </w:pPr>
      <w:r>
        <w:drawing>
          <wp:inline distT="0" distB="0" distL="0" distR="0">
            <wp:extent cx="5800000" cy="2800000"/>
            <wp:effectExtent t="0" r="0" b="0" l="0"/>
            <wp:docPr id="1" name="fig_block3_hypothesis_closure.png" descr=" Pre-registered predictions vs observed outcomes (stretch testcase). Two predictions FALSIFIED (controller verdict; scale-dependent C_zon B); three CONFIRMED (RMSE gain; uniform C_zon A; pipeline convergence)." title="Figure S3.5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00" cy="2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Figure S3.5. </w:t>
      </w:r>
      <w:r>
        <w:rPr>
          <w:rFonts w:ascii="Arial" w:cs="Arial" w:eastAsia="Arial" w:hAnsi="Arial"/>
          <w:sz w:val="18"/>
          <w:szCs w:val="18"/>
        </w:rPr>
        <w:t xml:space="preserve"> Pre-registered predictions vs observed outcomes (stretch testcase). Two predictions FALSIFIED (controller verdict; scale-dependent C_zon B); three CONFIRMED (RMSE gain; uniform C_zon A; pipeline convergence).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S4.  Hou-and-Evins Reporting-Level-3 numerical-justification tables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0"/>
          <w:szCs w:val="20"/>
        </w:rPr>
        <w:t xml:space="preserve">Eleven tables (S4.1–S4.11) cover the Hou-and-Evins Section-5 reporting requirements: sample-generation provenance, sample-size justification, Stage A telemetry preprocessing, feature significance, input independence, split representativeness, channel scaling, training hyperparameters, architecture justification, targeted sensitivity, and replicative/predictive validity. Each table is reproduced verbatim from the corresponding CSV under paper/supplementary/. Per the compliance review, fifteen of the seventeen Hou-and-Evins Level-3 items are covered; the two not covered are physical co-simulation across independent Modelica engines and grid-tied multi-agent coordination, both out of scope for the single-zone testbed used here.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Table S4.1</w:t>
      </w:r>
    </w:p>
    <w:p>
      <w:pPr>
        <w:spacing w:after="120" w:before="60"/>
        <w:jc w:val="both"/>
      </w:pPr>
      <w:r>
        <w:rPr>
          <w:rFonts w:ascii="Arial" w:cs="Arial" w:eastAsia="Arial" w:hAnsi="Arial"/>
          <w:sz w:val="18"/>
          <w:szCs w:val="18"/>
        </w:rPr>
        <w:t xml:space="preserve"> Sample-generation provenance — origin, parameter ranges, and physical justification of each transition corpus.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dataset id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 file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rows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episodes or groups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 sec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controller or policy mix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v3_hourly_direct_tsup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data\surrogate_v2\boptest_v2_tsupply.csv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51200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3600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"cool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v35_prepared_15min_bootstrap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data/block_1_2_surrogate_rmse/boptest_block12_15min_prepared.csv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10744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900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"hdrl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v35_collected_15min_exploration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data/block_1_2_surrogate_rmse/boptest_block12_15min_collected.csv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48384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900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"cool</w:t>
            </w:r>
          </w:p>
        </w:tc>
      </w:tr>
    </w:tbl>
    <w:p>
      <w:pPr>
        <w:spacing w:after="24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Table S4.2</w:t>
      </w:r>
    </w:p>
    <w:p>
      <w:pPr>
        <w:spacing w:after="120" w:before="60"/>
        <w:jc w:val="both"/>
      </w:pPr>
      <w:r>
        <w:rPr>
          <w:rFonts w:ascii="Arial" w:cs="Arial" w:eastAsia="Arial" w:hAnsi="Arial"/>
          <w:sz w:val="18"/>
          <w:szCs w:val="18"/>
        </w:rPr>
        <w:t xml:space="preserve"> Sample-size justification — numerical evidence for the chosen corpus sizes including learning-curve checks.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dataset id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rows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episodes or groups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 sec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new boptest collection minutes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v3_hourly_direct_tsup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51200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3600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v35_prepared_15min_bootstrap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10744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900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0.0000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collected_15min_exploration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48384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900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17.1815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collected_15min_focus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24192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900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9.4833</w:t>
            </w:r>
          </w:p>
        </w:tc>
      </w:tr>
    </w:tbl>
    <w:p>
      <w:pPr>
        <w:spacing w:after="24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Table S4.3</w:t>
      </w:r>
    </w:p>
    <w:p>
      <w:pPr>
        <w:spacing w:after="120" w:before="60"/>
        <w:jc w:val="both"/>
      </w:pPr>
      <w:r>
        <w:rPr>
          <w:rFonts w:ascii="Arial" w:cs="Arial" w:eastAsia="Arial" w:hAnsi="Arial"/>
          <w:sz w:val="18"/>
          <w:szCs w:val="18"/>
        </w:rPr>
        <w:t xml:space="preserve"> Stage A telemetry preprocessing — latency compensation, bias removal, normalisation, denoise, causal delta.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stage a operation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parameter or rule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selection criterion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latency compensation search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_undo_delay_array over candidate lags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"lag in [0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max_latency_search]"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choose lag minimizing surrogate one-step RMSE against observed next-step temperature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undo thermostat/telemetry delay before calibration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temperature bias removal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median residual offset subtraction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bias_est = median(t_obs_next - t_pred)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center residual distribution before Stage B/C calibration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avoid fitting static sensor bias as building physics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power affine normalization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least-squares fit p_obs ≈ scale * p_pred + bias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"scale_est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bias_p_est from linear solve"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reduce power-channel mismatch before nonlinear head refinement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separate systematic meter scaling from dynamic error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rolling denoise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rolling median + exponential moving average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smooth_window = 5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suppress high-frequency telemetry noise without changing regime identity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stabilize downstream inverse calibration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causal delta recomputation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delta_t = t_zone_next - t_zone after preprocessing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derived from corrected current and next temperature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preserve state-transition consistency after artifact correction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avoid propagating artifact-driven temperature-history features</w:t>
            </w:r>
          </w:p>
        </w:tc>
      </w:tr>
    </w:tbl>
    <w:p>
      <w:pPr>
        <w:spacing w:after="24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Table S4.4</w:t>
      </w:r>
    </w:p>
    <w:p>
      <w:pPr>
        <w:spacing w:after="120" w:before="60"/>
        <w:jc w:val="both"/>
      </w:pPr>
      <w:r>
        <w:rPr>
          <w:rFonts w:ascii="Arial" w:cs="Arial" w:eastAsia="Arial" w:hAnsi="Arial"/>
          <w:sz w:val="18"/>
          <w:szCs w:val="18"/>
        </w:rPr>
        <w:t xml:space="preserve"> Feature significance — per-feature retention rationale with quantitative selection criteria.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variant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obs ablation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delta feature mode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power feature mode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 zone feature mode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with_power_raw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no_power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no_power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no_delta_t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no_delta_t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no_power_no_delta_t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no_power_no_delta_t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no_prev_action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no_prev_action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no_temp_history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no_temp_history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causal_smooth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causal_smooth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no_delta_t_powerlog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no_delta_t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clipped_log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no_delta_t_powerlog_tzone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no_delta_t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clipped_log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comfort_centered</w:t>
            </w:r>
          </w:p>
        </w:tc>
      </w:tr>
    </w:tbl>
    <w:p>
      <w:pPr>
        <w:spacing w:after="24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Table S4.5</w:t>
      </w:r>
    </w:p>
    <w:p>
      <w:pPr>
        <w:spacing w:after="120" w:before="60"/>
        <w:jc w:val="both"/>
      </w:pPr>
      <w:r>
        <w:rPr>
          <w:rFonts w:ascii="Arial" w:cs="Arial" w:eastAsia="Arial" w:hAnsi="Arial"/>
          <w:sz w:val="18"/>
          <w:szCs w:val="18"/>
        </w:rPr>
        <w:t xml:space="preserve"> Input independence — Pearson and mutual-information independence checks across input channels.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feature i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feature j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pearson r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abs pearson r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normalized mutual info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t_zone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t_amb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-0.1451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0.1451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0.0624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t_zone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hour_sin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-0.3634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0.3634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0.0580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t_zone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hour_cos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-0.0029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0.0029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0.0562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t_zone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day_sin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-0.1439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0.1439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0.0501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t_zone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day_cos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0.1120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0.1120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0.0509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t_zone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prev_action_a0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0.1303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0.1303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0.1106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t_zone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prev_action_a1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0.1482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0.1482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0.0474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t_zone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power_history_proxy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0.2446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0.2446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0.0510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t_zone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delta_t_history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-0.1791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0.1791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0.0424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t_amb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hour_sin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-0.3076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0.3076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0.0840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t_amb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hour_cos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-0.3656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0.3656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0.0843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t_amb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day_sin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0.0246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0.0246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0.2292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t_amb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day_cos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0.0132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0.0132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0.1952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t_amb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prev_action_a0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-0.8005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0.8005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0.2478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t_amb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prev_action_a1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-0.0577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0.0577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0.1221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t_amb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power_history_proxy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-0.6381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0.6381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0.2267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t_amb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delta_t_history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0.0609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0.0609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0.0160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hour_sin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hour_cos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-9.726246485875073e-05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9.726246485875073e-05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0.5734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hour_sin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day_sin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-0.0125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0.0125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0.0020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hour_sin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day_cos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0.0124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0.0124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0.0074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hour_sin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prev_action_a0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0.4759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0.4759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0.0913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hour_sin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prev_action_a1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-0.0460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0.0460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0.0346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hour_sin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power_history_proxy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0.4277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0.4277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0.0846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hour_sin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delta_t_history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0.0025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0.0025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0.0313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hour_cos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day_sin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0.0008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0.0008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0.0018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hour_cos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day_cos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-0.0008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0.0008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0.0088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hour_cos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prev_action_a0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0.5486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0.5486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0.1198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hour_cos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prev_action_a1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-0.2219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0.2219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0.0429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hour_cos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power_history_proxy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0.2515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0.2515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0.0663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hour_cos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delta_t_history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-0.0748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0.0748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0.0373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day_sin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day_cos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-0.9857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0.9857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0.7608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day_sin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prev_action_a0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0.0614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0.0614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0.0592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day_sin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prev_action_a1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0.0087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0.0087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0.0462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day_sin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power_history_proxy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0.0522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0.0522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0.0889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day_sin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delta_t_history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0.0027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0.0027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0.0189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day_cos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prev_action_a0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-0.0764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0.0764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0.0546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day_cos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prev_action_a1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-0.0225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0.0225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0.0416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day_cos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power_history_proxy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-0.0693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0.0693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0.0688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day_cos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delta_t_history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-0.0027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0.0027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0.0203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prev_action_a0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prev_action_a1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-0.1125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0.1125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0.0829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prev_action_a0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power_history_proxy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0.7437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0.7437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0.3228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prev_action_a0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delta_t_history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-0.1384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0.1384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0.0254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prev_action_a1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power_history_proxy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0.3881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0.3881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0.0948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prev_action_a1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delta_t_history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0.0266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0.0266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0.0139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power_history_proxy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delta_t_history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-0.0933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0.0933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0.0248</w:t>
            </w:r>
          </w:p>
        </w:tc>
      </w:tr>
    </w:tbl>
    <w:p>
      <w:pPr>
        <w:spacing w:after="24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Table S4.6</w:t>
      </w:r>
    </w:p>
    <w:p>
      <w:pPr>
        <w:spacing w:after="120" w:before="60"/>
        <w:jc w:val="both"/>
      </w:pPr>
      <w:r>
        <w:rPr>
          <w:rFonts w:ascii="Arial" w:cs="Arial" w:eastAsia="Arial" w:hAnsi="Arial"/>
          <w:sz w:val="18"/>
          <w:szCs w:val="18"/>
        </w:rPr>
        <w:t xml:space="preserve"> Train/validation/test split representativeness — distributional checks between corpus partitions.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pipeline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split mode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train rows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 rows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 definition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v3_hourly_control_backbone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row_index_contiguous_80_20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40960.0000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10240.0000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external 15-minute BOPTEST benchmark scenarios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v35_inverse_canonical_power_head_only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episode_id_80_20_plus_excitation_subselection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8058.0000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2686.0000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prepared rollout validation plus live thermostatic BOPTEST transfer benchmark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hybrid_thermostatic_downstream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no_internal_dataset_split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two unseen live BOPTEST heating scenarios: peak_heat_window and typical_heat_window</w:t>
            </w:r>
          </w:p>
        </w:tc>
      </w:tr>
    </w:tbl>
    <w:p>
      <w:pPr>
        <w:spacing w:after="24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Table S4.7</w:t>
      </w:r>
    </w:p>
    <w:p>
      <w:pPr>
        <w:spacing w:after="120" w:before="60"/>
        <w:jc w:val="both"/>
      </w:pPr>
      <w:r>
        <w:rPr>
          <w:rFonts w:ascii="Arial" w:cs="Arial" w:eastAsia="Arial" w:hAnsi="Arial"/>
          <w:sz w:val="18"/>
          <w:szCs w:val="18"/>
        </w:rPr>
        <w:t xml:space="preserve"> Per-channel scaling and reverse-scaling logic — standardisation parameters reused at inference time.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variable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context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scaling method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parameters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 file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surrogate_t_zone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v3/v3.5 surrogate input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"affine min-max to [-1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1]"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min=15 C; max=35 C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surrogate_t_amb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v3/v3.5 surrogate input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"affine min-max to [-1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1]"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min=-10 C; max=40 C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hour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v3/v3.5 surrogate input and TSup controller observation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cyclic sine/cosine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sin(2*pi*hour/24); cos(2*pi*hour/24)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surrogate/rc_node_v2.py; envs/tsup_features.py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day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v3/v3.5 surrogate input and TSup controller observation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cyclic sine/cosine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sin(2*pi*day/365); cos(2*pi*day/365)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surrogate/rc_node_v2.py; envs/tsup_features.py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a0_raw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direct supply-temperature action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native action domain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"[-1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1] maps to 18..35 C supply temperature"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a1_raw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direct fan action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native action domain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"[-1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1.0000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p_total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"TSup controller observation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 mode"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"affine min-max to [-1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1]"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p_total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canonical TSup controller observation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"clipped log transform to [-1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1]"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clip at 2500 W; 2*log1p(p)/log1p(2500)-1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delta_t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"TSup controller observation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 mode"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linear clipping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"clip(delta_t/5 C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delta_t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MORL 17D TSup-style observation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causal smooth tanh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clip to +/-1.5 C; tanh(delta/1.25)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envs/tsup_features.py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controller_t_zone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"TSup controller observation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 mode"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"affine min-max to [-1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1]"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controller_t_zone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"TSup controller observation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comfort-centered ablation"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comfort-centered clipping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"clip((T_zone-22.5 C)/3 C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power_head_output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v3 surrogate output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Softplus multiplied by P_MAX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P_MAX=5500 W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surrogate/rc_node_v2.py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C_zon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v3.5 physics backbone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positive reparameterization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softplus(log_c_zon)+c_min; c_min=5e4 J/K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surrogate/rc_node_v35.py</w:t>
            </w:r>
          </w:p>
        </w:tc>
      </w:tr>
    </w:tbl>
    <w:p>
      <w:pPr>
        <w:spacing w:after="24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Table S4.8</w:t>
      </w:r>
    </w:p>
    <w:p>
      <w:pPr>
        <w:spacing w:after="120" w:before="60"/>
        <w:jc w:val="both"/>
      </w:pPr>
      <w:r>
        <w:rPr>
          <w:rFonts w:ascii="Arial" w:cs="Arial" w:eastAsia="Arial" w:hAnsi="Arial"/>
          <w:sz w:val="18"/>
          <w:szCs w:val="18"/>
        </w:rPr>
        <w:t xml:space="preserve"> Training hyperparameters — optimiser, learning rate, batch size, regularisation, and stopping criteria.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param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value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 file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justification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active_v3_training_entrypoint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surrogate/train_surrogate_backbone.py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surrogate/train_surrogate_backbone.py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Canonical comfort-oriented direct-TSup v3 backbone training script currently present in active contour.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legacy_train_surrogate_py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present in active contour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surrogate/train_surrogate.py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former generic entrypoint is not part of the current active contour; v3 training is reported through train_surrogate_backbone.py.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epochs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surrogate/train_surrogate_backbone.py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 CLI value; upper budget constrained by early stopping.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batch_size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256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surrogate/train_surrogate_backbone.py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 DataLoader batch size used for stable mini-batch estimates on the BOPTEST corpus.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learning_rate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1e-3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surrogate/train_surrogate_backbone.py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 AdamW learning rate for the v3 backbone.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hidden_dim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64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surrogate/train_surrogate_backbone.py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 hidden width used by RCNeuralODEv2 heat and power heads.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optimizer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AdamW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surrogate/train_surrogate_backbone.py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Weight-decayed Adam optimizer stabilizes the black-box residual heads without changing the physical inputs.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weight_decay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1e-4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surrogate/train_surrogate_backbone.py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Explicit optimizer regularization in the canonical v3 training loop.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scheduler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CosineAnnealingLR(T_max=epochs)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surrogate/train_surrogate_backbone.py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Smooth learning-rate decay over the configured epoch budget.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early_stopping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patience=30; improvement_threshold=1e-6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surrogate/train_surrogate_backbone.py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Stops training when the selected validation metric no longer improves.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checkpoint_metric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val_loss default; rollout_rmse optional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surrogate/train_surrogate_backbone.py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 keeps one-step supervised fidelity; rollout_rmse was added for rollout-aware selection when explicitly requested.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gradient_clip_norm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1.0000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surrogate/train_surrogate_backbone.py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Limits unstable updates from multi-step rollout loss.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multi_horizons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"[2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4]"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surrogate/train_surrogate_backbone.py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 short rollout horizons for one-step-plus-local-rollout training.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loss_lambda_temp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1.0000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surrogate/train_surrogate_backbone.py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 temperature fidelity term.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loss_lambda_power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0.1000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surrogate/train_surrogate_backbone.py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Power-head term is normalized by P_MAX and weighted below the temperature term.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loss_lambda_multi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0.5000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surrogate/train_surrogate_backbone.py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Balances local rollout consistency against one-step fit.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loss_lambda_physics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0.0500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surrogate/train_surrogate_backbone.py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Penalizes implausibly large one-step temperature jumps.</w:t>
            </w:r>
          </w:p>
        </w:tc>
      </w:tr>
    </w:tbl>
    <w:p>
      <w:pPr>
        <w:spacing w:after="24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Table S4.9</w:t>
      </w:r>
    </w:p>
    <w:p>
      <w:pPr>
        <w:spacing w:after="120" w:before="60"/>
        <w:jc w:val="both"/>
      </w:pPr>
      <w:r>
        <w:rPr>
          <w:rFonts w:ascii="Arial" w:cs="Arial" w:eastAsia="Arial" w:hAnsi="Arial"/>
          <w:sz w:val="18"/>
          <w:szCs w:val="18"/>
        </w:rPr>
        <w:t xml:space="preserve"> Architecture justification — layer widths, depths, activations, and ablation evidence.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variant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explicit physics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explicit c zon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block1 temp alignment rmse c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v3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control-oriented direct-TSup surrogate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v35_calibrated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physics-oriented calibrated twin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0.2319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hybrid_l010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v3 dynamics regularized by calibrated v3.5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regularizer-only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24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Table S4.10</w:t>
      </w:r>
    </w:p>
    <w:p>
      <w:pPr>
        <w:spacing w:after="120" w:before="60"/>
        <w:jc w:val="both"/>
      </w:pPr>
      <w:r>
        <w:rPr>
          <w:rFonts w:ascii="Arial" w:cs="Arial" w:eastAsia="Arial" w:hAnsi="Arial"/>
          <w:sz w:val="18"/>
          <w:szCs w:val="18"/>
        </w:rPr>
        <w:t xml:space="preserve"> Targeted sensitivity analysis — per-hyperparameter sweep results including the λ_temp scan.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sensitivity axis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tested values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selection metric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winner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numerical reason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observation_ablation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"none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no_power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no_delta_t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no_power_no_delta_t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feature_encoding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"raw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causal_smooth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clipped_log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comfort_centered"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hybrid_lambda_temp_disagree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"0.05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0.1000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0.1500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mean thermostatic m_s across peak/typical</w:t>
            </w:r>
          </w:p>
        </w:tc>
      </w:tr>
    </w:tbl>
    <w:p>
      <w:pPr>
        <w:spacing w:after="24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Table S4.11</w:t>
      </w:r>
    </w:p>
    <w:p>
      <w:pPr>
        <w:spacing w:after="120" w:before="60"/>
        <w:jc w:val="both"/>
      </w:pPr>
      <w:r>
        <w:rPr>
          <w:rFonts w:ascii="Arial" w:cs="Arial" w:eastAsia="Arial" w:hAnsi="Arial"/>
          <w:sz w:val="18"/>
          <w:szCs w:val="18"/>
        </w:rPr>
        <w:t xml:space="preserve"> Replicative and predictive validity — one-step and multi-horizon rollout RMSE across all variants including the v3_15min_matched and raw_v35 reviewer-mitigation rows.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horizon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horizon steps 15min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RMSE 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MAE 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R2 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RMSE P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1.4710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1.2005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-0.9824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1227.5593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1.5786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1.2737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-1.3033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1218.2046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1.5793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1.2736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-1.3546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1201.7231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1.5575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1.2577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-1.4114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1187.5808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v3.5_calibrated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0.3213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0.2197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0.9054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688.7836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v3.5_calibrated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0.5752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0.4237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0.6942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679.7849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v3.5_calibrated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0.6378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0.4760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0.6160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664.6847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v3.5_calibrated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0.6441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0.4817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0.5876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648.2194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hybrid_l010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1.4710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1.2005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-0.9824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1227.5593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hybrid_l010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1.5786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1.2737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-1.3033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1218.2046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hybrid_l010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1.5793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1.2736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-1.3546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1201.7231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hybrid_l010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1.5575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1.2577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-1.4114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1187.5808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v3_15min_matched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0.8746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0.7101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v3_15min_matched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0.8736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0.7099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v3_15min_matched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0.8731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0.7098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v3_15min_matched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0.8761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0.7124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raw_v35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1.4908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1.2359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raw_v35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1.4913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1.2355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raw_v35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1.4908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1.2355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raw_v35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1.4665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1.2208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240" w:before="0"/>
      </w:pP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S5.  Pre-registration audit chain (verbatim git commit messages)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0"/>
          <w:szCs w:val="20"/>
        </w:rPr>
        <w:t xml:space="preserve">The Block 2 and Block 3 results in the main manuscript rely on a nine-commit pre-registration chain. Each commit SHA below is verifiable via `git log -1 &lt;SHA&gt;` against the project repository (https://github.com/Almaz-2001/HVAC_DRL_MORL.git). Reviewers can confirm the bit-identical pre-registration block by diffing 1861e48..7ada793 against the manifest body in configs/block3_testcase_manifest.yaml. The three falsified pre-registered predictions are the single-λ controller-family hypothesis (RQ2/H2), the stretch-testcase controller-FAIL prediction (a-priori probability 0.80), and the scale-dependent C_zon hypothesis B (a-priori 0.50).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0"/>
        <w:gridCol w:w="2080"/>
        <w:gridCol w:w="6000"/>
      </w:tblGrid>
      <w:tr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SHA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Verbatim commit message</w:t>
            </w:r>
          </w:p>
        </w:tc>
      </w:tr>
      <w:tr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93df9b3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MORL pre-registration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pre-registration: seed45/46 falsification predictions for practical canonical</w:t>
            </w:r>
          </w:p>
        </w:tc>
      </w:tr>
      <w:tr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62dc859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MORL post-N=5 result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post-N5 result: action-saturation hypothesis falsified</w:t>
            </w:r>
          </w:p>
        </w:tc>
      </w:tr>
      <w:tr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1861e48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 3 manifest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 3 pre-registration: transferability testcase manifest</w:t>
            </w:r>
          </w:p>
        </w:tc>
      </w:tr>
      <w:tr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2f9d596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 3 audit-pre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 3 audit: record pre-registration commit SHA</w:t>
            </w:r>
          </w:p>
        </w:tc>
      </w:tr>
      <w:tr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eb7091e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Hydronic adapter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 3 pre-registration: hydronic heat-pump actuator adapter</w:t>
            </w:r>
          </w:p>
        </w:tc>
      </w:tr>
      <w:tr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46fbaa9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Secondary adapter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 3 pre-registration: bestest_hydronic direct supply adapter</w:t>
            </w:r>
          </w:p>
        </w:tc>
      </w:tr>
      <w:tr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645626e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Stretch predictions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 3 pre-registration: stretch testcase predictions and commercial hydronic adapter</w:t>
            </w:r>
          </w:p>
        </w:tc>
      </w:tr>
      <w:tr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7ada793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 3 close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 3 audit: record close commit SHA</w:t>
            </w:r>
          </w:p>
        </w:tc>
      </w:tr>
      <w:tr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cb7025f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 3 interpretation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 3 interpretation: component-level transferability and threshold-pass caveat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S6.  Per-seed MORL yearly metrics (N=5 falsification result)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0"/>
          <w:szCs w:val="20"/>
        </w:rPr>
        <w:t xml:space="preserve">Table S6.1 reports the full per-seed yearly evaluation for the two pre-registered MORL canonical weight pairs (50/50 neutral and 75/25 practical). The N=5 sample for each weight pair was pre-registered at audit anchor 93df9b3 before seeds 45 and 46 were trained; the falsification result is documented at audit anchor 62dc859. The high coefficient of variation (CV ≈ 0.42–0.61) is the core empirical evidence that the MORL canonical is promising but not deployment-stable at N=5 without explicit policy stabilisation (validation-based checkpoint selection or seed ensembling). Source: reports/morl_canonical_seedfix_yearly_per_seed.csv.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Table S6.1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18"/>
          <w:szCs w:val="18"/>
        </w:rPr>
        <w:t xml:space="preserve"> Per-seed yearly MORL metrics across the two pre-registered canonical weight pairs.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1200"/>
        <w:gridCol w:w="1200"/>
        <w:gridCol w:w="1200"/>
        <w:gridCol w:w="1200"/>
        <w:gridCol w:w="1200"/>
        <w:gridCol w:w="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weight pair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RMSE_T mean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MAE_T mean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Within 1°C 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Violation 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Energy kWh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m_s mean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050/050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0.939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0.739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74.93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12.92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2843.6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0.193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050/050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0.769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0.618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82.93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6.77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2872.0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0.103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050/050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0.879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0.682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76.85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9.34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2858.4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0.141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050/050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0.895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0.706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77.72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11.97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2839.8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0.187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050/050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0.985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0.815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65.35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24.05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2554.1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0.310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075/025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0.700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0.552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83.30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2994.3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0.057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075/025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0.716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0.570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84.93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5.47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2963.9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0.087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075/025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0.769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0.622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81.68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7.82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2819.1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0.117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075/025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0.903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0.700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78.48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9.42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3036.7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0.160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075/025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0.909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0.743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70.32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20.37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2602.8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0.276</w:t>
            </w:r>
          </w:p>
        </w:tc>
      </w:tr>
    </w:tbl>
    <w:p>
      <w:pPr>
        <w:spacing w:before="24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Table S6.2 — N=5 aggregate statistics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18"/>
          <w:szCs w:val="18"/>
        </w:rPr>
        <w:t xml:space="preserve"> Summary across the per-seed values in Table S6.1.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700"/>
        <w:gridCol w:w="1700"/>
        <w:gridCol w:w="800"/>
        <w:gridCol w:w="800"/>
        <w:gridCol w:w="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Weight pair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RMSE_T mean ± std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Violation % mean ± std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m_s mean ± std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m_s CV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m_s min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m_s max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50/50 neutral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0.893 ± 0.081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13.01 ± 6.62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0.187 ± 0.078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0.418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0.103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0.310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75/25 practical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0.799 ± 0.100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9.23 ± 6.67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0.139 ± 0.085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0.613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0.057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0.276</w:t>
            </w:r>
          </w:p>
        </w:tc>
      </w:tr>
    </w:tbl>
    <w:p>
      <w:pPr>
        <w:pBdr>
          <w:bottom w:val="single" w:color="2E75B6" w:sz="4" w:space="1"/>
        </w:pBdr>
        <w:spacing w:after="200" w:before="200"/>
      </w:pPr>
    </w:p>
    <w:p>
      <w:pPr>
        <w:spacing w:after="100" w:before="100"/>
        <w:jc w:val="both"/>
      </w:pPr>
      <w:r>
        <w:rPr>
          <w:rFonts w:ascii="Arial" w:cs="Arial" w:eastAsia="Arial" w:hAnsi="Arial"/>
          <w:sz w:val="18"/>
          <w:szCs w:val="18"/>
        </w:rPr>
        <w:t xml:space="preserve">End of Supplementary Material. For raw data files, training scripts, and full reproducibility instructions, see the project repository at https://github.com/Almaz-2001/HVAC_DRL_MORL.git.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06060"/>
        <w:sz w:val="16"/>
        <w:szCs w:val="16"/>
      </w:rPr>
      <w:t xml:space="preserve">Supplementary Material — Page </w:t>
    </w:r>
    <w:r>
      <w:rPr>
        <w:rFonts w:ascii="Arial" w:cs="Arial" w:eastAsia="Arial" w:hAnsi="Arial"/>
        <w:color w:val="60606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bba9f43b8f5feef69e3570706b0f8359d90bb45.png"/><Relationship Id="rId9" Type="http://schemas.openxmlformats.org/officeDocument/2006/relationships/image" Target="media/61aeda7059d393507f4de95f009596e3154eb5ff.png"/><Relationship Id="rId10" Type="http://schemas.openxmlformats.org/officeDocument/2006/relationships/image" Target="media/157aac75f78b7e097fd3136868aa859b08596733.png"/><Relationship Id="rId11" Type="http://schemas.openxmlformats.org/officeDocument/2006/relationships/image" Target="media/e6a0079d9ef8d82d8868b770245f0b3f4b422c9e.png"/><Relationship Id="rId12" Type="http://schemas.openxmlformats.org/officeDocument/2006/relationships/image" Target="media/3f7109d849c022804c178996f1bfc24569ee6c11.png"/><Relationship Id="rId13" Type="http://schemas.openxmlformats.org/officeDocument/2006/relationships/image" Target="media/cdbd907f4b9f21336f4ba88e7f25dbbdee18fdde.png"/><Relationship Id="rId14" Type="http://schemas.openxmlformats.org/officeDocument/2006/relationships/image" Target="media/178a14b3b9df4ad7e9b80512ebd98aa647e02c14.png"/><Relationship Id="rId15" Type="http://schemas.openxmlformats.org/officeDocument/2006/relationships/image" Target="media/52ee2c097a7e32f127b909a869ead61b355c7c34.png"/><Relationship Id="rId16" Type="http://schemas.openxmlformats.org/officeDocument/2006/relationships/image" Target="media/05589315e622491a57336a3da3c716b23f229ffe.png"/><Relationship Id="rId17" Type="http://schemas.openxmlformats.org/officeDocument/2006/relationships/image" Target="media/aa21db678964b90e373ddd36bb46b6949c1a71f0.png"/><Relationship Id="rId18" Type="http://schemas.openxmlformats.org/officeDocument/2006/relationships/image" Target="media/92c3b78fa856afc9e51c3ad632c2ea4b7c7c4c45.png"/><Relationship Id="rId19" Type="http://schemas.openxmlformats.org/officeDocument/2006/relationships/image" Target="media/8c8175e0fd9c4fa4aea0b47af12221e5a2d94fb6.png"/><Relationship Id="rId20" Type="http://schemas.openxmlformats.org/officeDocument/2006/relationships/image" Target="media/d336564008e4ad2d0be41aa1e5d5bd1968c23a87.png"/><Relationship Id="rId21" Type="http://schemas.openxmlformats.org/officeDocument/2006/relationships/image" Target="media/f01bb341eaa73e2f42da943ba5cf738b296c4053.png"/><Relationship Id="rId22" Type="http://schemas.openxmlformats.org/officeDocument/2006/relationships/image" Target="media/cdb0732161e3f3f9f67b476b529d78c81f20804d.png"/><Relationship Id="rId23" Type="http://schemas.openxmlformats.org/officeDocument/2006/relationships/image" Target="media/f241d8afd5b50d47c484eb8e3d495d35e9d0d4b3.png"/><Relationship Id="rId24" Type="http://schemas.openxmlformats.org/officeDocument/2006/relationships/image" Target="media/2206e67be07076b39e3d3244807c5e75f7e6feeb.png"/><Relationship Id="rId25" Type="http://schemas.openxmlformats.org/officeDocument/2006/relationships/image" Target="media/b16b671b0c6fecdd4e3d318aed7f06dbab33a487.png"/><Relationship Id="rId26" Type="http://schemas.openxmlformats.org/officeDocument/2006/relationships/image" Target="media/0713e1a02298ae57e73744d88559cf04b4c4ba6e.png"/><Relationship Id="rId27" Type="http://schemas.openxmlformats.org/officeDocument/2006/relationships/image" Target="media/70610aa5d8506c20b42602809048cacfead2389c.png"/><Relationship Id="rId28" Type="http://schemas.openxmlformats.org/officeDocument/2006/relationships/image" Target="media/b74a87778c3360b258271961febbdf43e0e7a59d.png"/><Relationship Id="rId29" Type="http://schemas.openxmlformats.org/officeDocument/2006/relationships/image" Target="media/dc31730ba9c6bf4b418c321e236ba19512b78d34.png"/><Relationship Id="rId30" Type="http://schemas.openxmlformats.org/officeDocument/2006/relationships/image" Target="media/5273992c8509447a59113e574a2822563d55de87.png"/><Relationship Id="rId31" Type="http://schemas.openxmlformats.org/officeDocument/2006/relationships/image" Target="media/d1d1ea7ca55c01179165b032db87ff29f6d829be.png"/><Relationship Id="rId32" Type="http://schemas.openxmlformats.org/officeDocument/2006/relationships/image" Target="media/5b962e508708d2c31dfdbf80de1e89c379b0ae5d.png"/><Relationship Id="rId33" Type="http://schemas.openxmlformats.org/officeDocument/2006/relationships/image" Target="media/be50a26d0e07e92e24a20dec9237eca97b6356d2.png"/><Relationship Id="rId34" Type="http://schemas.openxmlformats.org/officeDocument/2006/relationships/image" Target="media/07a77551df9507bbadfbd577ea1b0f6443c7dac3.png"/><Relationship Id="rId3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2026-05-31T16:54:06.075Z</dcterms:created>
  <dcterms:modified xsi:type="dcterms:W3CDTF">2026-05-31T16:54:06.075Z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