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Supplementary Material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Deep Reinforcement Learning for Energy-Efficient Consumption Management in Smart Buildings: A Calibrated Physical Twin as Soft Regularizer for HVAC Control</w:t>
      </w:r>
    </w:p>
    <w:p>
      <w:pPr>
        <w:spacing w:after="3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Almaz Sapargali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Target journal: Results in Engineering (Elsevier, Q1)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This supplementary document accompanies the main manuscript and contains six categories of additional material that did not fit within the main paper page budget: (S1) Block 1 supplementary figures covering surrogate fidelity diagnostics; (S2) Block 2 supplementary figures covering controller-side validation traces, MORL seed variance, and HDRL tracking detail; (S3) Block 3 supplementary figures covering pre-registration protocol schematics and hypothesis closure tables; (S4) the eleven Hou-and-Evins Reporting-Level-3 numerical-justification tables (S4.1–S4.11); (S5) the full pre-registration audit chain with verbatim git commit messages; (S6) per-seed MORL yearly metrics for the N=5 falsification test. All numerical values trace to CSV/JSON artifacts under reports/ and outputs/ in the project GitHub repository (https://github.com/Almaz-2001/HVAC_DRL_MORL.git).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S1.  Block 1 supplementary figures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These figures support the surrogate-fidelity analysis in Section 5 of the main paper. They include architecture diagrams (S1.1, S1.2), the Stage B C_zon inverse-identification trajectory (S1.3), per-episode rollout RMSE distributions (S1.4–S1.5), runtime benchmarks (S1.6), action-saturation diagnostics (S1.7), and a positioning map relative to related surrogate-modelling work (S1.8).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02_v3_dual_head.png" descr=" v3 dual-head architecture (temperature + power heads; 8,482 total parameters; 7,105 temp head, 1,377 power head)." title="Figure S1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S1.1. </w:t>
      </w:r>
      <w:r>
        <w:rPr>
          <w:rFonts w:ascii="Arial" w:cs="Arial" w:eastAsia="Arial" w:hAnsi="Arial"/>
          <w:sz w:val="18"/>
          <w:szCs w:val="18"/>
        </w:rPr>
        <w:t xml:space="preserve"> v3 dual-head architecture (temperature + power heads; 8,482 total parameters; 7,105 temp head, 1,377 power head).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04_czon_identification.png" descr=" Stage B C_zon inverse identification trajectory. The 120-epoch solve converges from the 4.200×10⁵ J/K prior to the identified 4.413×10⁵ J/K (+5.06%)." title="Figure S1.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S1.2. </w:t>
      </w:r>
      <w:r>
        <w:rPr>
          <w:rFonts w:ascii="Arial" w:cs="Arial" w:eastAsia="Arial" w:hAnsi="Arial"/>
          <w:sz w:val="18"/>
          <w:szCs w:val="18"/>
        </w:rPr>
        <w:t xml:space="preserve"> Stage B C_zon inverse identification trajectory. The 120-epoch solve converges from the 4.200×10⁵ J/K prior to the identified 4.413×10⁵ J/K (+5.06%).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09_backend_speed.png" descr=" Backend speed benchmark across surrogate variants. The hybrid backend sustains 1,786.8 environment steps/s on a single CPU thread (85.0× the live BOPTEST RTE)." title="Figure S1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S1.3. </w:t>
      </w:r>
      <w:r>
        <w:rPr>
          <w:rFonts w:ascii="Arial" w:cs="Arial" w:eastAsia="Arial" w:hAnsi="Arial"/>
          <w:sz w:val="18"/>
          <w:szCs w:val="18"/>
        </w:rPr>
        <w:t xml:space="preserve"> Backend speed benchmark across surrogate variants. The hybrid backend sustains 1,786.8 environment steps/s on a single CPU thread (85.0× the live BOPTEST RTE).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12_per_episode_rmse.png" descr=" Per-episode rollout RMSE distributions for v3, raw v3.5, calibrated v3.5, and corpus-matched v3." title="Figure S1.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S1.4. </w:t>
      </w:r>
      <w:r>
        <w:rPr>
          <w:rFonts w:ascii="Arial" w:cs="Arial" w:eastAsia="Arial" w:hAnsi="Arial"/>
          <w:sz w:val="18"/>
          <w:szCs w:val="18"/>
        </w:rPr>
        <w:t xml:space="preserve"> Per-episode rollout RMSE distributions for v3, raw v3.5, calibrated v3.5, and corpus-matched v3.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13_residual_distributions.png" descr=" Temperature residual distributions across the four surrogate variants." title="Figure S1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S1.5. </w:t>
      </w:r>
      <w:r>
        <w:rPr>
          <w:rFonts w:ascii="Arial" w:cs="Arial" w:eastAsia="Arial" w:hAnsi="Arial"/>
          <w:sz w:val="18"/>
          <w:szCs w:val="18"/>
        </w:rPr>
        <w:t xml:space="preserve"> Temperature residual distributions across the four surrogate variants.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stage_abc_calibration_diagnostics.png" descr=" Stage A/B/C calibration diagnostics, including telemetry-preprocessing artefacts and per-stage RMSE deltas." title="Figure S1.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S1.6. </w:t>
      </w:r>
      <w:r>
        <w:rPr>
          <w:rFonts w:ascii="Arial" w:cs="Arial" w:eastAsia="Arial" w:hAnsi="Arial"/>
          <w:sz w:val="18"/>
          <w:szCs w:val="18"/>
        </w:rPr>
        <w:t xml:space="preserve"> Stage A/B/C calibration diagnostics, including telemetry-preprocessing artefacts and per-stage RMSE deltas.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11_action_saturation.png" descr=" Action-saturation diagnostic. Direct v3.5 PPO drives the actuator into saturation early; hybrid_l010 holds policy fidelity through step 16 on the typical winter window." title="Figure S1.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S1.7. </w:t>
      </w:r>
      <w:r>
        <w:rPr>
          <w:rFonts w:ascii="Arial" w:cs="Arial" w:eastAsia="Arial" w:hAnsi="Arial"/>
          <w:sz w:val="18"/>
          <w:szCs w:val="18"/>
        </w:rPr>
        <w:t xml:space="preserve"> Action-saturation diagnostic. Direct v3.5 PPO drives the actuator into saturation early; hybrid_l010 holds policy fidelity through step 16 on the typical winter window.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1_q1_fig15_literature_positioning.png" descr=" Literature positioning map. Our work occupies the (low predictive fidelity + high RL utility) quadrant via deliberate role separation; existing physics-constrained surrogate work targets the (high fidelity + unknown RL utility) corner." title="Figure S1.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S1.8. </w:t>
      </w:r>
      <w:r>
        <w:rPr>
          <w:rFonts w:ascii="Arial" w:cs="Arial" w:eastAsia="Arial" w:hAnsi="Arial"/>
          <w:sz w:val="18"/>
          <w:szCs w:val="18"/>
        </w:rPr>
        <w:t xml:space="preserve"> Literature positioning map. Our work occupies the (low predictive fidelity + high RL utility) quadrant via deliberate role separation; existing physics-constrained surrogate work targets the (high fidelity + unknown RL utility) corner.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S2.  Block 2 supplementary figures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These figures support the controller-side analysis in Section 6. They include conceptual pipeline schematics (S2.1, S2.2), live BOPTEST traces (S2.3–S2.6), MORL observation-interface ablation (S2.7–S2.9), hybrid-disagreement bounds (S2.10), HDRL tracking detail (S2.11), and three-panel hybrid-vs-PI comparison (S2.12).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2_pipeline.png" descr=" Block 2 controller-side validation pipeline: three surrogate backends feed five training stacks; all controller KPIs measured on live BOPTEST RTE." title="Figure S2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S2.1. </w:t>
      </w:r>
      <w:r>
        <w:rPr>
          <w:rFonts w:ascii="Arial" w:cs="Arial" w:eastAsia="Arial" w:hAnsi="Arial"/>
          <w:sz w:val="18"/>
          <w:szCs w:val="18"/>
        </w:rPr>
        <w:t xml:space="preserve"> Block 2 controller-side validation pipeline: three surrogate backends feed five training stacks; all controller KPIs measured on live BOPTEST RTE.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2_reward_shaping.png" descr=" Hybrid backend reward-shaping mechanism. v3 supplies rollout dynamics; v3.5 contributes per-step disagreement penalties subtracted from the comfort+energy reward." title="Figure S2.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S2.2. </w:t>
      </w:r>
      <w:r>
        <w:rPr>
          <w:rFonts w:ascii="Arial" w:cs="Arial" w:eastAsia="Arial" w:hAnsi="Arial"/>
          <w:sz w:val="18"/>
          <w:szCs w:val="18"/>
        </w:rPr>
        <w:t xml:space="preserve"> Hybrid backend reward-shaping mechanism. v3 supplies rollout dynamics; v3.5 contributes per-step disagreement penalties subtracted from the comfort+energy reward.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boptest_comfort_traces.png" descr=" Hybrid_l010 live BOPTEST comfort traces on peak and typical winter windows. The hybrid policy stays close to the 21–24 °C comfort band." title="Figure S2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S2.3. </w:t>
      </w:r>
      <w:r>
        <w:rPr>
          <w:rFonts w:ascii="Arial" w:cs="Arial" w:eastAsia="Arial" w:hAnsi="Arial"/>
          <w:sz w:val="18"/>
          <w:szCs w:val="18"/>
        </w:rPr>
        <w:t xml:space="preserve"> Hybrid_l010 live BOPTEST comfort traces on peak and typical winter windows. The hybrid policy stays close to the 21–24 °C comfort band.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boptest_power_energy_traces.png" descr=" Hybrid_l010 power and cumulative-energy traces. Energy advantage over pure v3 is comparable; the hybrid achieves better comfort at no energy cost." title="Figure S2.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S2.4. </w:t>
      </w:r>
      <w:r>
        <w:rPr>
          <w:rFonts w:ascii="Arial" w:cs="Arial" w:eastAsia="Arial" w:hAnsi="Arial"/>
          <w:sz w:val="18"/>
          <w:szCs w:val="18"/>
        </w:rPr>
        <w:t xml:space="preserve"> Hybrid_l010 power and cumulative-energy traces. Energy advantage over pure v3 is comparable; the hybrid achieves better comfort at no energy cost.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warmstart_negative_eval_kpis.png" descr=" Direct v3.5 warm-start negative control. Pre-training from v3.5 hurts subsequent hybrid training compared to scratch initialisation." title="Figure S2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S2.5. </w:t>
      </w:r>
      <w:r>
        <w:rPr>
          <w:rFonts w:ascii="Arial" w:cs="Arial" w:eastAsia="Arial" w:hAnsi="Arial"/>
          <w:sz w:val="18"/>
          <w:szCs w:val="18"/>
        </w:rPr>
        <w:t xml:space="preserve"> Direct v3.5 warm-start negative control. Pre-training from v3.5 hurts subsequent hybrid training compared to scratch initialisation.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morl_5d_vs_17d_radar.png" descr=" MORL 5D vs 17D observation-interface ablation. The 5D path collapses (m_s = 1.046); the 17D path recovers a usable MORL policy (m_s = 0.099)." title="Figure S2.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S2.6. </w:t>
      </w:r>
      <w:r>
        <w:rPr>
          <w:rFonts w:ascii="Arial" w:cs="Arial" w:eastAsia="Arial" w:hAnsi="Arial"/>
          <w:sz w:val="18"/>
          <w:szCs w:val="18"/>
        </w:rPr>
        <w:t xml:space="preserve"> MORL 5D vs 17D observation-interface ablation. The 5D path collapses (m_s = 1.046); the 17D path recovers a usable MORL policy (m_s = 0.099).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morl_17d_seasonal_heatmap.png" descr=" MORL 17D monthly seasonal performance heatmap. Performance varies across the calendar year but stays within the pre-registered safety band." title="Figure S2.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S2.7. </w:t>
      </w:r>
      <w:r>
        <w:rPr>
          <w:rFonts w:ascii="Arial" w:cs="Arial" w:eastAsia="Arial" w:hAnsi="Arial"/>
          <w:sz w:val="18"/>
          <w:szCs w:val="18"/>
        </w:rPr>
        <w:t xml:space="preserve"> MORL 17D monthly seasonal performance heatmap. Performance varies across the calendar year but stays within the pre-registered safety band.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morl_seasonal_variance_inversion.png" descr=" MORL seasonal seed-variance heatmap after the N=5 falsification test. The original N=3 seasonal-inversion mechanism does not survive." title="Figure S2.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S2.8. </w:t>
      </w:r>
      <w:r>
        <w:rPr>
          <w:rFonts w:ascii="Arial" w:cs="Arial" w:eastAsia="Arial" w:hAnsi="Arial"/>
          <w:sz w:val="18"/>
          <w:szCs w:val="18"/>
        </w:rPr>
        <w:t xml:space="preserve"> MORL seasonal seed-variance heatmap after the N=5 falsification test. The original N=3 seasonal-inversion mechanism does not survive.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disagreement_summary.png" descr=" Hybrid disagreement bounds: mean v3–v3.5 temperature disagreement 0.969 °C (p95 2.516 °C); mean power 708.4 W (p95 1,236 W). Bounded rather than chaotic divergence." title="Figure S2.9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S2.9. </w:t>
      </w:r>
      <w:r>
        <w:rPr>
          <w:rFonts w:ascii="Arial" w:cs="Arial" w:eastAsia="Arial" w:hAnsi="Arial"/>
          <w:sz w:val="18"/>
          <w:szCs w:val="18"/>
        </w:rPr>
        <w:t xml:space="preserve"> Hybrid disagreement bounds: mean v3–v3.5 temperature disagreement 0.969 °C (p95 2.516 °C); mean power 708.4 W (p95 1,236 W). Bounded rather than chaotic divergence.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block2_hdrl_l000_winter_tracking.png" descr=" HDRL l000 representative winter trace. The hierarchical winter specialist tracks the lower edge of the comfort band closely with low energy expenditure." title="Figure S2.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S2.10. </w:t>
      </w:r>
      <w:r>
        <w:rPr>
          <w:rFonts w:ascii="Arial" w:cs="Arial" w:eastAsia="Arial" w:hAnsi="Arial"/>
          <w:sz w:val="18"/>
          <w:szCs w:val="18"/>
        </w:rPr>
        <w:t xml:space="preserve"> HDRL l000 representative winter trace. The hierarchical winter specialist tracks the lower edge of the comfort band closely with low energy expenditure.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transfer_gap_comparison.png" descr=" Surrogate-to-live transfer-gap comparison across pure v3, hybrid_l010, and direct v3.5. The hybrid narrows the surrogate→live ms_gap from |gap| ≈ 0.9–1.0 to ≈ 0.02." title="Figure S2.1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S2.11. </w:t>
      </w:r>
      <w:r>
        <w:rPr>
          <w:rFonts w:ascii="Arial" w:cs="Arial" w:eastAsia="Arial" w:hAnsi="Arial"/>
          <w:sz w:val="18"/>
          <w:szCs w:val="18"/>
        </w:rPr>
        <w:t xml:space="preserve"> Surrogate-to-live transfer-gap comparison across pure v3, hybrid_l010, and direct v3.5. The hybrid narrows the surrogate→live ms_gap from |gap| ≈ 0.9–1.0 to ≈ 0.02.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vs_pi_ms.png" descr=" Hybrid_l010 vs PI baseline — m_s comparison." title="Figure S2.12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S2.12a. </w:t>
      </w:r>
      <w:r>
        <w:rPr>
          <w:rFonts w:ascii="Arial" w:cs="Arial" w:eastAsia="Arial" w:hAnsi="Arial"/>
          <w:sz w:val="18"/>
          <w:szCs w:val="18"/>
        </w:rPr>
        <w:t xml:space="preserve"> Hybrid_l010 vs PI baseline — m_s comparison.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vs_pi_violation.png" descr=" Hybrid_l010 vs PI baseline — setpoint violation percentage comparison." title="Figure S2.12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S2.12b. </w:t>
      </w:r>
      <w:r>
        <w:rPr>
          <w:rFonts w:ascii="Arial" w:cs="Arial" w:eastAsia="Arial" w:hAnsi="Arial"/>
          <w:sz w:val="18"/>
          <w:szCs w:val="18"/>
        </w:rPr>
        <w:t xml:space="preserve"> Hybrid_l010 vs PI baseline — setpoint violation percentage comparison.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hybrid_vs_pi_energy.png" descr=" Hybrid_l010 vs PI baseline — energy consumption comparison." title="Figure S2.12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S2.12c. </w:t>
      </w:r>
      <w:r>
        <w:rPr>
          <w:rFonts w:ascii="Arial" w:cs="Arial" w:eastAsia="Arial" w:hAnsi="Arial"/>
          <w:sz w:val="18"/>
          <w:szCs w:val="18"/>
        </w:rPr>
        <w:t xml:space="preserve"> Hybrid_l010 vs PI baseline — energy consumption comparison.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S3.  Block 3 supplementary figures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These figures support the transferability analysis in Section 7. They include the pre-registered protocol schematic (S3.1), the testcase difficulty ladder (S3.2), the controller transfer verdict heatmap (S3.3), the full Stage A/B/C gain bar chart (S3.4), and the pre-registered predictions vs observed outcomes table (S3.5).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protocol.png" descr=" Pre-registered Block 3 transferability protocol with the 9-commit audit chain timeline. Bit-identical pre-registration block verifiable via `git diff 1861e48..7ada793`." title="Figure S3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S3.1. </w:t>
      </w:r>
      <w:r>
        <w:rPr>
          <w:rFonts w:ascii="Arial" w:cs="Arial" w:eastAsia="Arial" w:hAnsi="Arial"/>
          <w:sz w:val="18"/>
          <w:szCs w:val="18"/>
        </w:rPr>
        <w:t xml:space="preserve"> Pre-registered Block 3 transferability protocol with the 9-commit audit chain timeline. Bit-identical pre-registration block verifiable via `git diff 1861e48..7ada793`.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testcase_ladder.png" descr=" Block 3 testcase difficulty ladder: source (bestest_air) → primary (bestest_hydronic_heat_pump) → secondary (bestest_hydronic) → stretch (singlezone_commercial_hydronic), each with its pre-registered actuator adapter." title="Figure S3.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S3.2. </w:t>
      </w:r>
      <w:r>
        <w:rPr>
          <w:rFonts w:ascii="Arial" w:cs="Arial" w:eastAsia="Arial" w:hAnsi="Arial"/>
          <w:sz w:val="18"/>
          <w:szCs w:val="18"/>
        </w:rPr>
        <w:t xml:space="preserve"> Block 3 testcase difficulty ladder: source (bestest_air) → primary (bestest_hydronic_heat_pump) → secondary (bestest_hydronic) → stretch (singlezone_commercial_hydronic), each with its pre-registered actuator adapter.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rl_vs_pi.png" descr=" Frozen-controller transfer: m_s_RL vs 1.25× PI threshold and energy delta versus PI. Residential cases save energy but fail comfort; commercial passes safety but at +35.3% energy." title="Figure S3.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S3.3. </w:t>
      </w:r>
      <w:r>
        <w:rPr>
          <w:rFonts w:ascii="Arial" w:cs="Arial" w:eastAsia="Arial" w:hAnsi="Arial"/>
          <w:sz w:val="18"/>
          <w:szCs w:val="18"/>
        </w:rPr>
        <w:t xml:space="preserve"> Frozen-controller transfer: m_s_RL vs 1.25× PI threshold and energy delta versus PI. Residential cases save energy but fail comfort; commercial passes safety but at +35.3% energy.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stage_abc_gain.png" descr=" Full Stage A/B/C surrogate recalibration improves RMSE_T by 60.2 / 87.4 / 87.8 % on the three hydronic testcases; power-head MAE improvements are large on residential cases and marginal on commercial." title="Figure S3.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S3.4. </w:t>
      </w:r>
      <w:r>
        <w:rPr>
          <w:rFonts w:ascii="Arial" w:cs="Arial" w:eastAsia="Arial" w:hAnsi="Arial"/>
          <w:sz w:val="18"/>
          <w:szCs w:val="18"/>
        </w:rPr>
        <w:t xml:space="preserve"> Full Stage A/B/C surrogate recalibration improves RMSE_T by 60.2 / 87.4 / 87.8 % on the three hydronic testcases; power-head MAE improvements are large on residential cases and marginal on commercial.</w:t>
      </w:r>
    </w:p>
    <w:p>
      <w:pPr>
        <w:spacing w:after="80" w:before="160"/>
        <w:jc w:val="center"/>
      </w:pPr>
      <w:r>
        <w:drawing>
          <wp:inline distT="0" distB="0" distL="0" distR="0">
            <wp:extent cx="5800000" cy="2800000"/>
            <wp:effectExtent t="0" r="0" b="0" l="0"/>
            <wp:docPr id="1" name="fig_block3_hypothesis_closure.png" descr=" Pre-registered predictions vs observed outcomes (stretch testcase). Two predictions FALSIFIED (controller verdict; scale-dependent C_zon B); three CONFIRMED (RMSE gain; uniform C_zon A; pipeline convergence)." title="Figure S3.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Figure S3.5. </w:t>
      </w:r>
      <w:r>
        <w:rPr>
          <w:rFonts w:ascii="Arial" w:cs="Arial" w:eastAsia="Arial" w:hAnsi="Arial"/>
          <w:sz w:val="18"/>
          <w:szCs w:val="18"/>
        </w:rPr>
        <w:t xml:space="preserve"> Pre-registered predictions vs observed outcomes (stretch testcase). Two predictions FALSIFIED (controller verdict; scale-dependent C_zon B); three CONFIRMED (RMSE gain; uniform C_zon A; pipeline convergence).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S4.  Hou-and-Evins Reporting-Level-3 numerical-justification tables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Eleven tables (S4.1–S4.11) cover the Hou-and-Evins Section-5 reporting requirements: sample-generation provenance, sample-size justification, Stage A telemetry preprocessing, feature significance, input independence, split representativeness, channel scaling, training hyperparameters, architecture justification, targeted sensitivity, and replicative/predictive validity. Each table is reproduced verbatim from the corresponding CSV under paper/supplementary/. Per the compliance review, fifteen of the seventeen Hou-and-Evins Level-3 items are covered; the two not covered are physical co-simulation across independent Modelica engines and grid-tied multi-agent coordination, both out of scope for the single-zone testbed used here.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S4.1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Sample-generation provenance — origin, parameter ranges, and physical justification of each transition corpus.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dataset id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episodes or groups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sec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controller or policy mix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v3_hourly_direct_tsup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data\surrogate_v2\boptest_v2_tsupply.csv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51200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"cool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v35_prepared_15min_bootstrap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data/block_1_2_surrogate_rmse/boptest_block12_15min_prepared.csv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10744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"hdrl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v35_collected_15min_exploration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data/block_1_2_surrogate_rmse/boptest_block12_15min_collected.csv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48384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"cool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S4.2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Sample-size justification — numerical evidence for the chosen corpus sizes including learning-curve checks.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dataset id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episodes or groups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 sec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boptest collection minutes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v3_hourly_direct_tsup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51200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v35_prepared_15min_bootstrap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10744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collected_15min_exploration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48384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17.1815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collected_15min_focus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24192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9.4833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S4.3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Stage A telemetry preprocessing — latency compensation, bias removal, normalisation, denoise, causal delta.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 a operation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 or rule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 criterion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latency compensation search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_undo_delay_array over candidate lags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"lag in [0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max_latency_search]"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lag minimizing surrogate one-step RMSE against observed next-step temperature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undo thermostat/telemetry delay before calibration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bias removal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median residual offset subtraction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bias_est = median(t_obs_next - t_pred)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center residual distribution before Stage B/C calibration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fitting static sensor bias as building physics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affine normalization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least-squares fit p_obs ≈ scale * p_pred + bias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"scale_est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bias_p_est from linear solve"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power-channel mismatch before nonlinear head refinement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separate systematic meter scaling from dynamic error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rolling denoise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rolling median + exponential moving average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smooth_window = 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suppress high-frequency telemetry noise without changing regime identity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stabilize downstream inverse calibration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causal delta recomputation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 = t_zone_next - t_zone after preprocessing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 from corrected current and next temperature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preserve state-transition consistency after artifact correction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propagating artifact-driven temperature-history features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S4.4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Feature significance — per-feature retention rationale with quantitative selection criteria.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 ablation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 feature mode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feature mode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 zone feature mode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with_power_raw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no_power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no_power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no_power_no_delta_t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no_power_no_delta_t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no_prev_action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no_prev_action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no_temp_history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no_temp_history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causal_smooth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causal_smooth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no_delta_t_powerlog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clipped_log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no_delta_t_powerlog_tzone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clipped_log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comfort_centered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S4.5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Input independence — Pearson and mutual-information independence checks across input channels.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j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pearson 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 pearson 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normalized mutual info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-0.1451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0.1451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0.0624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-0.3634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0.3634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0.0580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-0.0029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0.0562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-0.1439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0.1439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0.0501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0.1120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0.1120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0.1303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0.1303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0.1106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0.1482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0.1482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0.0474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0.2446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0.2446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0.0510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-0.1791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0.1791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0.0424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-0.3076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0.3076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0.0840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-0.3656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0.3656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0.0843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0.2292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0.0132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0.0132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0.1952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-0.8005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0.2478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-0.0577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0.0577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0.1221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-0.6381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0.6381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0.2267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0.0609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0.0609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0.0160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-9.726246485875073e-05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9.726246485875073e-05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0.5734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-0.0125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0.0124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0.0074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0.4759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0.4759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0.0913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-0.0460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0.0460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0.0346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0.4277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0.4277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0.0846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0.0313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0.0018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0.5486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0.5486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0.1198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-0.2219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0.2219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0.0429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0.2515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0.2515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0.0663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-0.0748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0.0748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0.0373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-0.9857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0.9857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0.7608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0.0614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0.0614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0.0592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0.0462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0.0522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0.0522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0.0889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day_sin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0.0189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-0.0764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0.0764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0.0546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-0.0225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0.0416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-0.0693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0.0693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0.0688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day_cos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0.0027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0.0203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-0.1125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0.1125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0.0829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0.7437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0.7437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0.3228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-0.1384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0.1384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0.0254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0.3881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0.3881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0.0948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prev_action_a1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0.0266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0.0266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0.0139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power_history_proxy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delta_t_history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-0.0933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0.0933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0.0248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S4.6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Train/validation/test split representativeness — distributional checks between corpus partitions.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pipeline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split mode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 rows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 rows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definition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v3_hourly_control_backbone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row_index_contiguous_80_20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40960.0000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10240.0000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15-minute BOPTEST benchmark scenarios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v35_inverse_canonical_power_head_only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episode_id_80_20_plus_excitation_subselection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8058.0000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2686.0000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prepared rollout validation plus live thermostatic BOPTEST transfer benchmark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hybrid_thermostatic_downstream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no_internal_dataset_split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unseen live BOPTEST heating scenarios: peak_heat_window and typical_heat_window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S4.7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Per-channel scaling and reverse-scaling logic — standardisation parameters reused at inference 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scaling method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surrogate_t_zone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v3/v3.5 surrogate input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"affine min-max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min=15 C; max=35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surrogate_t_amb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v3/v3.5 surrogate input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"affine min-max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min=-10 C; max=40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hour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v3/v3.5 surrogate input and 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cyclic sine/cosine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sin(2*pi*hour/24); cos(2*pi*hour/24)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surrogate/rc_node_v2.py; envs/tsup_features.py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v3/v3.5 surrogate input and 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cyclic sine/cosine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sin(2*pi*day/365); cos(2*pi*day/365)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surrogate/rc_node_v2.py; envs/tsup_features.py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a0_raw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supply-temperature 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native action domain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 maps to 18..35 C supply temperature"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a1_raw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fan action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native action domain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1.0000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p_total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mode"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"affine min-max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p_total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canonical 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"clipped log transform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 at 2500 W; 2*log1p(p)/log1p(2500)-1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mode"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linear clipping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"clip(delta_t/5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MORL 17D TSup-style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causal smooth tanh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 to +/-1.5 C; tanh(delta/1.25)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envs/tsup_features.py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controller_t_zone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 mode"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"affine min-max to [-1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1]"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controller_t_zone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"TSup controller observation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comfort-centered ablation"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comfort-centered clipping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"clip((T_zone-22.5 C)/3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power_head_output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 surrogate output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Softplus multiplied by P_MAX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P_MAX=5500 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surrogate/rc_node_v2.py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C_zon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v3.5 physics backbone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positive reparameterization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softplus(log_c_zon)+c_min; c_min=5e4 J/K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surrogate/rc_node_v35.py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S4.8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Training hyperparameters — optimiser, learning rate, batch size, regularisation, and stopping criteria.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active_v3_training_entrypoint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Canonical comfort-oriented direct-TSup v3 backbone training script currently present in active contour.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legacy_train_surrogate_py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present in active contour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former generic entrypoint is not part of the current active contour; v3 training is reported through train_surrogate_backbone.py.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epochs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CLI value; upper budget constrained by early stopping.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batch_size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DataLoader batch size used for stable mini-batch estimates on the BOPTEST corpus.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1e-3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AdamW learning rate for the v3 backbone.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hidden_dim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hidden width used by RCNeuralODEv2 heat and power heads.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optimizer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AdamW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Weight-decayed Adam optimizer stabilizes the black-box residual heads without changing the physical inputs.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weight_decay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1e-4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 optimizer regularization in the canonical v3 training loop.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CosineAnnealingLR(T_max=epochs)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Smooth learning-rate decay over the configured epoch budget.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early_stopping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patience=30; improvement_threshold=1e-6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Stops training when the selected validation metric no longer improves.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checkpoint_metric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val_loss default; rollout_rmse optional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keeps one-step supervised fidelity; rollout_rmse was added for rollout-aware selection when explicitly requested.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gradient_clip_norm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Limits unstable updates from multi-step rollout loss.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multi_horizons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"[2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4]"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short rollout horizons for one-step-plus-local-rollout training.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loss_lambda_temp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temperature fidelity term.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loss_lambda_power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Power-head term is normalized by P_MAX and weighted below the temperature term.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loss_lambda_multi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Balances local rollout consistency against one-step fit.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loss_lambda_physics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surrogate/train_surrogate_backbone.py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Penalizes implausibly large one-step temperature jumps.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S4.9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Architecture justification — layer widths, depths, activations, and ablation evidence.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variant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explicit physics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explicit c zon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block1 temp alignment rmse 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control-oriented direct-TSup surrogate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v35_calibrated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physics-oriented calibrated twin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0.2319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 dynamics regularized by calibrated v3.5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regularizer-only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S4.10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Targeted sensitivity analysis — per-hyperparameter sweep results including the λ_temp scan.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sensitivity axis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tested values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selection metric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winner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numerical reason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observation_ablation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"none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no_power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no_delta_t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no_power_no_delta_t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feature_encoding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"raw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causal_smooth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clipped_log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comfort_centered"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hybrid_lambda_temp_disagree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"0.05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thermostatic m_s across peak/typical</w:t>
            </w:r>
          </w:p>
        </w:tc>
      </w:tr>
    </w:tbl>
    <w:p>
      <w:pPr>
        <w:spacing w:after="24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S4.11</w:t>
      </w:r>
    </w:p>
    <w:p>
      <w:pPr>
        <w:spacing w:after="120" w:before="60"/>
        <w:jc w:val="both"/>
      </w:pPr>
      <w:r>
        <w:rPr>
          <w:rFonts w:ascii="Arial" w:cs="Arial" w:eastAsia="Arial" w:hAnsi="Arial"/>
          <w:sz w:val="18"/>
          <w:szCs w:val="18"/>
        </w:rPr>
        <w:t xml:space="preserve"> Replicative and predictive validity — one-step and multi-horizon rollout RMSE across all variants including the v3_15min_matched and raw_v35 reviewer-mitigation rows.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horizon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horizon steps 15min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MAE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 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 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1.4710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1.2005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-0.9824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1227.5593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1.5786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-1.3033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1218.2046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1.5793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-1.3546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1201.7231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1.5575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1.2577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-1.4114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1187.5808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v3.5_calibrated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0.2197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0.9054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688.7836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v3.5_calibrated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0.6942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679.7849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v3.5_calibrated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0.6378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0.4760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664.6847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v3.5_calibrated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0.6441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0.4817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0.5876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648.2194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1.4710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1.2005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-0.9824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1227.5593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1.5786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1.2737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-1.3033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1218.2046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1.5793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1.2736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-1.3546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1201.7231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hybrid_l010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1.5575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1.2577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-1.4114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1187.5808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v3_15min_matched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0.8746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0.7101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v3_15min_matched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0.8736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0.7099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v3_15min_matched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0.8731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0.7098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v3_15min_matched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0.8761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0.7124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raw_v35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1.4908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1.2359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raw_v35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1.4913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1.2355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raw_v35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1.4908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1.2355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raw_v35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1.4665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1.2208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S5.  Pre-registration audit chain (verbatim git commit messages)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The Block 2 and Block 3 results in the main manuscript rely on a nine-commit pre-registration chain. Each commit SHA below is verifiable via `git log -1 &lt;SHA&gt;` against the project repository (https://github.com/Almaz-2001/HVAC_DRL_MORL.git). Reviewers can confirm the bit-identical pre-registration block by diffing 1861e48..7ada793 against the manifest body in configs/block3_testcase_manifest.yaml. The three falsified pre-registered predictions are the single-λ controller-family hypothesis (RQ2/H2), the stretch-testcase controller-FAIL prediction (a-priori probability 0.80), and the scale-dependent C_zon hypothesis B (a-priori 0.50).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2080"/>
        <w:gridCol w:w="6000"/>
      </w:tblGrid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Verbatim commit message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93df9b3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MORL pre-registration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pre-registration: seed45/46 falsification predictions for practical canonical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62dc859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MORL post-N=5 result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post-N5 result: action-saturation hypothesis falsified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1861e48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manifest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pre-registration: transferability testcase manifest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2f9d596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audit-pre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audit: record pre-registration commit SHA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eb7091e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Hydronic adapter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pre-registration: hydronic heat-pump actuator adapter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46fbaa9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 adapter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pre-registration: bestest_hydronic direct supply adapter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645626e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Stretch predictions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pre-registration: stretch testcase predictions and commercial hydronic adapter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7ada793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close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audit: record close commit SHA</w:t>
            </w:r>
          </w:p>
        </w:tc>
      </w:tr>
      <w:tr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cb7025f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interpretation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 3 interpretation: component-level transferability and threshold-pass caveat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S6.  Per-seed MORL yearly metrics (N=5 falsification result)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0"/>
          <w:szCs w:val="20"/>
        </w:rPr>
        <w:t xml:space="preserve">Table S6.1 reports the full per-seed yearly evaluation for the two pre-registered MORL canonical weight pairs (50/50 neutral and 75/25 practical). The N=5 sample for each weight pair was pre-registered at audit anchor 93df9b3 before seeds 45 and 46 were trained; the falsification result is documented at audit anchor 62dc859. The high coefficient of variation (CV ≈ 0.42–0.61) is the core empirical evidence that the MORL canonical is promising but not deployment-stable at N=5 without explicit policy stabilisation (validation-based checkpoint selection or seed ensembling). Source: reports/morl_canonical_seedfix_yearly_per_seed.csv.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S6.1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18"/>
          <w:szCs w:val="18"/>
        </w:rPr>
        <w:t xml:space="preserve"> Per-seed yearly MORL metrics across the two pre-registered canonical weight pairs.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1200"/>
        <w:gridCol w:w="1200"/>
        <w:gridCol w:w="1200"/>
        <w:gridCol w:w="1200"/>
        <w:gridCol w:w="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 pair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RMSE_T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MAE_T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Within 1°C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Violation 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Energy kWh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mean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2843.6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2872.0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76.85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2858.4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77.72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2839.8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050/050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2554.1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2994.3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84.93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2963.9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2819.1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78.48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3036.7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075/025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70.32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2602.8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0.276</w:t>
            </w:r>
          </w:p>
        </w:tc>
      </w:tr>
    </w:tbl>
    <w:p>
      <w:pPr>
        <w:spacing w:before="2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Table S6.2 — N=5 aggregate statistics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18"/>
          <w:szCs w:val="18"/>
        </w:rPr>
        <w:t xml:space="preserve"> Summary across the per-seed values in Table S6.1.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700"/>
        <w:gridCol w:w="1700"/>
        <w:gridCol w:w="800"/>
        <w:gridCol w:w="800"/>
        <w:gridCol w:w="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 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RMSE_T mean ± std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Violation % mean ± std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mean ± std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CV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min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m_s max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50/50 neutral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0.893 ± 0.081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13.01 ± 6.62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0.187 ± 0.078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75/25 practical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0.799 ± 0.100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9.23 ± 6.67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0.139 ± 0.085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0.276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spacing w:after="100" w:before="100"/>
        <w:jc w:val="both"/>
      </w:pPr>
      <w:r>
        <w:rPr>
          <w:rFonts w:ascii="Arial" w:cs="Arial" w:eastAsia="Arial" w:hAnsi="Arial"/>
          <w:sz w:val="18"/>
          <w:szCs w:val="18"/>
        </w:rPr>
        <w:t xml:space="preserve">End of Supplementary Material. For raw data files, training scripts, and full reproducibility instructions, see the project repository at https://github.com/Almaz-2001/HVAC_DRL_MORL.git.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6060"/>
        <w:sz w:val="16"/>
        <w:szCs w:val="16"/>
      </w:rPr>
      <w:t xml:space="preserve">Supplementary Material — Page </w:t>
    </w:r>
    <w:r>
      <w:rPr>
        <w:rFonts w:ascii="Arial" w:cs="Arial" w:eastAsia="Arial" w:hAnsi="Arial"/>
        <w:color w:val="6060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bba9f43b8f5feef69e3570706b0f8359d90bb45.png"/><Relationship Id="rId9" Type="http://schemas.openxmlformats.org/officeDocument/2006/relationships/image" Target="media/61aeda7059d393507f4de95f009596e3154eb5ff.png"/><Relationship Id="rId10" Type="http://schemas.openxmlformats.org/officeDocument/2006/relationships/image" Target="media/157aac75f78b7e097fd3136868aa859b08596733.png"/><Relationship Id="rId11" Type="http://schemas.openxmlformats.org/officeDocument/2006/relationships/image" Target="media/e6a0079d9ef8d82d8868b770245f0b3f4b422c9e.png"/><Relationship Id="rId12" Type="http://schemas.openxmlformats.org/officeDocument/2006/relationships/image" Target="media/3f7109d849c022804c178996f1bfc24569ee6c11.png"/><Relationship Id="rId13" Type="http://schemas.openxmlformats.org/officeDocument/2006/relationships/image" Target="media/cdbd907f4b9f21336f4ba88e7f25dbbdee18fdde.png"/><Relationship Id="rId14" Type="http://schemas.openxmlformats.org/officeDocument/2006/relationships/image" Target="media/178a14b3b9df4ad7e9b80512ebd98aa647e02c14.png"/><Relationship Id="rId15" Type="http://schemas.openxmlformats.org/officeDocument/2006/relationships/image" Target="media/52ee2c097a7e32f127b909a869ead61b355c7c34.png"/><Relationship Id="rId16" Type="http://schemas.openxmlformats.org/officeDocument/2006/relationships/image" Target="media/05589315e622491a57336a3da3c716b23f229ffe.png"/><Relationship Id="rId17" Type="http://schemas.openxmlformats.org/officeDocument/2006/relationships/image" Target="media/aa21db678964b90e373ddd36bb46b6949c1a71f0.png"/><Relationship Id="rId18" Type="http://schemas.openxmlformats.org/officeDocument/2006/relationships/image" Target="media/92c3b78fa856afc9e51c3ad632c2ea4b7c7c4c45.png"/><Relationship Id="rId19" Type="http://schemas.openxmlformats.org/officeDocument/2006/relationships/image" Target="media/8c8175e0fd9c4fa4aea0b47af12221e5a2d94fb6.png"/><Relationship Id="rId20" Type="http://schemas.openxmlformats.org/officeDocument/2006/relationships/image" Target="media/d336564008e4ad2d0be41aa1e5d5bd1968c23a87.png"/><Relationship Id="rId21" Type="http://schemas.openxmlformats.org/officeDocument/2006/relationships/image" Target="media/f01bb341eaa73e2f42da943ba5cf738b296c4053.png"/><Relationship Id="rId22" Type="http://schemas.openxmlformats.org/officeDocument/2006/relationships/image" Target="media/cdb0732161e3f3f9f67b476b529d78c81f20804d.png"/><Relationship Id="rId23" Type="http://schemas.openxmlformats.org/officeDocument/2006/relationships/image" Target="media/f241d8afd5b50d47c484eb8e3d495d35e9d0d4b3.png"/><Relationship Id="rId24" Type="http://schemas.openxmlformats.org/officeDocument/2006/relationships/image" Target="media/2206e67be07076b39e3d3244807c5e75f7e6feeb.png"/><Relationship Id="rId25" Type="http://schemas.openxmlformats.org/officeDocument/2006/relationships/image" Target="media/b16b671b0c6fecdd4e3d318aed7f06dbab33a487.png"/><Relationship Id="rId26" Type="http://schemas.openxmlformats.org/officeDocument/2006/relationships/image" Target="media/0713e1a02298ae57e73744d88559cf04b4c4ba6e.png"/><Relationship Id="rId27" Type="http://schemas.openxmlformats.org/officeDocument/2006/relationships/image" Target="media/70610aa5d8506c20b42602809048cacfead2389c.png"/><Relationship Id="rId28" Type="http://schemas.openxmlformats.org/officeDocument/2006/relationships/image" Target="media/b74a87778c3360b258271961febbdf43e0e7a59d.png"/><Relationship Id="rId29" Type="http://schemas.openxmlformats.org/officeDocument/2006/relationships/image" Target="media/dc31730ba9c6bf4b418c321e236ba19512b78d34.png"/><Relationship Id="rId30" Type="http://schemas.openxmlformats.org/officeDocument/2006/relationships/image" Target="media/5273992c8509447a59113e574a2822563d55de87.png"/><Relationship Id="rId31" Type="http://schemas.openxmlformats.org/officeDocument/2006/relationships/image" Target="media/d1d1ea7ca55c01179165b032db87ff29f6d829be.png"/><Relationship Id="rId32" Type="http://schemas.openxmlformats.org/officeDocument/2006/relationships/image" Target="media/5b962e508708d2c31dfdbf80de1e89c379b0ae5d.png"/><Relationship Id="rId33" Type="http://schemas.openxmlformats.org/officeDocument/2006/relationships/image" Target="media/be50a26d0e07e92e24a20dec9237eca97b6356d2.png"/><Relationship Id="rId34" Type="http://schemas.openxmlformats.org/officeDocument/2006/relationships/image" Target="media/07a77551df9507bbadfbd577ea1b0f6443c7dac3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2026-05-31T16:54:06.075Z</dcterms:created>
  <dcterms:modified xsi:type="dcterms:W3CDTF">2026-05-31T16:54:06.075Z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