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The Fidelity–Utility Paradox in Surrogate-Based Reinforcement Learning: A Role-Separated Hybrid Methodology in an HVAC Control Case Study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Aksultan Mukhanbet 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Almaz Sapargali 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2,1,*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Serik Aibagarov 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2,1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Beimbet Daribayev 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Shona Shinassylov 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2,1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Paulo Trigo 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4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17"/>
          <w:szCs w:val="17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 Al-Farabi Kazakh National University, Almaty, Kazakhstan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17"/>
          <w:szCs w:val="17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 LLP Digit Alem, Almaty, Kazakhstan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17"/>
          <w:szCs w:val="17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 Shakarim University, Semey, Abai Region, Kazakhstan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17"/>
          <w:szCs w:val="17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 Instituto Superior de Engenharia de Lisboa (ISEL), Lisbon, Portugal</w:t>
      </w:r>
    </w:p>
    <w:p>
      <w:pPr>
        <w:spacing w:after="260"/>
      </w:pPr>
      <w:r>
        <w:rPr>
          <w:rFonts w:ascii="Times New Roman" w:cs="Times New Roman" w:eastAsia="Times New Roman" w:hAnsi="Times New Roman"/>
          <w:sz w:val="17"/>
          <w:szCs w:val="17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 Correspondence: almaz.sapargali2001@gmail.com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2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Deep reinforcement-learning (RL) controllers for HVAC are often trained against fast neural-network surrogates, under the assumption that a more accurate surrogate provides a better training environment. We test this assumption on the BOPTEST </w:t>
      </w:r>
      <w:r>
        <w:rPr>
          <w:rFonts w:ascii="Consolas" w:cs="Consolas" w:eastAsia="Consolas" w:hAnsi="Consolas"/>
          <w:sz w:val="21"/>
          <w:szCs w:val="21"/>
        </w:rPr>
        <w:t xml:space="preserve">bestest_air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testcase and report a negative result, the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fidelity–utility paradox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the surrogate with lower predictive error can be the worse environment for policy-gradient search. A grey-box RC surrogate with a neural residual heat-flow head (GB) attains a 24-hour rollout RMSE of 0.644 °C versus 1.557 °C for a black-box surrogate (BB), yet a policy trained directly on GB collapses on every seed: its BOPTEST maintenance score is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2"/>
          <w:szCs w:val="22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1.07/1.13 peak/typical (lower is better;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2"/>
          <w:szCs w:val="22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&gt; 1 is unusable,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3), with comfort violation &gt; 75%, whereas the weaker BB trains a usable controller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2"/>
          <w:szCs w:val="22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0.073/0.095). Retraining BB at finer resolution makes it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more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accurate yet unusable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2"/>
          <w:szCs w:val="22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&gt; 1.1), showing that the driver is temporal resolution and the coarse per-step increment, not model class alone. We then formulate a role-separated hybrid methodology: BB supplies smooth rollout dynamics, while a frozen GB acts only as a per-step model-disagreement reward censor. This role separation gives the best cross-window robustness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2"/>
          <w:szCs w:val="22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0.041, sub-5% violation) at ~85× live-simulator throughput, with a controller-family-specific censor weight. Across three hydronic transfer cases, recalibration transfers but the frozen controller does not, indicating a component-level rather than universal transfer boundary.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Keywords: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reinforcement learning; HVAC control; surrogate model; physics-informed calibration; transfer learning; BOPTEST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2026-07-17T11:38:17.478Z</dcterms:created>
  <dcterms:modified xsi:type="dcterms:W3CDTF">2026-07-17T11:38:17.479Z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