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[Corresponding Author Name]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[Affiliation / Department]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[Institution, City, Country]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[email]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[Date]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 the Editor-in-Chief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Results in Engineering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Dear Editor,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We are pleased to submit our manuscript, “The Fidelity–Utility Paradox in Surrogate-Based Reinforcement Learning for HVAC Control,” for consideration in Results in Engineering.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Deep reinforcement-learning HVAC controllers are usually trained on fast neural surrogates under an assumption so common it is rarely stated: that a more accurate surrogate is a better training environment. Our manuscript tests this assumption directly on the BOPTEST bestest_air benchmark and reports a verified negative result — the fidelity–utility paradox: the surrogate with the lower predictive error can be the worse environment for policy-gradient training. A calibrated grey-box twin (24 h rollout RMSE 0.644 °C) trains an unusable controller, while a weaker black-box surrogate (1.557 °C) trains a usable one. Crucially, we close the obvious confound with a matched-configuration control experiment: retraining the same black-box architecture at the finer control resolution makes it strictly more accurate yet collapses downstream control, isolating a fidelity/smoothing trade-off rather than a model-class effect.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We then demonstrate one engineering resolution — a role-separating hybrid (black-box rollout dynamics plus a frozen physical twin as a per-step reward-shaping censor) that achieves sub-5% comfort violation at roughly 85× live-simulator throughput — and a component-level transferability boundary on three hydronic testcases (the inverse-calibration pipeline transfers; the frozen policy does not transfer uniformly).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We believe the work fits Results in Engineering well: it is a rigorous, application-grounded engineering result whose value lies in correcting a working assumption that current surrogate-building protocols optimise for, and in providing actionable design guidance — evaluate surrogates by downstream control utility, not predictive accuracy alone. The manuscript is organised as a self-contained main text carrying the scientific argument and key evidence, with the full parameterisation, diagnostics, and per-artifact provenance placed in the accompanying supplementary material.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 methodological feature we wish to highlight is the verifiability of the evidence chain. All claims are version-locked: hypotheses and pass/fail rules were committed to source control before the corresponding runs, and the audit anchors are published as Git tags in the open repository accompanying the paper (https://github.com/Almaz-2001/HVAC_fidelity-utility-paradox), together with the code, configurations, trained controller checkpoints, and per-figure provenance maps that regenerate every number, figure, and table in the manuscript. The use of a generative-AI writing assistant is disclosed in the manuscript in accordance with Elsevier policy; all experiments, data, and scientific claims are the authors’ own.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This manuscript is original, has not been published previously, and is not under consideration by any other journal. All authors have approved the submission and declare no competing interests.</w:t>
      </w:r>
    </w:p>
    <w:p>
      <w:pPr>
        <w:spacing w:after="2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Thank you for your consideration. We look forward to the reviewers’ feedback.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Sincerely,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[Corresponding Author Name]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[Affiliation, City, Country]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[email] · ORCID: [xxxx-xxxx-xxxx-xxxx]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 behalf of all authors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2026-06-12T09:26:03.198Z</dcterms:created>
  <dcterms:modified xsi:type="dcterms:W3CDTF">2026-06-12T09:26:03.216Z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