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SimSun;宋体" w:hAnsi="SimSun;宋体" w:cs="SimSun;宋体"/>
          <w:sz w:val="24"/>
        </w:rPr>
      </w:pPr>
      <w:r>
        <w:rPr>
          <w:rFonts w:cs="SimSun;宋体" w:ascii="SimSun;宋体" w:hAnsi="SimSun;宋体"/>
          <w:sz w:val="24"/>
        </w:rPr>
      </w:r>
    </w:p>
    <w:p>
      <w:pPr>
        <w:pStyle w:val="Normal"/>
        <w:rPr>
          <w:sz w:val="24"/>
        </w:rPr>
      </w:pPr>
      <w:r>
        <w:rPr>
          <w:rFonts w:hint="eastAsia"/>
          <w:sz w:val="24"/>
        </w:rPr>
        <w:t xml:space="preserve">                                                      </w:t>
      </w:r>
      <w:r>
        <w:rPr>
          <w:rFonts w:hint="eastAsia"/>
          <w:sz w:val="24"/>
        </w:rPr>
        <w:t>学号</w:t>
      </w:r>
    </w:p>
    <w:p>
      <w:pPr>
        <w:pStyle w:val="Normal"/>
        <w:rPr>
          <w:rFonts w:ascii="Times New Roman" w:hAnsi="Times New Roman" w:cs="Times New Roman"/>
          <w:u w:val="single"/>
        </w:rPr>
      </w:pPr>
      <w:r>
        <mc:AlternateContent>
          <mc:Choice Requires="wps">
            <w:drawing>
              <wp:anchor distT="0" distB="0" distL="114935" distR="114935" simplePos="0" relativeHeight="3" behindDoc="0" locked="0" layoutInCell="1" allowOverlap="1">
                <wp:simplePos x="0" y="0"/>
                <wp:positionH relativeFrom="column">
                  <wp:posOffset>4764405</wp:posOffset>
                </wp:positionH>
                <wp:positionV relativeFrom="paragraph">
                  <wp:posOffset>194310</wp:posOffset>
                </wp:positionV>
                <wp:extent cx="981075" cy="635"/>
                <wp:effectExtent l="635" t="5080" r="635" b="5080"/>
                <wp:wrapNone/>
                <wp:docPr id="1" name="直线 2"/>
                <a:graphic xmlns:a="http://schemas.openxmlformats.org/drawingml/2006/main">
                  <a:graphicData uri="http://schemas.microsoft.com/office/word/2010/wordprocessingShape">
                    <wps:wsp>
                      <wps:cNvSpPr/>
                      <wps:spPr>
                        <a:xfrm>
                          <a:off x="0" y="0"/>
                          <a:ext cx="981000" cy="72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375.15pt,15.3pt" to="452.35pt,15.3pt" stroked="t" o:allowincell="f" style="position:absolute">
                <v:stroke color="black" weight="9360" joinstyle="miter" endcap="flat"/>
                <v:fill o:detectmouseclick="t" on="false"/>
                <w10:wrap type="none"/>
              </v:line>
            </w:pict>
          </mc:Fallback>
        </mc:AlternateContent>
      </w:r>
      <w:r>
        <w:rPr>
          <w:rFonts w:hint="eastAsia"/>
          <w:sz w:val="24"/>
        </w:rPr>
        <w:t xml:space="preserve">                                                  </w:t>
      </w:r>
      <w:r>
        <w:rPr>
          <w:rFonts w:cs="Times New Roman" w:ascii="Times New Roman" w:hAnsi="Times New Roman"/>
          <w:sz w:val="24"/>
        </w:rPr>
        <w:t xml:space="preserve"> </w:t>
      </w:r>
      <w:r>
        <w:rPr>
          <w:rFonts w:cs="Times New Roman" w:ascii="Times New Roman" w:hAnsi="Times New Roman"/>
          <w:sz w:val="24"/>
        </w:rPr>
        <w:t>Student No.</w:t>
      </w:r>
      <w:r>
        <w:rPr>
          <w:rFonts w:ascii="Times New Roman" w:hAnsi="Times New Roman"/>
          <w:sz w:val="24"/>
        </w:rPr>
        <w:t>：</w:t>
      </w:r>
      <w:r>
        <w:rPr>
          <w:rFonts w:ascii="Times New Roman" w:hAnsi="Times New Roman" w:cs="Times New Roman"/>
          <w:sz w:val="24"/>
        </w:rPr>
        <w:t xml:space="preserve">  </w:t>
      </w:r>
      <w:r>
        <w:rPr>
          <w:rFonts w:cs="Times New Roman" w:ascii="Times New Roman" w:hAnsi="Times New Roman"/>
          <w:sz w:val="24"/>
        </w:rPr>
        <w:t xml:space="preserve">2024290026            </w:t>
      </w:r>
    </w:p>
    <w:p>
      <w:pPr>
        <w:pStyle w:val="Normal"/>
        <w:rPr>
          <w:rFonts w:ascii="Times New Roman" w:hAnsi="Times New Roman" w:cs="Times New Roman"/>
          <w:u w:val="single"/>
        </w:rPr>
      </w:pPr>
      <w:r>
        <w:rPr>
          <w:rFonts w:cs="Times New Roman" w:ascii="Times New Roman" w:hAnsi="Times New Roman"/>
          <w:u w:val="single"/>
        </w:rPr>
      </w:r>
    </w:p>
    <w:p>
      <w:pPr>
        <w:pStyle w:val="Normal"/>
        <w:rPr/>
      </w:pPr>
      <w:r>
        <w:rPr/>
      </w:r>
    </w:p>
    <w:p>
      <w:pPr>
        <w:pStyle w:val="Normal"/>
        <w:rPr/>
      </w:pPr>
      <w:r>
        <w:rPr/>
      </w:r>
    </w:p>
    <w:p>
      <w:pPr>
        <w:pStyle w:val="Normal"/>
        <w:rPr/>
      </w:pPr>
      <w:r>
        <w:rPr/>
      </w:r>
    </w:p>
    <w:p>
      <w:pPr>
        <w:pStyle w:val="Normal"/>
        <w:jc w:val="center"/>
        <w:rPr>
          <w:rFonts w:ascii="SimSun;宋体" w:hAnsi="SimSun;宋体" w:cs="SimSun;宋体"/>
          <w:sz w:val="44"/>
          <w:szCs w:val="44"/>
        </w:rPr>
      </w:pPr>
      <w:r>
        <w:rPr>
          <w:rFonts w:hint="eastAsia" w:eastAsia="KaiTi_GB2312;KaiTi"/>
          <w:sz w:val="48"/>
          <w:szCs w:val="48"/>
        </w:rPr>
        <w:t>西北工业大学研究生学位论文选题报告表</w:t>
      </w:r>
    </w:p>
    <w:p>
      <w:pPr>
        <w:pStyle w:val="Normal"/>
        <w:tabs>
          <w:tab w:val="clear" w:pos="420"/>
          <w:tab w:val="left" w:pos="8080" w:leader="none"/>
        </w:tabs>
        <w:jc w:val="center"/>
        <w:rPr>
          <w:rFonts w:ascii="Times New Roman" w:hAnsi="Times New Roman" w:eastAsia="STZhongsong" w:cs="Times New Roman"/>
          <w:sz w:val="36"/>
          <w:szCs w:val="36"/>
        </w:rPr>
      </w:pPr>
      <w:r>
        <w:rPr>
          <w:rFonts w:eastAsia="STZhongsong" w:cs="Times New Roman" w:ascii="Times New Roman" w:hAnsi="Times New Roman"/>
          <w:sz w:val="36"/>
          <w:szCs w:val="36"/>
        </w:rPr>
        <w:t>Northwestern Polytechnical University</w:t>
      </w:r>
    </w:p>
    <w:p>
      <w:pPr>
        <w:pStyle w:val="Normal"/>
        <w:jc w:val="center"/>
        <w:rPr/>
      </w:pPr>
      <w:r>
        <w:rPr>
          <w:rFonts w:eastAsia="KaiTi_GB2312;KaiTi" w:cs="Times New Roman" w:ascii="Times New Roman" w:hAnsi="Times New Roman"/>
          <w:sz w:val="36"/>
          <w:szCs w:val="36"/>
        </w:rPr>
        <w:t>Graduate Degree Dissertation Title Selection Report Form</w:t>
      </w:r>
    </w:p>
    <w:p>
      <w:pPr>
        <w:pStyle w:val="Normal"/>
        <w:jc w:val="center"/>
        <w:rPr>
          <w:rFonts w:ascii="Times New Roman" w:hAnsi="Times New Roman" w:eastAsia="KaiTi_GB2312;KaiTi" w:cs="Times New Roman"/>
          <w:sz w:val="48"/>
          <w:szCs w:val="48"/>
        </w:rPr>
      </w:pPr>
      <w:r>
        <w:rPr>
          <w:rFonts w:eastAsia="KaiTi_GB2312;KaiTi" w:cs="Times New Roman" w:ascii="Times New Roman" w:hAnsi="Times New Roman"/>
          <w:sz w:val="48"/>
          <w:szCs w:val="48"/>
        </w:rPr>
      </w:r>
    </w:p>
    <w:p>
      <w:pPr>
        <w:pStyle w:val="Normal"/>
        <w:rPr>
          <w:rFonts w:eastAsia="KaiTi_GB2312;KaiTi"/>
          <w:sz w:val="48"/>
          <w:szCs w:val="48"/>
        </w:rPr>
      </w:pPr>
      <w:r>
        <w:rPr>
          <w:rFonts w:eastAsia="KaiTi_GB2312;KaiTi"/>
          <w:sz w:val="48"/>
          <w:szCs w:val="48"/>
        </w:rPr>
      </w:r>
    </w:p>
    <w:p>
      <w:pPr>
        <w:pStyle w:val="Normal"/>
        <w:rPr/>
      </w:pPr>
      <w:r>
        <w:rPr/>
      </w:r>
    </w:p>
    <w:p>
      <w:pPr>
        <w:pStyle w:val="Normal"/>
        <w:rPr/>
      </w:pPr>
      <w:r>
        <w:rPr/>
      </w:r>
    </w:p>
    <w:p>
      <w:pPr>
        <w:pStyle w:val="Normal"/>
        <w:spacing w:lineRule="exact" w:line="400"/>
        <w:rPr/>
      </w:pPr>
      <w:r>
        <w:rPr>
          <w:rFonts w:hint="eastAsia"/>
        </w:rPr>
        <w:t xml:space="preserve">               </w:t>
      </w:r>
      <w:r>
        <w:rPr>
          <w:rFonts w:eastAsia="KaiTi_GB2312;KaiTi" w:hint="eastAsia"/>
          <w:sz w:val="28"/>
        </w:rPr>
        <w:t xml:space="preserve"> </w:t>
      </w:r>
      <w:r>
        <w:rPr>
          <w:rFonts w:eastAsia="KaiTi_GB2312;KaiTi" w:cs="Times New Roman" w:ascii="Times New Roman" w:hAnsi="Times New Roman"/>
          <w:sz w:val="28"/>
        </w:rPr>
        <w:t xml:space="preserve">  </w:t>
      </w:r>
      <w:r>
        <w:rPr>
          <w:rFonts w:ascii="Times New Roman" w:hAnsi="Times New Roman" w:cs="Times New Roman" w:eastAsia="KaiTi_GB2312;KaiTi"/>
          <w:sz w:val="28"/>
        </w:rPr>
        <w:t>学     院</w:t>
      </w:r>
      <w:r>
        <w:rPr>
          <w:rFonts w:ascii="Times New Roman" w:hAnsi="Times New Roman" w:cs="Times New Roman" w:hint="eastAsia" w:eastAsia="KaiTi_GB2312;KaiTi"/>
          <w:sz w:val="28"/>
        </w:rPr>
        <w:t xml:space="preserve">  计算机学院</w:t>
      </w:r>
    </w:p>
    <w:p>
      <w:pPr>
        <w:pStyle w:val="Normal"/>
        <w:tabs>
          <w:tab w:val="clear" w:pos="420"/>
          <w:tab w:val="left" w:pos="7797" w:leader="none"/>
          <w:tab w:val="left" w:pos="8080" w:leader="none"/>
          <w:tab w:val="left" w:pos="8222" w:leader="none"/>
        </w:tabs>
        <w:spacing w:lineRule="exact" w:line="400"/>
        <w:rPr/>
      </w:pPr>
      <w:r>
        <mc:AlternateContent>
          <mc:Choice Requires="wps">
            <w:drawing>
              <wp:anchor distT="0" distB="0" distL="114935" distR="114935" simplePos="0" relativeHeight="16" behindDoc="0" locked="0" layoutInCell="1" allowOverlap="1">
                <wp:simplePos x="0" y="0"/>
                <wp:positionH relativeFrom="column">
                  <wp:posOffset>2087880</wp:posOffset>
                </wp:positionH>
                <wp:positionV relativeFrom="paragraph">
                  <wp:posOffset>252730</wp:posOffset>
                </wp:positionV>
                <wp:extent cx="3467100" cy="635"/>
                <wp:effectExtent l="635" t="5080" r="635" b="5080"/>
                <wp:wrapNone/>
                <wp:docPr id="2" name="直线 4"/>
                <a:graphic xmlns:a="http://schemas.openxmlformats.org/drawingml/2006/main">
                  <a:graphicData uri="http://schemas.microsoft.com/office/word/2010/wordprocessingShape">
                    <wps:wsp>
                      <wps:cNvSpPr/>
                      <wps:spPr>
                        <a:xfrm>
                          <a:off x="0" y="0"/>
                          <a:ext cx="3467160" cy="72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64.4pt,19.9pt" to="437.35pt,19.9pt" stroked="t" o:allowincell="f" style="position:absolute">
                <v:stroke color="black" weight="9360" joinstyle="miter" endcap="flat"/>
                <v:fill o:detectmouseclick="t" on="false"/>
                <w10:wrap type="none"/>
              </v:line>
            </w:pict>
          </mc:Fallback>
        </mc:AlternateContent>
      </w:r>
      <w:r>
        <w:rPr>
          <w:rFonts w:eastAsia="KaiTi_GB2312;KaiTi" w:cs="Times New Roman" w:ascii="Times New Roman" w:hAnsi="Times New Roman"/>
          <w:sz w:val="28"/>
        </w:rPr>
        <w:t xml:space="preserve">                </w:t>
      </w:r>
      <w:r>
        <w:rPr>
          <w:rFonts w:eastAsia="KaiTi_GB2312;KaiTi" w:cs="Times New Roman" w:ascii="Times New Roman" w:hAnsi="Times New Roman"/>
          <w:sz w:val="28"/>
        </w:rPr>
        <w:t xml:space="preserve">School    School of Computer Science                           </w:t>
      </w:r>
      <w:r>
        <w:rPr>
          <w:rFonts w:eastAsia="KaiTi_GB2312;KaiTi" w:cs="Times New Roman" w:hint="eastAsia" w:ascii="Times New Roman" w:hAnsi="Times New Roman"/>
          <w:sz w:val="28"/>
        </w:rPr>
        <w:t xml:space="preserve"> </w:t>
      </w:r>
      <w:r>
        <w:rPr>
          <w:rFonts w:eastAsia="KaiTi_GB2312;KaiTi" w:cs="Times New Roman" w:ascii="Times New Roman" w:hAnsi="Times New Roman"/>
          <w:sz w:val="28"/>
        </w:rPr>
        <w:t xml:space="preserve">    </w:t>
      </w:r>
    </w:p>
    <w:p>
      <w:pPr>
        <w:pStyle w:val="Normal"/>
        <w:spacing w:lineRule="exact" w:line="400"/>
        <w:ind w:firstLineChars="700" w:startChars="0" w:start="0" w:endChars="0" w:end="0"/>
        <w:rPr/>
      </w:pPr>
      <w:r>
        <w:rPr>
          <w:rFonts w:ascii="Times New Roman" w:hAnsi="Times New Roman" w:cs="Times New Roman" w:eastAsia="KaiTi_GB2312;KaiTi"/>
          <w:sz w:val="28"/>
        </w:rPr>
        <w:t>学科</w:t>
      </w:r>
      <w:r>
        <w:rPr>
          <w:rFonts w:ascii="Times New Roman" w:hAnsi="Times New Roman" w:cs="Times New Roman" w:eastAsia="KaiTi_GB2312;KaiTi"/>
          <w:spacing w:val="-50"/>
          <w:sz w:val="28"/>
        </w:rPr>
        <w:t>、</w:t>
      </w:r>
      <w:r>
        <w:rPr>
          <w:rFonts w:ascii="Times New Roman" w:hAnsi="Times New Roman" w:cs="Times New Roman" w:eastAsia="KaiTi_GB2312;KaiTi"/>
          <w:sz w:val="28"/>
        </w:rPr>
        <w:t xml:space="preserve">专业 </w:t>
      </w:r>
      <w:r>
        <w:rPr>
          <w:rFonts w:ascii="Times New Roman" w:hAnsi="Times New Roman" w:cs="Times New Roman" w:hint="eastAsia" w:eastAsia="KaiTi_GB2312;KaiTi"/>
          <w:sz w:val="28"/>
        </w:rPr>
        <w:t xml:space="preserve"> 计算机科学与技术</w:t>
      </w:r>
    </w:p>
    <w:p>
      <w:pPr>
        <w:pStyle w:val="Normal"/>
        <w:tabs>
          <w:tab w:val="clear" w:pos="420"/>
          <w:tab w:val="left" w:pos="7938" w:leader="none"/>
          <w:tab w:val="left" w:pos="8080" w:leader="none"/>
        </w:tabs>
        <w:spacing w:lineRule="exact" w:line="400"/>
        <w:ind w:firstLineChars="700" w:startChars="0" w:start="0" w:endChars="0" w:end="0"/>
        <w:rPr/>
      </w:pPr>
      <w:r>
        <w:rPr>
          <w:rFonts w:eastAsia="KaiTi_GB2312;KaiTi" w:cs="Times New Roman" w:hint="eastAsia" w:ascii="Times New Roman" w:hAnsi="Times New Roman"/>
          <w:w w:val="50"/>
          <w:sz w:val="28"/>
        </w:rPr>
        <w:t xml:space="preserve">               </w:t>
      </w:r>
      <w:r>
        <w:rPr>
          <w:rFonts w:eastAsia="KaiTi_GB2312;KaiTi" w:cs="Times New Roman" w:ascii="Times New Roman" w:hAnsi="Times New Roman"/>
          <w:w w:val="50"/>
          <w:sz w:val="28"/>
        </w:rPr>
        <w:t>Discipline</w:t>
      </w:r>
      <w:r>
        <w:rPr>
          <w:rFonts w:eastAsia="KaiTi_GB2312;KaiTi" w:cs="Times New Roman" w:hint="eastAsia" w:ascii="Times New Roman" w:hAnsi="Times New Roman"/>
          <w:w w:val="50"/>
          <w:sz w:val="28"/>
        </w:rPr>
        <w:t xml:space="preserve"> </w:t>
      </w:r>
      <w:r>
        <w:rPr>
          <w:rFonts w:eastAsia="KaiTi_GB2312;KaiTi" w:cs="Times New Roman" w:ascii="Times New Roman" w:hAnsi="Times New Roman"/>
          <w:w w:val="50"/>
          <w:sz w:val="28"/>
        </w:rPr>
        <w:t>/ Specialty</w:t>
      </w:r>
      <w:r>
        <w:rPr>
          <w:rFonts w:eastAsia="KaiTi_GB2312;KaiTi" w:cs="Times New Roman" w:hint="eastAsia" w:ascii="Times New Roman" w:hAnsi="Times New Roman"/>
          <w:w w:val="50"/>
          <w:sz w:val="28"/>
        </w:rPr>
        <w:t xml:space="preserve"> </w:t>
      </w:r>
      <w:r>
        <w:rPr>
          <w:rFonts w:eastAsia="KaiTi_GB2312;KaiTi" w:cs="Times New Roman" w:ascii="Times New Roman" w:hAnsi="Times New Roman"/>
          <w:w w:val="50"/>
          <w:sz w:val="28"/>
        </w:rPr>
        <w:t xml:space="preserve">    </w:t>
      </w:r>
      <w:r>
        <w:rPr>
          <w:rFonts w:eastAsia="KaiTi_GB2312;KaiTi" w:cs="Times New Roman" w:ascii="Times New Roman" w:hAnsi="Times New Roman"/>
          <w:sz w:val="28"/>
        </w:rPr>
        <w:t>Computer Science and Technology</w:t>
      </w:r>
      <w:r>
        <w:rPr>
          <w:rFonts w:eastAsia="KaiTi_GB2312;KaiTi" w:cs="Times New Roman" w:ascii="Times New Roman" w:hAnsi="Times New Roman"/>
          <w:w w:val="50"/>
          <w:sz w:val="28"/>
        </w:rPr>
        <w:t xml:space="preserve">            </w:t>
      </w:r>
      <w:r>
        <w:rPr>
          <w:rFonts w:eastAsia="KaiTi_GB2312;KaiTi" w:cs="Times New Roman" w:hint="eastAsia" w:ascii="Times New Roman" w:hAnsi="Times New Roman"/>
          <w:w w:val="50"/>
          <w:sz w:val="28"/>
        </w:rPr>
        <w:t xml:space="preserve">                                          </w:t>
      </w:r>
      <w:r>
        <w:rPr>
          <w:rFonts w:eastAsia="KaiTi_GB2312;KaiTi" w:cs="Times New Roman" w:ascii="Times New Roman" w:hAnsi="Times New Roman"/>
          <w:w w:val="50"/>
          <w:sz w:val="28"/>
        </w:rPr>
        <w:t xml:space="preserve">          </w:t>
      </w:r>
    </w:p>
    <w:p>
      <w:pPr>
        <w:pStyle w:val="Normal"/>
        <w:spacing w:lineRule="exact" w:line="400"/>
        <w:ind w:firstLineChars="700" w:startChars="0" w:start="0" w:endChars="0" w:end="0"/>
        <w:rPr/>
      </w:pPr>
      <w:r>
        <mc:AlternateContent>
          <mc:Choice Requires="wps">
            <w:drawing>
              <wp:anchor distT="0" distB="0" distL="114935" distR="114935" simplePos="0" relativeHeight="17" behindDoc="0" locked="0" layoutInCell="1" allowOverlap="1">
                <wp:simplePos x="0" y="0"/>
                <wp:positionH relativeFrom="column">
                  <wp:posOffset>2097405</wp:posOffset>
                </wp:positionH>
                <wp:positionV relativeFrom="paragraph">
                  <wp:posOffset>5080</wp:posOffset>
                </wp:positionV>
                <wp:extent cx="3438525" cy="635"/>
                <wp:effectExtent l="635" t="5080" r="635" b="5080"/>
                <wp:wrapNone/>
                <wp:docPr id="3" name="直线 6"/>
                <a:graphic xmlns:a="http://schemas.openxmlformats.org/drawingml/2006/main">
                  <a:graphicData uri="http://schemas.microsoft.com/office/word/2010/wordprocessingShape">
                    <wps:wsp>
                      <wps:cNvSpPr/>
                      <wps:spPr>
                        <a:xfrm>
                          <a:off x="0" y="0"/>
                          <a:ext cx="3438360" cy="72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65.15pt,0.4pt" to="435.85pt,0.4pt" stroked="t" o:allowincell="f" style="position:absolute">
                <v:stroke color="black" weight="9360" joinstyle="miter" endcap="flat"/>
                <v:fill o:detectmouseclick="t" on="false"/>
                <w10:wrap type="none"/>
              </v:line>
            </w:pict>
          </mc:Fallback>
        </mc:AlternateContent>
      </w:r>
      <w:r>
        <w:rPr>
          <w:rFonts w:ascii="Times New Roman" w:hAnsi="Times New Roman" w:cs="Times New Roman" w:eastAsia="KaiTi_GB2312;KaiTi"/>
          <w:sz w:val="28"/>
        </w:rPr>
        <w:t>姓     名</w:t>
      </w:r>
      <w:r>
        <w:rPr>
          <w:rFonts w:ascii="Times New Roman" w:hAnsi="Times New Roman" w:cs="Times New Roman" w:hint="eastAsia" w:eastAsia="KaiTi_GB2312;KaiTi"/>
          <w:sz w:val="28"/>
        </w:rPr>
        <w:t xml:space="preserve">   </w:t>
      </w:r>
    </w:p>
    <w:p>
      <w:pPr>
        <w:pStyle w:val="Normal"/>
        <w:spacing w:lineRule="exact" w:line="400"/>
        <w:ind w:firstLineChars="700" w:startChars="0" w:start="0" w:endChars="0" w:end="0"/>
        <w:rPr>
          <w:rFonts w:ascii="Times New Roman" w:hAnsi="Times New Roman" w:eastAsia="KaiTi_GB2312;KaiTi" w:cs="Times New Roman"/>
          <w:sz w:val="28"/>
          <w:u w:val="single"/>
        </w:rPr>
      </w:pPr>
      <w:r>
        <mc:AlternateContent>
          <mc:Choice Requires="wps">
            <w:drawing>
              <wp:anchor distT="0" distB="0" distL="114935" distR="114935" simplePos="0" relativeHeight="18" behindDoc="0" locked="0" layoutInCell="1" allowOverlap="1">
                <wp:simplePos x="0" y="0"/>
                <wp:positionH relativeFrom="column">
                  <wp:posOffset>2087880</wp:posOffset>
                </wp:positionH>
                <wp:positionV relativeFrom="paragraph">
                  <wp:posOffset>208280</wp:posOffset>
                </wp:positionV>
                <wp:extent cx="3429000" cy="635"/>
                <wp:effectExtent l="635" t="5080" r="635" b="5080"/>
                <wp:wrapNone/>
                <wp:docPr id="4" name="直线 7"/>
                <a:graphic xmlns:a="http://schemas.openxmlformats.org/drawingml/2006/main">
                  <a:graphicData uri="http://schemas.microsoft.com/office/word/2010/wordprocessingShape">
                    <wps:wsp>
                      <wps:cNvSpPr/>
                      <wps:spPr>
                        <a:xfrm>
                          <a:off x="0" y="0"/>
                          <a:ext cx="3429000" cy="72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64.4pt,16.4pt" to="434.35pt,16.4pt" stroked="t" o:allowincell="f" style="position:absolute">
                <v:stroke color="black" weight="9360" joinstyle="miter" endcap="flat"/>
                <v:fill o:detectmouseclick="t" on="false"/>
                <w10:wrap type="none"/>
              </v:line>
            </w:pict>
          </mc:Fallback>
        </mc:AlternateContent>
      </w:r>
      <w:r>
        <w:rPr>
          <w:rFonts w:eastAsia="KaiTi_GB2312;KaiTi" w:cs="Times New Roman" w:ascii="Times New Roman" w:hAnsi="Times New Roman"/>
          <w:sz w:val="28"/>
        </w:rPr>
        <w:t xml:space="preserve">  </w:t>
      </w:r>
      <w:r>
        <w:rPr>
          <w:rFonts w:eastAsia="KaiTi_GB2312;KaiTi" w:cs="Times New Roman" w:ascii="Times New Roman" w:hAnsi="Times New Roman"/>
          <w:sz w:val="28"/>
        </w:rPr>
        <w:t xml:space="preserve">Name  </w:t>
      </w:r>
      <w:r>
        <w:rPr>
          <w:rFonts w:eastAsia="KaiTi_GB2312;KaiTi" w:cs="Times New Roman" w:hint="eastAsia" w:ascii="Times New Roman" w:hAnsi="Times New Roman"/>
          <w:sz w:val="28"/>
        </w:rPr>
        <w:t xml:space="preserve"> </w:t>
      </w:r>
      <w:r>
        <w:rPr>
          <w:rFonts w:eastAsia="KaiTi_GB2312;KaiTi" w:cs="Times New Roman" w:ascii="Times New Roman" w:hAnsi="Times New Roman"/>
          <w:sz w:val="28"/>
        </w:rPr>
        <w:t xml:space="preserve">  BAIGUZIYEV ILYAS                                </w:t>
      </w:r>
    </w:p>
    <w:p>
      <w:pPr>
        <w:pStyle w:val="Normal"/>
        <w:spacing w:lineRule="exact" w:line="400"/>
        <w:ind w:firstLineChars="700" w:startChars="0" w:start="0" w:endChars="0" w:end="0"/>
        <w:rPr/>
      </w:pPr>
      <w:r>
        <w:rPr>
          <w:rFonts w:ascii="Times New Roman" w:hAnsi="Times New Roman" w:cs="Times New Roman" w:eastAsia="KaiTi_GB2312;KaiTi"/>
          <w:sz w:val="28"/>
        </w:rPr>
        <w:t>学位 级别</w:t>
      </w:r>
      <w:r>
        <w:rPr>
          <w:rFonts w:ascii="Times New Roman" w:hAnsi="Times New Roman" w:cs="Times New Roman" w:hint="eastAsia" w:eastAsia="KaiTi_GB2312;KaiTi"/>
          <w:sz w:val="28"/>
        </w:rPr>
        <w:t xml:space="preserve">   硕士</w:t>
      </w:r>
    </w:p>
    <w:p>
      <w:pPr>
        <w:pStyle w:val="Normal"/>
        <w:spacing w:lineRule="exact" w:line="400"/>
        <w:ind w:firstLineChars="700" w:startChars="0" w:start="0" w:endChars="0" w:end="0"/>
        <w:rPr>
          <w:rFonts w:ascii="Times New Roman" w:hAnsi="Times New Roman" w:eastAsia="KaiTi_GB2312;KaiTi" w:cs="Times New Roman"/>
          <w:sz w:val="28"/>
          <w:u w:val="single"/>
        </w:rPr>
      </w:pPr>
      <w:r>
        <w:rPr>
          <w:rFonts w:eastAsia="KaiTi_GB2312;KaiTi" w:cs="Times New Roman" w:ascii="Times New Roman" w:hAnsi="Times New Roman"/>
          <w:sz w:val="28"/>
        </w:rPr>
        <w:t xml:space="preserve">  </w:t>
      </w:r>
      <w:r>
        <w:rPr>
          <w:rFonts w:eastAsia="KaiTi_GB2312;KaiTi" w:cs="Times New Roman" w:ascii="Times New Roman" w:hAnsi="Times New Roman"/>
          <w:sz w:val="28"/>
        </w:rPr>
        <w:t xml:space="preserve">Degree </w:t>
      </w:r>
      <w:r>
        <w:rPr>
          <w:rFonts w:eastAsia="KaiTi_GB2312;KaiTi" w:cs="Times New Roman" w:hint="eastAsia" w:ascii="Times New Roman" w:hAnsi="Times New Roman"/>
          <w:sz w:val="28"/>
        </w:rPr>
        <w:t xml:space="preserve"> </w:t>
      </w:r>
      <w:r>
        <w:rPr>
          <w:rFonts w:eastAsia="KaiTi_GB2312;KaiTi" w:cs="Times New Roman" w:ascii="Times New Roman" w:hAnsi="Times New Roman"/>
          <w:sz w:val="28"/>
        </w:rPr>
        <w:t xml:space="preserve"> </w:t>
      </w:r>
      <w:r>
        <w:rPr>
          <w:rFonts w:eastAsia="KaiTi_GB2312;KaiTi" w:cs="Times New Roman" w:hint="eastAsia" w:ascii="Times New Roman" w:hAnsi="Times New Roman"/>
          <w:sz w:val="28"/>
        </w:rPr>
        <w:t xml:space="preserve"> </w:t>
      </w:r>
      <w:r>
        <w:rPr>
          <w:rFonts w:eastAsia="KaiTi_GB2312;KaiTi" w:cs="Times New Roman" w:ascii="Times New Roman" w:hAnsi="Times New Roman"/>
          <w:sz w:val="28"/>
        </w:rPr>
        <w:t xml:space="preserve">Master                                 </w:t>
      </w:r>
    </w:p>
    <w:p>
      <w:pPr>
        <w:pStyle w:val="Normal"/>
        <w:spacing w:lineRule="exact" w:line="400"/>
        <w:ind w:firstLineChars="700" w:startChars="0" w:start="0" w:endChars="0" w:end="0"/>
        <w:rPr/>
      </w:pPr>
      <w:r>
        <mc:AlternateContent>
          <mc:Choice Requires="wps">
            <w:drawing>
              <wp:anchor distT="0" distB="0" distL="114935" distR="114935" simplePos="0" relativeHeight="19" behindDoc="0" locked="0" layoutInCell="1" allowOverlap="1">
                <wp:simplePos x="0" y="0"/>
                <wp:positionH relativeFrom="column">
                  <wp:posOffset>2040255</wp:posOffset>
                </wp:positionH>
                <wp:positionV relativeFrom="paragraph">
                  <wp:posOffset>8255</wp:posOffset>
                </wp:positionV>
                <wp:extent cx="3457575" cy="635"/>
                <wp:effectExtent l="635" t="5080" r="635" b="5080"/>
                <wp:wrapNone/>
                <wp:docPr id="5" name="直线 8"/>
                <a:graphic xmlns:a="http://schemas.openxmlformats.org/drawingml/2006/main">
                  <a:graphicData uri="http://schemas.microsoft.com/office/word/2010/wordprocessingShape">
                    <wps:wsp>
                      <wps:cNvSpPr/>
                      <wps:spPr>
                        <a:xfrm>
                          <a:off x="0" y="0"/>
                          <a:ext cx="3457440" cy="72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60.65pt,0.65pt" to="432.85pt,0.65pt" stroked="t" o:allowincell="f" style="position:absolute">
                <v:stroke color="black" weight="9360" joinstyle="miter" endcap="flat"/>
                <v:fill o:detectmouseclick="t" on="false"/>
                <w10:wrap type="none"/>
              </v:line>
            </w:pict>
          </mc:Fallback>
        </mc:AlternateContent>
      </w:r>
      <w:r>
        <w:rPr>
          <w:rFonts w:ascii="Times New Roman" w:hAnsi="Times New Roman" w:cs="Times New Roman" w:eastAsia="KaiTi_GB2312;KaiTi"/>
          <w:sz w:val="28"/>
        </w:rPr>
        <w:t xml:space="preserve">导     师 </w:t>
      </w:r>
      <w:r>
        <w:rPr>
          <w:rFonts w:ascii="Times New Roman" w:hAnsi="Times New Roman" w:cs="Times New Roman" w:hint="eastAsia" w:eastAsia="KaiTi_GB2312;KaiTi"/>
          <w:sz w:val="28"/>
        </w:rPr>
        <w:t xml:space="preserve">  张晓</w:t>
      </w:r>
    </w:p>
    <w:p>
      <w:pPr>
        <w:pStyle w:val="Normal"/>
        <w:tabs>
          <w:tab w:val="clear" w:pos="420"/>
          <w:tab w:val="left" w:pos="3119" w:leader="none"/>
        </w:tabs>
        <w:spacing w:lineRule="exact" w:line="400"/>
        <w:ind w:firstLineChars="700" w:startChars="0" w:start="0" w:endChars="0" w:end="0"/>
        <w:rPr>
          <w:rFonts w:ascii="Times New Roman" w:hAnsi="Times New Roman" w:eastAsia="KaiTi_GB2312;KaiTi" w:cs="Times New Roman"/>
          <w:sz w:val="28"/>
          <w:u w:val="single"/>
        </w:rPr>
      </w:pPr>
      <w:r>
        <mc:AlternateContent>
          <mc:Choice Requires="wps">
            <w:drawing>
              <wp:anchor distT="0" distB="0" distL="114935" distR="114935" simplePos="0" relativeHeight="20" behindDoc="0" locked="0" layoutInCell="1" allowOverlap="1">
                <wp:simplePos x="0" y="0"/>
                <wp:positionH relativeFrom="column">
                  <wp:posOffset>2049780</wp:posOffset>
                </wp:positionH>
                <wp:positionV relativeFrom="paragraph">
                  <wp:posOffset>230505</wp:posOffset>
                </wp:positionV>
                <wp:extent cx="3419475" cy="635"/>
                <wp:effectExtent l="635" t="5080" r="635" b="5080"/>
                <wp:wrapNone/>
                <wp:docPr id="6" name="直线 9"/>
                <a:graphic xmlns:a="http://schemas.openxmlformats.org/drawingml/2006/main">
                  <a:graphicData uri="http://schemas.microsoft.com/office/word/2010/wordprocessingShape">
                    <wps:wsp>
                      <wps:cNvSpPr/>
                      <wps:spPr>
                        <a:xfrm>
                          <a:off x="0" y="0"/>
                          <a:ext cx="3419640" cy="72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61.4pt,18.15pt" to="430.6pt,18.15pt" stroked="t" o:allowincell="f" style="position:absolute">
                <v:stroke color="black" weight="9360" joinstyle="miter" endcap="flat"/>
                <v:fill o:detectmouseclick="t" on="false"/>
                <w10:wrap type="none"/>
              </v:line>
            </w:pict>
          </mc:Fallback>
        </mc:AlternateContent>
      </w:r>
      <w:r>
        <w:rPr>
          <w:rFonts w:eastAsia="KaiTi_GB2312;KaiTi" w:cs="Times New Roman" w:ascii="Times New Roman" w:hAnsi="Times New Roman"/>
          <w:sz w:val="28"/>
        </w:rPr>
        <w:t>Supervisor</w:t>
      </w:r>
      <w:r>
        <w:rPr>
          <w:rFonts w:eastAsia="KaiTi_GB2312;KaiTi" w:cs="Times New Roman" w:hint="eastAsia" w:ascii="Times New Roman" w:hAnsi="Times New Roman"/>
          <w:sz w:val="28"/>
        </w:rPr>
        <w:t xml:space="preserve"> </w:t>
      </w:r>
      <w:r>
        <w:rPr>
          <w:rFonts w:eastAsia="KaiTi_GB2312;KaiTi" w:cs="Times New Roman" w:ascii="Times New Roman" w:hAnsi="Times New Roman"/>
          <w:sz w:val="28"/>
        </w:rPr>
        <w:t xml:space="preserve"> </w:t>
      </w:r>
      <w:r>
        <w:rPr>
          <w:rFonts w:eastAsia="KaiTi_GB2312;KaiTi" w:cs="Times New Roman" w:hint="eastAsia" w:ascii="Times New Roman" w:hAnsi="Times New Roman"/>
          <w:sz w:val="28"/>
        </w:rPr>
        <w:t xml:space="preserve"> </w:t>
      </w:r>
      <w:r>
        <w:rPr>
          <w:rFonts w:eastAsia="KaiTi_GB2312;KaiTi" w:cs="Times New Roman" w:ascii="Times New Roman" w:hAnsi="Times New Roman"/>
          <w:sz w:val="28"/>
        </w:rPr>
        <w:t xml:space="preserve">ZHANG XIAO                                </w:t>
      </w:r>
    </w:p>
    <w:p>
      <w:pPr>
        <w:pStyle w:val="Normal"/>
        <w:spacing w:lineRule="exact" w:line="400"/>
        <w:rPr>
          <w:rFonts w:ascii="Times New Roman" w:hAnsi="Times New Roman" w:eastAsia="KaiTi_GB2312;KaiTi" w:cs="Times New Roman"/>
          <w:szCs w:val="21"/>
        </w:rPr>
      </w:pPr>
      <w:r>
        <w:rPr>
          <w:rFonts w:eastAsia="KaiTi_GB2312;KaiTi" w:cs="Times New Roman" w:ascii="Times New Roman" w:hAnsi="Times New Roman"/>
          <w:sz w:val="28"/>
        </w:rPr>
        <w:t xml:space="preserve">              </w:t>
      </w:r>
      <w:r>
        <w:rPr>
          <w:rFonts w:ascii="Times New Roman" w:hAnsi="Times New Roman" w:cs="Times New Roman" w:eastAsia="KaiTi_GB2312;KaiTi"/>
          <w:sz w:val="28"/>
        </w:rPr>
        <w:t xml:space="preserve">培养 类别   </w:t>
      </w:r>
      <w:r>
        <w:rPr>
          <w:rFonts w:ascii="Times New Roman" w:hAnsi="Times New Roman" w:cs="SimSun;宋体"/>
          <w:sz w:val="24"/>
          <w:szCs w:val="24"/>
        </w:rPr>
        <w:t>留学研究生</w:t>
      </w:r>
    </w:p>
    <w:p>
      <w:pPr>
        <w:pStyle w:val="Normal"/>
        <w:spacing w:lineRule="exact" w:line="400"/>
        <w:ind w:firstLineChars="700" w:startChars="0" w:start="0" w:endChars="0" w:end="0"/>
        <w:rPr>
          <w:rFonts w:ascii="Times New Roman" w:hAnsi="Times New Roman" w:eastAsia="KaiTi_GB2312;KaiTi" w:cs="Times New Roman"/>
          <w:sz w:val="28"/>
          <w:u w:val="single"/>
        </w:rPr>
      </w:pPr>
      <w:r>
        <w:rPr>
          <w:rFonts w:eastAsia="KaiTi_GB2312;KaiTi" w:cs="Times New Roman" w:ascii="Times New Roman" w:hAnsi="Times New Roman"/>
          <w:sz w:val="28"/>
        </w:rPr>
        <w:t xml:space="preserve"> </w:t>
      </w:r>
      <w:r>
        <w:rPr>
          <w:rFonts w:eastAsia="KaiTi_GB2312;KaiTi" w:cs="Times New Roman" w:ascii="Times New Roman" w:hAnsi="Times New Roman"/>
          <w:sz w:val="28"/>
        </w:rPr>
        <w:t xml:space="preserve">Category    </w:t>
      </w:r>
      <w:r>
        <w:rPr>
          <w:rFonts w:eastAsia="KaiTi_GB2312;KaiTi" w:cs="Times New Roman" w:ascii="Times New Roman" w:hAnsi="Times New Roman"/>
          <w:sz w:val="24"/>
          <w:szCs w:val="24"/>
        </w:rPr>
        <w:t>Overseas Postgraduates</w:t>
      </w:r>
      <w:r>
        <w:rPr>
          <w:rFonts w:eastAsia="KaiTi_GB2312;KaiTi" w:cs="Times New Roman" w:ascii="Times New Roman" w:hAnsi="Times New Roman"/>
          <w:sz w:val="28"/>
        </w:rPr>
        <w:t xml:space="preserve"> </w:t>
      </w:r>
      <w:r>
        <w:rPr>
          <w:rFonts w:eastAsia="KaiTi_GB2312;KaiTi" w:cs="Times New Roman" w:hint="eastAsia" w:ascii="Times New Roman" w:hAnsi="Times New Roman"/>
          <w:sz w:val="28"/>
        </w:rPr>
        <w:t xml:space="preserve">    </w:t>
      </w:r>
      <w:r>
        <w:rPr>
          <w:rFonts w:eastAsia="KaiTi_GB2312;KaiTi" w:cs="Times New Roman" w:ascii="Times New Roman" w:hAnsi="Times New Roman"/>
          <w:sz w:val="28"/>
        </w:rPr>
        <w:t xml:space="preserve"> </w:t>
      </w:r>
      <w:r>
        <w:rPr>
          <w:rFonts w:eastAsia="KaiTi_GB2312;KaiTi" w:cs="Times New Roman" w:hint="eastAsia" w:ascii="Times New Roman" w:hAnsi="Times New Roman"/>
          <w:sz w:val="28"/>
        </w:rPr>
        <w:t xml:space="preserve"> </w:t>
      </w:r>
      <w:r>
        <w:rPr>
          <w:rFonts w:eastAsia="KaiTi_GB2312;KaiTi" w:cs="Times New Roman" w:ascii="Times New Roman" w:hAnsi="Times New Roman"/>
          <w:sz w:val="28"/>
        </w:rPr>
        <w:t xml:space="preserve">      </w:t>
      </w:r>
    </w:p>
    <w:p>
      <w:pPr>
        <w:pStyle w:val="Normal"/>
        <w:spacing w:lineRule="exact" w:line="400"/>
        <w:ind w:firstLineChars="700" w:startChars="0" w:start="0" w:endChars="0" w:end="0"/>
        <w:rPr>
          <w:rFonts w:ascii="Times New Roman" w:hAnsi="Times New Roman" w:eastAsia="KaiTi_GB2312;KaiTi" w:cs="Times New Roman"/>
          <w:sz w:val="28"/>
        </w:rPr>
      </w:pPr>
      <w:r>
        <mc:AlternateContent>
          <mc:Choice Requires="wps">
            <w:drawing>
              <wp:anchor distT="0" distB="0" distL="114935" distR="114935" simplePos="0" relativeHeight="21" behindDoc="0" locked="0" layoutInCell="1" allowOverlap="1">
                <wp:simplePos x="0" y="0"/>
                <wp:positionH relativeFrom="column">
                  <wp:posOffset>2078355</wp:posOffset>
                </wp:positionH>
                <wp:positionV relativeFrom="paragraph">
                  <wp:posOffset>17145</wp:posOffset>
                </wp:positionV>
                <wp:extent cx="3371850" cy="635"/>
                <wp:effectExtent l="635" t="5080" r="635" b="5080"/>
                <wp:wrapNone/>
                <wp:docPr id="7" name="直线 10"/>
                <a:graphic xmlns:a="http://schemas.openxmlformats.org/drawingml/2006/main">
                  <a:graphicData uri="http://schemas.microsoft.com/office/word/2010/wordprocessingShape">
                    <wps:wsp>
                      <wps:cNvSpPr/>
                      <wps:spPr>
                        <a:xfrm>
                          <a:off x="0" y="0"/>
                          <a:ext cx="3371760" cy="72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63.65pt,1.35pt" to="429.1pt,1.35pt" stroked="t" o:allowincell="f" style="position:absolute">
                <v:stroke color="black" weight="9360" joinstyle="miter" endcap="flat"/>
                <v:fill o:detectmouseclick="t" on="false"/>
                <w10:wrap type="none"/>
              </v:line>
            </w:pict>
          </mc:Fallback>
        </mc:AlternateContent>
      </w:r>
      <w:r>
        <w:rPr>
          <w:rFonts w:ascii="Times New Roman" w:hAnsi="Times New Roman" w:cs="Times New Roman" w:eastAsia="KaiTi_GB2312;KaiTi"/>
          <w:sz w:val="28"/>
        </w:rPr>
        <w:t xml:space="preserve">报告 日期   </w:t>
      </w:r>
    </w:p>
    <w:p>
      <w:pPr>
        <w:pStyle w:val="Normal"/>
        <w:tabs>
          <w:tab w:val="clear" w:pos="420"/>
          <w:tab w:val="left" w:pos="3261" w:leader="none"/>
          <w:tab w:val="left" w:pos="7938" w:leader="none"/>
          <w:tab w:val="left" w:pos="8080" w:leader="none"/>
        </w:tabs>
        <w:spacing w:lineRule="exact" w:line="400"/>
        <w:ind w:firstLineChars="700" w:startChars="0" w:start="0" w:endChars="0" w:end="0"/>
        <w:rPr>
          <w:rFonts w:ascii="Times New Roman" w:hAnsi="Times New Roman" w:eastAsia="KaiTi_GB2312;KaiTi" w:cs="Times New Roman"/>
          <w:w w:val="70"/>
          <w:sz w:val="28"/>
        </w:rPr>
      </w:pPr>
      <w:r>
        <w:rPr>
          <w:rFonts w:eastAsia="KaiTi_GB2312;KaiTi" w:cs="Times New Roman" w:hint="eastAsia" w:ascii="Times New Roman" w:hAnsi="Times New Roman"/>
          <w:w w:val="80"/>
          <w:sz w:val="28"/>
        </w:rPr>
        <w:t xml:space="preserve">    </w:t>
      </w:r>
      <w:r>
        <w:rPr>
          <w:rFonts w:eastAsia="KaiTi_GB2312;KaiTi" w:cs="Times New Roman" w:ascii="Times New Roman" w:hAnsi="Times New Roman"/>
          <w:w w:val="70"/>
          <w:sz w:val="28"/>
        </w:rPr>
        <w:t>Date of Report</w:t>
      </w:r>
      <w:r>
        <w:rPr>
          <w:rFonts w:eastAsia="KaiTi_GB2312;KaiTi" w:cs="Times New Roman" w:hint="eastAsia" w:ascii="Times New Roman" w:hAnsi="Times New Roman"/>
          <w:w w:val="70"/>
          <w:sz w:val="28"/>
        </w:rPr>
        <w:t xml:space="preserve"> </w:t>
      </w:r>
      <w:r>
        <w:rPr>
          <w:rFonts w:eastAsia="KaiTi_GB2312;KaiTi" w:cs="Times New Roman" w:ascii="Times New Roman" w:hAnsi="Times New Roman"/>
          <w:w w:val="70"/>
          <w:sz w:val="28"/>
          <w:u w:val="single"/>
        </w:rPr>
        <w:t xml:space="preserve">    </w:t>
      </w:r>
      <w:r>
        <w:rPr>
          <w:rFonts w:eastAsia="KaiTi_GB2312;KaiTi" w:cs="Times New Roman" w:hint="eastAsia" w:ascii="Times New Roman" w:hAnsi="Times New Roman"/>
          <w:w w:val="70"/>
          <w:sz w:val="28"/>
          <w:u w:val="single"/>
        </w:rPr>
        <w:t>2025</w:t>
      </w:r>
      <w:r>
        <w:rPr>
          <w:rFonts w:ascii="Times New Roman" w:hAnsi="Times New Roman" w:cs="Times New Roman" w:hint="eastAsia" w:eastAsia="KaiTi_GB2312;KaiTi"/>
          <w:w w:val="70"/>
          <w:sz w:val="28"/>
          <w:u w:val="single"/>
        </w:rPr>
        <w:t xml:space="preserve">年 </w:t>
      </w:r>
      <w:r>
        <w:rPr>
          <w:rFonts w:eastAsia="KaiTi_GB2312;KaiTi" w:cs="Times New Roman" w:hint="eastAsia" w:ascii="Times New Roman" w:hAnsi="Times New Roman"/>
          <w:w w:val="70"/>
          <w:sz w:val="28"/>
          <w:u w:val="single"/>
        </w:rPr>
        <w:t>10</w:t>
      </w:r>
      <w:r>
        <w:rPr>
          <w:rFonts w:ascii="Times New Roman" w:hAnsi="Times New Roman" w:cs="Times New Roman" w:hint="eastAsia" w:eastAsia="KaiTi_GB2312;KaiTi"/>
          <w:w w:val="70"/>
          <w:sz w:val="28"/>
          <w:u w:val="single"/>
        </w:rPr>
        <w:t>月</w:t>
      </w:r>
      <w:r>
        <w:rPr>
          <w:rFonts w:ascii="Times New Roman" w:hAnsi="Times New Roman" w:cs="Times New Roman" w:eastAsia="KaiTi_GB2312;KaiTi"/>
          <w:w w:val="70"/>
          <w:sz w:val="28"/>
          <w:u w:val="single"/>
        </w:rPr>
        <w:t xml:space="preserve">                </w:t>
      </w:r>
      <w:r>
        <w:rPr>
          <w:rFonts w:ascii="Times New Roman" w:hAnsi="Times New Roman" w:cs="Times New Roman" w:hint="eastAsia" w:eastAsia="KaiTi_GB2312;KaiTi"/>
          <w:w w:val="70"/>
          <w:sz w:val="28"/>
          <w:u w:val="single"/>
        </w:rPr>
        <w:t xml:space="preserve">               </w:t>
      </w:r>
      <w:r>
        <w:rPr>
          <w:rFonts w:ascii="Times New Roman" w:hAnsi="Times New Roman" w:cs="Times New Roman" w:eastAsia="KaiTi_GB2312;KaiTi"/>
          <w:w w:val="70"/>
          <w:sz w:val="28"/>
          <w:u w:val="single"/>
        </w:rPr>
        <w:t xml:space="preserve">  </w:t>
      </w:r>
      <w:r>
        <w:rPr>
          <w:rFonts w:ascii="Times New Roman" w:hAnsi="Times New Roman" w:cs="Times New Roman" w:hint="eastAsia" w:eastAsia="KaiTi_GB2312;KaiTi"/>
          <w:w w:val="70"/>
          <w:sz w:val="28"/>
          <w:u w:val="single"/>
        </w:rPr>
        <w:t xml:space="preserve"> </w:t>
      </w:r>
      <w:r>
        <w:rPr>
          <w:rFonts w:ascii="Times New Roman" w:hAnsi="Times New Roman" w:cs="Times New Roman" w:eastAsia="KaiTi_GB2312;KaiTi"/>
          <w:w w:val="70"/>
          <w:sz w:val="28"/>
          <w:u w:val="single"/>
        </w:rPr>
        <w:t xml:space="preserve">    </w:t>
      </w:r>
      <w:r>
        <w:rPr>
          <w:rFonts w:ascii="Times New Roman" w:hAnsi="Times New Roman" w:cs="Times New Roman" w:hint="eastAsia" w:eastAsia="KaiTi_GB2312;KaiTi"/>
          <w:w w:val="70"/>
          <w:sz w:val="28"/>
          <w:u w:val="single"/>
        </w:rPr>
        <w:t xml:space="preserve">  </w:t>
      </w:r>
      <w:r>
        <w:rPr>
          <w:rFonts w:ascii="Times New Roman" w:hAnsi="Times New Roman" w:cs="Times New Roman" w:eastAsia="KaiTi_GB2312;KaiTi"/>
          <w:w w:val="70"/>
          <w:sz w:val="28"/>
          <w:u w:val="single"/>
        </w:rPr>
        <w:t xml:space="preserve">     </w:t>
      </w:r>
    </w:p>
    <w:p>
      <w:pPr>
        <w:pStyle w:val="Normal"/>
        <w:rPr>
          <w:rFonts w:ascii="Times New Roman" w:hAnsi="Times New Roman" w:eastAsia="KaiTi_GB2312;KaiTi" w:cs="Times New Roman"/>
          <w:sz w:val="28"/>
        </w:rPr>
      </w:pPr>
      <w:r>
        <w:rPr>
          <w:rFonts w:eastAsia="KaiTi_GB2312;KaiTi" w:cs="Times New Roman" w:ascii="Times New Roman" w:hAnsi="Times New Roman"/>
          <w:sz w:val="28"/>
        </w:rPr>
        <w:t xml:space="preserve"> </w:t>
      </w:r>
      <w:r>
        <w:rPr>
          <w:rFonts w:eastAsia="KaiTi_GB2312;KaiTi" w:cs="Times New Roman" w:hint="eastAsia" w:ascii="Times New Roman" w:hAnsi="Times New Roman"/>
          <w:sz w:val="28"/>
        </w:rPr>
        <w:t xml:space="preserve"> </w:t>
      </w:r>
    </w:p>
    <w:p>
      <w:pPr>
        <w:pStyle w:val="Normal"/>
        <w:tabs>
          <w:tab w:val="clear" w:pos="420"/>
          <w:tab w:val="left" w:pos="3119" w:leader="none"/>
        </w:tabs>
        <w:rPr>
          <w:rFonts w:ascii="Times New Roman" w:hAnsi="Times New Roman" w:eastAsia="KaiTi_GB2312;KaiTi" w:cs="Times New Roman"/>
          <w:sz w:val="28"/>
        </w:rPr>
      </w:pPr>
      <w:r>
        <w:rPr>
          <w:rFonts w:eastAsia="KaiTi_GB2312;KaiTi" w:cs="Times New Roman" w:ascii="Times New Roman" w:hAnsi="Times New Roman"/>
          <w:sz w:val="28"/>
        </w:rPr>
      </w:r>
    </w:p>
    <w:p>
      <w:pPr>
        <w:pStyle w:val="Normal"/>
        <w:rPr>
          <w:rFonts w:ascii="Times New Roman" w:hAnsi="Times New Roman" w:eastAsia="KaiTi_GB2312;KaiTi" w:cs="Times New Roman"/>
          <w:sz w:val="28"/>
        </w:rPr>
      </w:pPr>
      <w:r>
        <w:rPr>
          <w:rFonts w:eastAsia="KaiTi_GB2312;KaiTi" w:cs="Times New Roman" w:ascii="Times New Roman" w:hAnsi="Times New Roman"/>
          <w:sz w:val="28"/>
        </w:rPr>
      </w:r>
    </w:p>
    <w:p>
      <w:pPr>
        <w:pStyle w:val="Normal"/>
        <w:jc w:val="center"/>
        <w:rPr>
          <w:rFonts w:ascii="Times New Roman" w:hAnsi="Times New Roman" w:eastAsia="KaiTi_GB2312;KaiTi" w:cs="Times New Roman"/>
          <w:sz w:val="32"/>
        </w:rPr>
      </w:pPr>
      <w:r>
        <w:rPr>
          <w:rFonts w:ascii="Times New Roman" w:hAnsi="Times New Roman" w:eastAsia="KaiTi_GB2312;KaiTi"/>
          <w:sz w:val="32"/>
        </w:rPr>
        <w:t>研</w:t>
      </w:r>
      <w:r>
        <w:rPr>
          <w:rFonts w:ascii="Times New Roman" w:hAnsi="Times New Roman" w:cs="Times New Roman" w:eastAsia="KaiTi_GB2312;KaiTi"/>
          <w:sz w:val="32"/>
        </w:rPr>
        <w:t xml:space="preserve"> </w:t>
      </w:r>
      <w:r>
        <w:rPr>
          <w:rFonts w:ascii="Times New Roman" w:hAnsi="Times New Roman" w:eastAsia="KaiTi_GB2312;KaiTi"/>
          <w:sz w:val="32"/>
        </w:rPr>
        <w:t>究</w:t>
      </w:r>
      <w:r>
        <w:rPr>
          <w:rFonts w:ascii="Times New Roman" w:hAnsi="Times New Roman" w:cs="Times New Roman" w:eastAsia="KaiTi_GB2312;KaiTi"/>
          <w:sz w:val="32"/>
        </w:rPr>
        <w:t xml:space="preserve"> </w:t>
      </w:r>
      <w:r>
        <w:rPr>
          <w:rFonts w:ascii="Times New Roman" w:hAnsi="Times New Roman" w:eastAsia="KaiTi_GB2312;KaiTi"/>
          <w:sz w:val="32"/>
        </w:rPr>
        <w:t>生</w:t>
      </w:r>
      <w:r>
        <w:rPr>
          <w:rFonts w:ascii="Times New Roman" w:hAnsi="Times New Roman" w:cs="Times New Roman" w:eastAsia="KaiTi_GB2312;KaiTi"/>
          <w:sz w:val="32"/>
        </w:rPr>
        <w:t xml:space="preserve"> </w:t>
      </w:r>
      <w:r>
        <w:rPr>
          <w:rFonts w:ascii="Times New Roman" w:hAnsi="Times New Roman" w:eastAsia="KaiTi_GB2312;KaiTi"/>
          <w:sz w:val="32"/>
        </w:rPr>
        <w:t>院</w:t>
      </w:r>
    </w:p>
    <w:p>
      <w:pPr>
        <w:pStyle w:val="Normal"/>
        <w:jc w:val="center"/>
        <w:rPr>
          <w:rFonts w:ascii="Times New Roman" w:hAnsi="Times New Roman" w:eastAsia="STZhongsong" w:cs="Times New Roman"/>
          <w:b/>
          <w:bCs/>
          <w:sz w:val="24"/>
          <w:szCs w:val="24"/>
        </w:rPr>
      </w:pPr>
      <w:r>
        <w:rPr>
          <w:rFonts w:eastAsia="KaiTi_GB2312;KaiTi" w:cs="Times New Roman" w:ascii="Times New Roman" w:hAnsi="Times New Roman"/>
          <w:sz w:val="24"/>
          <w:szCs w:val="24"/>
        </w:rPr>
        <w:t>Graduate School</w:t>
      </w:r>
    </w:p>
    <w:p>
      <w:pPr>
        <w:pStyle w:val="Normal"/>
        <w:jc w:val="center"/>
        <w:rPr>
          <w:rFonts w:eastAsia="STZhongsong"/>
          <w:bCs/>
          <w:sz w:val="36"/>
        </w:rPr>
      </w:pPr>
      <w:r>
        <w:rPr>
          <w:rFonts w:hint="eastAsia" w:eastAsia="STZhongsong"/>
          <w:bCs/>
          <w:sz w:val="36"/>
        </w:rPr>
        <w:t>研究生学位论文选题报告的要求</w:t>
      </w:r>
    </w:p>
    <w:p>
      <w:pPr>
        <w:pStyle w:val="BodyTextIndent"/>
        <w:ind w:hangingChars="200" w:startChars="171" w:endChars="0" w:end="0"/>
        <w:rPr/>
      </w:pPr>
      <w:r>
        <w:rPr>
          <w:rFonts w:hint="eastAsia"/>
        </w:rPr>
        <w:t>一、硕士生的选题报告内容应包括文献综述、选题意义、研究内容、研究方案，论文工作量的估计、工作条件，预期达到的水平，存在的问题及拟采取的解决措施。</w:t>
      </w:r>
    </w:p>
    <w:p>
      <w:pPr>
        <w:pStyle w:val="Normal"/>
        <w:spacing w:lineRule="auto" w:line="360"/>
        <w:ind w:hangingChars="200" w:startChars="171" w:endChars="0" w:end="0"/>
        <w:rPr>
          <w:sz w:val="24"/>
        </w:rPr>
      </w:pPr>
      <w:r>
        <w:rPr>
          <w:rFonts w:hint="eastAsia"/>
          <w:sz w:val="24"/>
        </w:rPr>
        <w:t>二、博士生的选题报告内容应包括文献综述、选题背景及其意义、研究内容、研究特色、工作难点、预期成果及其可能的创新点。</w:t>
      </w:r>
    </w:p>
    <w:p>
      <w:pPr>
        <w:pStyle w:val="Normal"/>
        <w:spacing w:lineRule="auto" w:line="360"/>
        <w:ind w:firstLineChars="150" w:startChars="0" w:start="0" w:endChars="0" w:end="0"/>
        <w:rPr>
          <w:sz w:val="24"/>
        </w:rPr>
      </w:pPr>
      <w:r>
        <w:rPr>
          <w:rFonts w:hint="eastAsia"/>
          <w:sz w:val="24"/>
        </w:rPr>
        <w:t>三、选题报告会应以学术活动的方式公开进行。</w:t>
      </w:r>
    </w:p>
    <w:p>
      <w:pPr>
        <w:pStyle w:val="Normal"/>
        <w:spacing w:lineRule="auto" w:line="360"/>
        <w:ind w:hangingChars="200" w:startChars="171" w:endChars="0" w:end="0"/>
        <w:rPr>
          <w:sz w:val="24"/>
        </w:rPr>
      </w:pPr>
      <w:r>
        <w:rPr>
          <w:rFonts w:hint="eastAsia"/>
          <w:sz w:val="24"/>
        </w:rPr>
        <w:t>四、正式开题之前，研究生应在广泛阅读中、外文资料的基础上，深入了解拟选课题的国内外研究动态，把握所选课题的目的、意义和预期结果，明确课题工作的设想、方法和研究路径。</w:t>
      </w:r>
    </w:p>
    <w:p>
      <w:pPr>
        <w:pStyle w:val="Normal"/>
        <w:spacing w:lineRule="auto" w:line="360"/>
        <w:ind w:hangingChars="200" w:startChars="171" w:endChars="0" w:end="0"/>
        <w:rPr>
          <w:sz w:val="24"/>
        </w:rPr>
      </w:pPr>
      <w:r>
        <w:rPr>
          <w:rFonts w:hint="eastAsia"/>
          <w:sz w:val="24"/>
        </w:rPr>
        <w:t>五、研究生在规定的时间内，写出选题报告初稿，经指导教师审阅同意后，由指导教师安排选题报告时间。选题报告未通过者，重新开题，若第二次选题报告仍通不过者，则按有关规定终止学籍。</w:t>
      </w:r>
    </w:p>
    <w:p>
      <w:pPr>
        <w:pStyle w:val="Normal"/>
        <w:spacing w:lineRule="auto" w:line="360"/>
        <w:ind w:firstLineChars="150" w:startChars="0" w:start="0" w:endChars="0" w:end="0"/>
        <w:rPr>
          <w:sz w:val="24"/>
        </w:rPr>
      </w:pPr>
      <w:r>
        <w:rPr>
          <w:rFonts w:hint="eastAsia"/>
          <w:sz w:val="24"/>
        </w:rPr>
        <w:t>六、选题报告不能按期完成者，应及时向研究生院培养处提出延期申请。</w:t>
      </w:r>
    </w:p>
    <w:p>
      <w:pPr>
        <w:pStyle w:val="Normal"/>
        <w:spacing w:lineRule="auto" w:line="360"/>
        <w:ind w:firstLineChars="150" w:startChars="0" w:start="0" w:endChars="0" w:end="0"/>
        <w:rPr>
          <w:sz w:val="24"/>
        </w:rPr>
      </w:pPr>
      <w:r>
        <w:rPr>
          <w:rFonts w:hint="eastAsia"/>
          <w:sz w:val="24"/>
        </w:rPr>
        <w:t>七、本表可以打印或用钢笔认真填写，若不够填写时，可另加附页。</w:t>
      </w:r>
    </w:p>
    <w:p>
      <w:pPr>
        <w:pStyle w:val="Normal"/>
        <w:spacing w:lineRule="auto" w:line="360"/>
        <w:ind w:firstLineChars="150" w:startChars="0" w:start="0" w:endChars="0" w:end="0"/>
        <w:rPr>
          <w:sz w:val="24"/>
        </w:rPr>
      </w:pPr>
      <w:r>
        <w:rPr>
          <w:sz w:val="24"/>
        </w:rPr>
      </w:r>
    </w:p>
    <w:p>
      <w:pPr>
        <w:pStyle w:val="Normal"/>
        <w:spacing w:lineRule="auto" w:line="276"/>
        <w:jc w:val="center"/>
        <w:rPr>
          <w:rFonts w:ascii="Times New Roman" w:hAnsi="Times New Roman" w:eastAsia="STZhongsong" w:cs="Times New Roman"/>
          <w:b/>
          <w:bCs/>
          <w:sz w:val="28"/>
          <w:szCs w:val="28"/>
        </w:rPr>
      </w:pPr>
      <w:r>
        <w:rPr>
          <w:rFonts w:eastAsia="STZhongsong" w:cs="Times New Roman" w:ascii="Times New Roman" w:hAnsi="Times New Roman"/>
          <w:b/>
          <w:bCs/>
          <w:sz w:val="28"/>
          <w:szCs w:val="28"/>
        </w:rPr>
        <w:t>Requirements for the Dissertation Title Selection Report</w:t>
      </w:r>
    </w:p>
    <w:p>
      <w:pPr>
        <w:pStyle w:val="BodyTextIndent"/>
        <w:spacing w:lineRule="auto" w:line="276"/>
        <w:ind w:endChars="0" w:end="0"/>
        <w:rPr/>
      </w:pPr>
      <w:r>
        <w:rPr>
          <w:sz w:val="21"/>
          <w:szCs w:val="21"/>
        </w:rPr>
        <w:t>1. The Dissertation Title Selection Report for Master Degrees should include the Literature Review, the Meaning of the Title Selection, the Research Contents, the Research Plan, Workload Estimation, Working Conditions, the Goal to Achieve, Problems Existing as well as the Measures to Take.</w:t>
      </w:r>
    </w:p>
    <w:p>
      <w:pPr>
        <w:pStyle w:val="Normal"/>
        <w:spacing w:lineRule="auto" w:line="276"/>
        <w:ind w:firstLineChars="200" w:startChars="0" w:start="0" w:endChars="0" w:end="0"/>
        <w:rPr>
          <w:rFonts w:ascii="Times New Roman" w:hAnsi="Times New Roman" w:cs="Times New Roman"/>
          <w:szCs w:val="21"/>
        </w:rPr>
      </w:pPr>
      <w:r>
        <w:rPr>
          <w:rFonts w:cs="Times New Roman" w:ascii="Times New Roman" w:hAnsi="Times New Roman"/>
          <w:szCs w:val="21"/>
        </w:rPr>
        <w:t>2. The Dissertation Title Selection Report for PhD Degrees should include Literature Review, Background and Meaning of the Selection, Research Contents, Characteristics of the Research, Difficulties, Goals to Achieve and possible Innovations.</w:t>
      </w:r>
    </w:p>
    <w:p>
      <w:pPr>
        <w:pStyle w:val="Normal"/>
        <w:spacing w:lineRule="auto" w:line="276"/>
        <w:ind w:firstLineChars="200" w:startChars="0" w:start="0" w:endChars="0" w:end="0"/>
        <w:rPr>
          <w:rFonts w:ascii="Times New Roman" w:hAnsi="Times New Roman" w:cs="Times New Roman"/>
          <w:szCs w:val="21"/>
        </w:rPr>
      </w:pPr>
      <w:r>
        <w:rPr>
          <w:rFonts w:cs="Times New Roman" w:ascii="Times New Roman" w:hAnsi="Times New Roman"/>
          <w:szCs w:val="21"/>
        </w:rPr>
        <w:t>3. The Report should be made in public as academic activities.</w:t>
      </w:r>
    </w:p>
    <w:p>
      <w:pPr>
        <w:pStyle w:val="Normal"/>
        <w:spacing w:lineRule="auto" w:line="276"/>
        <w:ind w:firstLineChars="200" w:startChars="0" w:start="0" w:endChars="0" w:end="0"/>
        <w:rPr/>
      </w:pPr>
      <w:r>
        <w:rPr>
          <w:rFonts w:cs="Times New Roman" w:ascii="Times New Roman" w:hAnsi="Times New Roman"/>
          <w:szCs w:val="21"/>
        </w:rPr>
        <w:t>4. Before starting the title, graduates should, based on the extensive reading through the literature both in Chinese and in foreign languages, have a deep command of the research tendency home and abroad,. They must have a clear mind of the aim, meaning and foreseen results, research assumption, methods and approaches.</w:t>
      </w:r>
    </w:p>
    <w:p>
      <w:pPr>
        <w:pStyle w:val="Normal"/>
        <w:spacing w:lineRule="auto" w:line="276"/>
        <w:ind w:firstLineChars="200" w:startChars="0" w:start="0" w:endChars="0" w:end="0"/>
        <w:rPr/>
      </w:pPr>
      <w:r>
        <w:rPr>
          <w:rFonts w:cs="Times New Roman" w:ascii="Times New Roman" w:hAnsi="Times New Roman"/>
          <w:szCs w:val="21"/>
        </w:rPr>
        <w:t xml:space="preserve">5. Graduates should finish the draft report within the required time, and then the supervisor after having checked the report, organizes time to make the report. Those who fail to pass the report have to reopen a title. If it can not be passed for a second time, the studentship will be stopped. </w:t>
      </w:r>
    </w:p>
    <w:p>
      <w:pPr>
        <w:pStyle w:val="Normal"/>
        <w:spacing w:lineRule="auto" w:line="276"/>
        <w:ind w:firstLineChars="200" w:startChars="0" w:start="0" w:endChars="0" w:end="0"/>
        <w:rPr>
          <w:rFonts w:ascii="Times New Roman" w:hAnsi="Times New Roman" w:cs="Times New Roman"/>
          <w:szCs w:val="21"/>
        </w:rPr>
      </w:pPr>
      <w:r>
        <w:rPr>
          <w:rFonts w:cs="Times New Roman" w:ascii="Times New Roman" w:hAnsi="Times New Roman"/>
          <w:szCs w:val="21"/>
        </w:rPr>
        <w:t>6. Those who can not finish the report on time should forward application to the Graduate School to extend the duration.</w:t>
      </w:r>
    </w:p>
    <w:p>
      <w:pPr>
        <w:pStyle w:val="Normal"/>
        <w:spacing w:lineRule="auto" w:line="276"/>
        <w:ind w:firstLineChars="200" w:startChars="0" w:start="0" w:endChars="0" w:end="0"/>
        <w:rPr>
          <w:rFonts w:ascii="Times New Roman" w:hAnsi="Times New Roman" w:cs="Times New Roman"/>
          <w:szCs w:val="21"/>
        </w:rPr>
      </w:pPr>
      <w:r>
        <w:rPr>
          <w:rFonts w:cs="Times New Roman" w:ascii="Times New Roman" w:hAnsi="Times New Roman"/>
          <w:szCs w:val="21"/>
        </w:rPr>
        <w:t>7. The form should be filled out in pen or printed. If the pages are not enough, extra pages can be attached.</w:t>
      </w:r>
    </w:p>
    <w:p>
      <w:pPr>
        <w:pStyle w:val="Normal"/>
        <w:spacing w:lineRule="auto" w:line="360"/>
        <w:ind w:firstLineChars="150" w:startChars="0" w:start="0" w:endChars="0" w:end="0"/>
        <w:rPr>
          <w:rFonts w:ascii="Times New Roman" w:hAnsi="Times New Roman" w:cs="Times New Roman"/>
          <w:sz w:val="24"/>
          <w:szCs w:val="21"/>
        </w:rPr>
      </w:pPr>
      <w:r>
        <w:rPr>
          <w:rFonts w:cs="Times New Roman" w:ascii="Times New Roman" w:hAnsi="Times New Roman"/>
          <w:sz w:val="24"/>
          <w:szCs w:val="21"/>
        </w:rPr>
      </w:r>
    </w:p>
    <w:tbl>
      <w:tblPr>
        <w:tblW w:w="9211" w:type="dxa"/>
        <w:jc w:val="start"/>
        <w:tblInd w:w="94" w:type="dxa"/>
        <w:tblLayout w:type="fixed"/>
        <w:tblCellMar>
          <w:top w:w="0" w:type="dxa"/>
          <w:start w:w="108" w:type="dxa"/>
          <w:bottom w:w="0" w:type="dxa"/>
          <w:end w:w="108" w:type="dxa"/>
        </w:tblCellMar>
      </w:tblPr>
      <w:tblGrid>
        <w:gridCol w:w="1715"/>
        <w:gridCol w:w="709"/>
        <w:gridCol w:w="1701"/>
        <w:gridCol w:w="1559"/>
        <w:gridCol w:w="1701"/>
        <w:gridCol w:w="1826"/>
      </w:tblGrid>
      <w:tr>
        <w:trPr>
          <w:trHeight w:val="495" w:hRule="atLeast"/>
          <w:cantSplit/>
        </w:trPr>
        <w:tc>
          <w:tcPr>
            <w:tcW w:w="2424" w:type="dxa"/>
            <w:gridSpan w:val="2"/>
            <w:tcBorders>
              <w:top w:val="single" w:sz="4" w:space="0" w:color="000000"/>
              <w:start w:val="single" w:sz="4" w:space="0" w:color="000000"/>
              <w:bottom w:val="single" w:sz="6" w:space="0" w:color="000000"/>
              <w:end w:val="single" w:sz="4" w:space="0" w:color="000000"/>
            </w:tcBorders>
            <w:vAlign w:val="center"/>
          </w:tcPr>
          <w:p>
            <w:pPr>
              <w:pStyle w:val="Normal"/>
              <w:spacing w:lineRule="exact" w:line="240"/>
              <w:jc w:val="center"/>
              <w:rPr>
                <w:rFonts w:ascii="Times New Roman" w:hAnsi="Times New Roman" w:cs="Times New Roman"/>
              </w:rPr>
            </w:pPr>
            <w:r>
              <w:rPr>
                <w:rFonts w:ascii="Times New Roman" w:hAnsi="Times New Roman"/>
              </w:rPr>
              <w:t>论文题目</w:t>
            </w:r>
          </w:p>
          <w:p>
            <w:pPr>
              <w:pStyle w:val="Normal"/>
              <w:spacing w:lineRule="exact" w:line="240"/>
              <w:jc w:val="center"/>
              <w:rPr>
                <w:rFonts w:ascii="Times New Roman" w:hAnsi="Times New Roman" w:cs="Times New Roman"/>
                <w:sz w:val="15"/>
                <w:szCs w:val="15"/>
              </w:rPr>
            </w:pPr>
            <w:r>
              <w:rPr>
                <w:rFonts w:cs="Times New Roman" w:ascii="Times New Roman" w:hAnsi="Times New Roman"/>
                <w:sz w:val="15"/>
                <w:szCs w:val="15"/>
              </w:rPr>
              <w:t>Dissertation Title</w:t>
            </w:r>
          </w:p>
        </w:tc>
        <w:tc>
          <w:tcPr>
            <w:tcW w:w="6787" w:type="dxa"/>
            <w:gridSpan w:val="4"/>
            <w:tcBorders>
              <w:top w:val="single" w:sz="4" w:space="0" w:color="000000"/>
              <w:start w:val="single" w:sz="4" w:space="0" w:color="000000"/>
              <w:bottom w:val="single" w:sz="6" w:space="0" w:color="000000"/>
              <w:end w:val="single" w:sz="4" w:space="0" w:color="000000"/>
            </w:tcBorders>
            <w:vAlign w:val="center"/>
          </w:tcPr>
          <w:p>
            <w:pPr>
              <w:pStyle w:val="Normal"/>
              <w:spacing w:lineRule="exact" w:line="240"/>
              <w:jc w:val="center"/>
              <w:rPr>
                <w:rFonts w:ascii="Times New Roman" w:hAnsi="Times New Roman" w:cs="Times New Roman"/>
              </w:rPr>
            </w:pPr>
            <w:r>
              <w:rPr>
                <w:rFonts w:cs="Times New Roman" w:ascii="Times New Roman" w:hAnsi="Times New Roman"/>
              </w:rPr>
              <w:t xml:space="preserve">Research on Data Center Failure Prediction Technology Based on a Hybrid Deep Learning Framework </w:t>
            </w:r>
            <w:r>
              <w:rPr>
                <w:rFonts w:cs="Times New Roman" w:hint="eastAsia" w:ascii="Times New Roman" w:hAnsi="Times New Roman"/>
              </w:rPr>
              <w:t xml:space="preserve"> </w:t>
            </w:r>
          </w:p>
        </w:tc>
      </w:tr>
      <w:tr>
        <w:trPr>
          <w:trHeight w:val="495" w:hRule="atLeast"/>
          <w:cantSplit/>
        </w:trPr>
        <w:tc>
          <w:tcPr>
            <w:tcW w:w="2424" w:type="dxa"/>
            <w:gridSpan w:val="2"/>
            <w:vMerge w:val="restart"/>
            <w:tcBorders>
              <w:top w:val="single" w:sz="4" w:space="0" w:color="000000"/>
              <w:start w:val="single" w:sz="4" w:space="0" w:color="000000"/>
              <w:bottom w:val="single" w:sz="6" w:space="0" w:color="000000"/>
              <w:end w:val="single" w:sz="6" w:space="0" w:color="000000"/>
            </w:tcBorders>
            <w:vAlign w:val="center"/>
          </w:tcPr>
          <w:p>
            <w:pPr>
              <w:pStyle w:val="Normal"/>
              <w:spacing w:lineRule="exact" w:line="240"/>
              <w:jc w:val="center"/>
              <w:rPr>
                <w:rFonts w:ascii="Times New Roman" w:hAnsi="Times New Roman" w:cs="Times New Roman"/>
              </w:rPr>
            </w:pPr>
            <w:r>
              <w:rPr>
                <w:rFonts w:ascii="Times New Roman" w:hAnsi="Times New Roman" w:cs="Times New Roman"/>
              </w:rPr>
              <w:t>论文类型</w:t>
            </w:r>
          </w:p>
          <w:p>
            <w:pPr>
              <w:pStyle w:val="Normal"/>
              <w:spacing w:lineRule="exact" w:line="240"/>
              <w:jc w:val="center"/>
              <w:rPr>
                <w:rFonts w:ascii="Times New Roman" w:hAnsi="Times New Roman" w:cs="Times New Roman"/>
              </w:rPr>
            </w:pPr>
            <w:r>
              <w:rPr>
                <w:rFonts w:cs="Times New Roman" w:ascii="Times New Roman" w:hAnsi="Times New Roman"/>
              </w:rPr>
              <w:t>(</w:t>
            </w:r>
            <w:r>
              <w:rPr>
                <w:rFonts w:ascii="Times New Roman" w:hAnsi="Times New Roman" w:cs="Times New Roman"/>
              </w:rPr>
              <w:t>在有关项目下作记号√</w:t>
            </w:r>
            <w:r>
              <w:rPr>
                <w:rFonts w:cs="Times New Roman" w:ascii="Times New Roman" w:hAnsi="Times New Roman"/>
              </w:rPr>
              <w:t>)</w:t>
            </w:r>
          </w:p>
          <w:p>
            <w:pPr>
              <w:pStyle w:val="Normal"/>
              <w:spacing w:lineRule="exact" w:line="240"/>
              <w:jc w:val="center"/>
              <w:rPr>
                <w:rFonts w:ascii="Times New Roman" w:hAnsi="Times New Roman" w:cs="Times New Roman"/>
                <w:sz w:val="15"/>
                <w:szCs w:val="15"/>
              </w:rPr>
            </w:pPr>
            <w:r>
              <w:rPr>
                <w:rFonts w:cs="Times New Roman" w:ascii="Times New Roman" w:hAnsi="Times New Roman"/>
                <w:sz w:val="15"/>
                <w:szCs w:val="15"/>
              </w:rPr>
              <w:t>Dissertation Type</w:t>
            </w:r>
          </w:p>
          <w:p>
            <w:pPr>
              <w:pStyle w:val="Normal"/>
              <w:spacing w:lineRule="exact" w:line="240"/>
              <w:jc w:val="center"/>
              <w:rPr>
                <w:rFonts w:ascii="Times New Roman" w:hAnsi="Times New Roman" w:cs="Times New Roman"/>
              </w:rPr>
            </w:pPr>
            <w:r>
              <w:rPr>
                <w:rFonts w:cs="Times New Roman" w:ascii="Times New Roman" w:hAnsi="Times New Roman"/>
                <w:sz w:val="15"/>
                <w:szCs w:val="15"/>
              </w:rPr>
              <w:t>(Put a tick √ under relevant item)</w:t>
            </w:r>
          </w:p>
        </w:tc>
        <w:tc>
          <w:tcPr>
            <w:tcW w:w="1701" w:type="dxa"/>
            <w:tcBorders>
              <w:top w:val="single" w:sz="4" w:space="0" w:color="000000"/>
              <w:start w:val="single" w:sz="6" w:space="0" w:color="000000"/>
              <w:bottom w:val="single" w:sz="6" w:space="0" w:color="000000"/>
              <w:end w:val="single" w:sz="6" w:space="0" w:color="000000"/>
            </w:tcBorders>
            <w:vAlign w:val="center"/>
          </w:tcPr>
          <w:p>
            <w:pPr>
              <w:pStyle w:val="Normal"/>
              <w:spacing w:lineRule="exact" w:line="240"/>
              <w:jc w:val="center"/>
              <w:rPr>
                <w:rFonts w:ascii="Times New Roman" w:hAnsi="Times New Roman" w:cs="Times New Roman"/>
              </w:rPr>
            </w:pPr>
            <w:r>
              <w:rPr>
                <w:rFonts w:ascii="Times New Roman" w:hAnsi="Times New Roman" w:cs="Times New Roman"/>
              </w:rPr>
              <w:t>基础研究</w:t>
            </w:r>
          </w:p>
          <w:p>
            <w:pPr>
              <w:pStyle w:val="Normal"/>
              <w:spacing w:lineRule="exact" w:line="240"/>
              <w:jc w:val="center"/>
              <w:rPr>
                <w:rFonts w:ascii="Times New Roman" w:hAnsi="Times New Roman" w:cs="Times New Roman"/>
              </w:rPr>
            </w:pPr>
            <w:r>
              <w:rPr>
                <w:rFonts w:cs="Times New Roman" w:ascii="Times New Roman" w:hAnsi="Times New Roman"/>
                <w:sz w:val="15"/>
                <w:szCs w:val="15"/>
              </w:rPr>
              <w:t>Fundamental Research</w:t>
            </w:r>
          </w:p>
        </w:tc>
        <w:tc>
          <w:tcPr>
            <w:tcW w:w="1559" w:type="dxa"/>
            <w:tcBorders>
              <w:top w:val="single" w:sz="4" w:space="0" w:color="000000"/>
              <w:start w:val="single" w:sz="6" w:space="0" w:color="000000"/>
              <w:bottom w:val="single" w:sz="6" w:space="0" w:color="000000"/>
              <w:end w:val="single" w:sz="6" w:space="0" w:color="000000"/>
            </w:tcBorders>
            <w:vAlign w:val="center"/>
          </w:tcPr>
          <w:p>
            <w:pPr>
              <w:pStyle w:val="Normal"/>
              <w:spacing w:lineRule="exact" w:line="240"/>
              <w:jc w:val="center"/>
              <w:rPr>
                <w:rFonts w:ascii="Times New Roman" w:hAnsi="Times New Roman" w:cs="Times New Roman"/>
              </w:rPr>
            </w:pPr>
            <w:r>
              <w:rPr>
                <w:rFonts w:ascii="Times New Roman" w:hAnsi="Times New Roman" w:cs="Times New Roman"/>
              </w:rPr>
              <w:t>应用研究</w:t>
            </w:r>
          </w:p>
          <w:p>
            <w:pPr>
              <w:pStyle w:val="Normal"/>
              <w:spacing w:lineRule="exact" w:line="240"/>
              <w:jc w:val="center"/>
              <w:rPr>
                <w:rFonts w:ascii="Times New Roman" w:hAnsi="Times New Roman" w:cs="Times New Roman"/>
              </w:rPr>
            </w:pPr>
            <w:r>
              <w:rPr>
                <w:rFonts w:cs="Times New Roman" w:ascii="Times New Roman" w:hAnsi="Times New Roman"/>
                <w:sz w:val="15"/>
                <w:szCs w:val="15"/>
              </w:rPr>
              <w:t>Application Research</w:t>
            </w:r>
          </w:p>
        </w:tc>
        <w:tc>
          <w:tcPr>
            <w:tcW w:w="1701" w:type="dxa"/>
            <w:tcBorders>
              <w:top w:val="single" w:sz="4" w:space="0" w:color="000000"/>
              <w:start w:val="single" w:sz="6" w:space="0" w:color="000000"/>
              <w:bottom w:val="single" w:sz="6" w:space="0" w:color="000000"/>
              <w:end w:val="single" w:sz="6" w:space="0" w:color="000000"/>
            </w:tcBorders>
            <w:vAlign w:val="center"/>
          </w:tcPr>
          <w:p>
            <w:pPr>
              <w:pStyle w:val="Normal"/>
              <w:spacing w:lineRule="exact" w:line="240"/>
              <w:jc w:val="center"/>
              <w:rPr>
                <w:rFonts w:ascii="Times New Roman" w:hAnsi="Times New Roman" w:cs="Times New Roman"/>
              </w:rPr>
            </w:pPr>
            <w:r>
              <w:rPr>
                <w:rFonts w:ascii="Times New Roman" w:hAnsi="Times New Roman" w:cs="Times New Roman"/>
              </w:rPr>
              <w:t>工程技术</w:t>
            </w:r>
          </w:p>
          <w:p>
            <w:pPr>
              <w:pStyle w:val="Normal"/>
              <w:spacing w:lineRule="exact" w:line="240"/>
              <w:jc w:val="center"/>
              <w:rPr>
                <w:rFonts w:ascii="Times New Roman" w:hAnsi="Times New Roman" w:cs="Times New Roman"/>
              </w:rPr>
            </w:pPr>
            <w:r>
              <w:rPr>
                <w:rFonts w:cs="Times New Roman" w:ascii="Times New Roman" w:hAnsi="Times New Roman"/>
                <w:sz w:val="15"/>
                <w:szCs w:val="15"/>
              </w:rPr>
              <w:t>Engineering Technology</w:t>
            </w:r>
          </w:p>
        </w:tc>
        <w:tc>
          <w:tcPr>
            <w:tcW w:w="1826" w:type="dxa"/>
            <w:tcBorders>
              <w:top w:val="single" w:sz="4" w:space="0" w:color="000000"/>
              <w:start w:val="single" w:sz="6" w:space="0" w:color="000000"/>
              <w:bottom w:val="single" w:sz="6" w:space="0" w:color="000000"/>
              <w:end w:val="single" w:sz="4" w:space="0" w:color="000000"/>
            </w:tcBorders>
            <w:vAlign w:val="center"/>
          </w:tcPr>
          <w:p>
            <w:pPr>
              <w:pStyle w:val="Normal"/>
              <w:spacing w:lineRule="exact" w:line="240"/>
              <w:jc w:val="center"/>
              <w:rPr>
                <w:rFonts w:ascii="Times New Roman" w:hAnsi="Times New Roman" w:cs="Times New Roman"/>
              </w:rPr>
            </w:pPr>
            <w:r>
              <w:rPr>
                <w:rFonts w:ascii="Times New Roman" w:hAnsi="Times New Roman" w:cs="Times New Roman"/>
              </w:rPr>
              <w:t>跨学科研究</w:t>
            </w:r>
          </w:p>
          <w:p>
            <w:pPr>
              <w:pStyle w:val="Normal"/>
              <w:spacing w:lineRule="exact" w:line="240"/>
              <w:jc w:val="center"/>
              <w:rPr>
                <w:rFonts w:ascii="Times New Roman" w:hAnsi="Times New Roman" w:cs="Times New Roman"/>
              </w:rPr>
            </w:pPr>
            <w:r>
              <w:rPr>
                <w:rFonts w:cs="Times New Roman" w:ascii="Times New Roman" w:hAnsi="Times New Roman"/>
                <w:sz w:val="15"/>
                <w:szCs w:val="15"/>
              </w:rPr>
              <w:t>Research Cross Discipline</w:t>
            </w:r>
          </w:p>
        </w:tc>
      </w:tr>
      <w:tr>
        <w:trPr>
          <w:trHeight w:val="495" w:hRule="atLeast"/>
          <w:cantSplit/>
        </w:trPr>
        <w:tc>
          <w:tcPr>
            <w:tcW w:w="2424" w:type="dxa"/>
            <w:gridSpan w:val="2"/>
            <w:vMerge w:val="continue"/>
            <w:tcBorders>
              <w:top w:val="single" w:sz="4" w:space="0" w:color="000000"/>
              <w:start w:val="single" w:sz="4" w:space="0" w:color="000000"/>
              <w:bottom w:val="single" w:sz="6" w:space="0" w:color="000000"/>
              <w:end w:val="single" w:sz="6" w:space="0" w:color="000000"/>
            </w:tcBorders>
            <w:vAlign w:val="center"/>
          </w:tcPr>
          <w:p>
            <w:pPr>
              <w:pStyle w:val="Normal"/>
              <w:snapToGrid w:val="false"/>
              <w:spacing w:lineRule="exact" w:line="240"/>
              <w:jc w:val="center"/>
              <w:rPr>
                <w:rFonts w:ascii="Times New Roman" w:hAnsi="Times New Roman" w:cs="Times New Roman"/>
              </w:rPr>
            </w:pPr>
            <w:r>
              <w:rPr>
                <w:rFonts w:cs="Times New Roman" w:ascii="Times New Roman" w:hAnsi="Times New Roman"/>
              </w:rPr>
            </w:r>
          </w:p>
        </w:tc>
        <w:tc>
          <w:tcPr>
            <w:tcW w:w="1701" w:type="dxa"/>
            <w:tcBorders>
              <w:top w:val="single" w:sz="6" w:space="0" w:color="000000"/>
              <w:start w:val="single" w:sz="6" w:space="0" w:color="000000"/>
              <w:bottom w:val="single" w:sz="4" w:space="0" w:color="000000"/>
              <w:end w:val="single" w:sz="6" w:space="0" w:color="000000"/>
            </w:tcBorders>
            <w:vAlign w:val="center"/>
          </w:tcPr>
          <w:p>
            <w:pPr>
              <w:pStyle w:val="Normal"/>
              <w:spacing w:lineRule="exact" w:line="240"/>
              <w:jc w:val="center"/>
              <w:rPr>
                <w:rFonts w:ascii="Times New Roman" w:hAnsi="Times New Roman" w:cs="Times New Roman"/>
              </w:rPr>
            </w:pPr>
            <w:r>
              <w:rPr>
                <w:rFonts w:cs="Times New Roman" w:ascii="Times New Roman" w:hAnsi="Times New Roman"/>
                <w:sz w:val="15"/>
                <w:szCs w:val="15"/>
              </w:rPr>
              <w:t>√</w:t>
            </w:r>
          </w:p>
        </w:tc>
        <w:tc>
          <w:tcPr>
            <w:tcW w:w="1559" w:type="dxa"/>
            <w:tcBorders>
              <w:top w:val="single" w:sz="6" w:space="0" w:color="000000"/>
              <w:start w:val="single" w:sz="6" w:space="0" w:color="000000"/>
              <w:bottom w:val="single" w:sz="4" w:space="0" w:color="000000"/>
              <w:end w:val="single" w:sz="6" w:space="0" w:color="000000"/>
            </w:tcBorders>
            <w:vAlign w:val="center"/>
          </w:tcPr>
          <w:p>
            <w:pPr>
              <w:pStyle w:val="Normal"/>
              <w:snapToGrid w:val="false"/>
              <w:spacing w:lineRule="exact" w:line="240"/>
              <w:jc w:val="center"/>
              <w:rPr>
                <w:rFonts w:ascii="Times New Roman" w:hAnsi="Times New Roman" w:cs="Times New Roman"/>
              </w:rPr>
            </w:pPr>
            <w:r>
              <w:rPr>
                <w:rFonts w:cs="Times New Roman" w:ascii="Times New Roman" w:hAnsi="Times New Roman"/>
              </w:rPr>
            </w:r>
          </w:p>
        </w:tc>
        <w:tc>
          <w:tcPr>
            <w:tcW w:w="1701" w:type="dxa"/>
            <w:tcBorders>
              <w:top w:val="single" w:sz="6" w:space="0" w:color="000000"/>
              <w:start w:val="single" w:sz="6" w:space="0" w:color="000000"/>
              <w:bottom w:val="single" w:sz="4" w:space="0" w:color="000000"/>
              <w:end w:val="single" w:sz="6" w:space="0" w:color="000000"/>
            </w:tcBorders>
            <w:vAlign w:val="center"/>
          </w:tcPr>
          <w:p>
            <w:pPr>
              <w:pStyle w:val="Normal"/>
              <w:snapToGrid w:val="false"/>
              <w:spacing w:lineRule="exact" w:line="240"/>
              <w:jc w:val="center"/>
              <w:rPr>
                <w:rFonts w:ascii="Times New Roman" w:hAnsi="Times New Roman" w:cs="Times New Roman"/>
              </w:rPr>
            </w:pPr>
            <w:r>
              <w:rPr>
                <w:rFonts w:cs="Times New Roman" w:ascii="Times New Roman" w:hAnsi="Times New Roman"/>
              </w:rPr>
            </w:r>
          </w:p>
        </w:tc>
        <w:tc>
          <w:tcPr>
            <w:tcW w:w="1826" w:type="dxa"/>
            <w:tcBorders>
              <w:top w:val="single" w:sz="6" w:space="0" w:color="000000"/>
              <w:start w:val="single" w:sz="6" w:space="0" w:color="000000"/>
              <w:bottom w:val="single" w:sz="4" w:space="0" w:color="000000"/>
              <w:end w:val="single" w:sz="4" w:space="0" w:color="000000"/>
            </w:tcBorders>
            <w:vAlign w:val="center"/>
          </w:tcPr>
          <w:p>
            <w:pPr>
              <w:pStyle w:val="Normal"/>
              <w:snapToGrid w:val="false"/>
              <w:spacing w:lineRule="exact" w:line="240"/>
              <w:jc w:val="center"/>
              <w:rPr>
                <w:rFonts w:ascii="Times New Roman" w:hAnsi="Times New Roman" w:cs="Times New Roman"/>
              </w:rPr>
            </w:pPr>
            <w:r>
              <w:rPr>
                <w:rFonts w:cs="Times New Roman" w:ascii="Times New Roman" w:hAnsi="Times New Roman"/>
              </w:rPr>
            </w:r>
          </w:p>
        </w:tc>
      </w:tr>
      <w:tr>
        <w:trPr>
          <w:trHeight w:val="12330" w:hRule="atLeast"/>
          <w:cantSplit/>
        </w:trPr>
        <w:tc>
          <w:tcPr>
            <w:tcW w:w="9211" w:type="dxa"/>
            <w:gridSpan w:val="6"/>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eastAsia="KaiTi_GB2312;KaiTi" w:cs="Times New Roman"/>
                <w:szCs w:val="21"/>
              </w:rPr>
            </w:pPr>
            <w:r>
              <w:rPr>
                <w:rFonts w:ascii="Times New Roman" w:hAnsi="Times New Roman" w:cs="Times New Roman" w:eastAsia="KaiTi_GB2312;KaiTi"/>
                <w:szCs w:val="21"/>
              </w:rPr>
              <w:t>研究生在进行选题报告、听取意见后，整理成文（不少于</w:t>
            </w:r>
            <w:r>
              <w:rPr>
                <w:rFonts w:eastAsia="KaiTi_GB2312;KaiTi" w:cs="Times New Roman" w:ascii="Times New Roman" w:hAnsi="Times New Roman"/>
                <w:szCs w:val="21"/>
              </w:rPr>
              <w:t>3500</w:t>
            </w:r>
            <w:r>
              <w:rPr>
                <w:rFonts w:ascii="Times New Roman" w:hAnsi="Times New Roman" w:cs="Times New Roman" w:eastAsia="KaiTi_GB2312;KaiTi"/>
                <w:szCs w:val="21"/>
              </w:rPr>
              <w:t>字）。</w:t>
            </w:r>
          </w:p>
          <w:p>
            <w:pPr>
              <w:pStyle w:val="Normal"/>
              <w:rPr>
                <w:rFonts w:ascii="Times New Roman" w:hAnsi="Times New Roman" w:eastAsia="KaiTi_GB2312;KaiTi" w:cs="Times New Roman"/>
                <w:szCs w:val="21"/>
              </w:rPr>
            </w:pPr>
            <w:r>
              <w:rPr>
                <w:rFonts w:eastAsia="KaiTi_GB2312;KaiTi" w:cs="Times New Roman" w:ascii="Times New Roman" w:hAnsi="Times New Roman"/>
                <w:szCs w:val="21"/>
              </w:rPr>
              <w:t>After the report and comments, make the records up to an article.(no less than 3500 words)</w:t>
            </w:r>
          </w:p>
          <w:p>
            <w:pPr>
              <w:pStyle w:val="Heading2"/>
              <w:ind w:firstLineChars="0" w:firstLine="0" w:startChars="104" w:endChars="83"/>
              <w:rPr>
                <w:rFonts w:ascii="Times New Roman" w:hAnsi="Times New Roman" w:cs="Times New Roman"/>
                <w:i w:val="false"/>
                <w:iCs w:val="false"/>
                <w:sz w:val="28"/>
                <w:szCs w:val="28"/>
              </w:rPr>
            </w:pPr>
            <w:r>
              <w:rPr>
                <w:rFonts w:cs="Times New Roman" w:ascii="Times New Roman" w:hAnsi="Times New Roman"/>
                <w:i w:val="false"/>
                <w:iCs w:val="false"/>
                <w:sz w:val="24"/>
                <w:szCs w:val="24"/>
              </w:rPr>
              <w:t>1. Research Background</w:t>
            </w:r>
          </w:p>
          <w:p>
            <w:pPr>
              <w:pStyle w:val="Compact"/>
              <w:ind w:firstLineChars="0" w:firstLine="0" w:startChars="104" w:endChars="83"/>
              <w:rPr/>
            </w:pPr>
            <w:r>
              <w:rPr/>
              <w:t>Modern data centers have become mission-critical infrastructures supporting finance, e-commerce, national security, scientific computing, and global communication platforms. As the scale and complexity of data centers grow, spanning thousands of machines and millions of services, the reliability and stability of these systems have become strategic priorities. Failures in data centers may lead to severe cascading disruptions, financial losses, and service outages with global impact.</w:t>
            </w:r>
          </w:p>
          <w:p>
            <w:pPr>
              <w:pStyle w:val="Compact"/>
              <w:ind w:firstLineChars="0" w:firstLine="0" w:startChars="104" w:endChars="83"/>
              <w:rPr/>
            </w:pPr>
            <w:r>
              <w:rPr/>
              <w:t>Recent studies show that large-scale data centers generate massive amounts of system logs, reaching tens of gigabytes and millions of events per hour. These logs capture key operational traces including kernel messages, cluster management events, distributed system logs, and application-level execution traces. They contain rich contextual clues of system states and precursors of failures, often appearing as subtle behavior changes, rare event patterns, or abnormal template sequences before an outage.</w:t>
            </w:r>
          </w:p>
          <w:p>
            <w:pPr>
              <w:pStyle w:val="Compact"/>
              <w:ind w:firstLineChars="0" w:firstLine="0" w:startChars="104" w:endChars="83"/>
              <w:rPr/>
            </w:pPr>
            <w:r>
              <w:rPr/>
              <w:t>Traditional monitoring methods rule-based alerting, threshold triggers, and manual log inspection are no longer sufficient. They struggle with:</w:t>
            </w:r>
          </w:p>
          <w:p>
            <w:pPr>
              <w:pStyle w:val="Compact"/>
              <w:numPr>
                <w:ilvl w:val="0"/>
                <w:numId w:val="3"/>
              </w:numPr>
              <w:ind w:hanging="360" w:start="938" w:endChars="83"/>
              <w:rPr/>
            </w:pPr>
            <w:r>
              <w:rPr/>
              <w:t>High volume and heterogeneity of logs</w:t>
            </w:r>
          </w:p>
          <w:p>
            <w:pPr>
              <w:pStyle w:val="Compact"/>
              <w:numPr>
                <w:ilvl w:val="0"/>
                <w:numId w:val="3"/>
              </w:numPr>
              <w:ind w:hanging="360" w:start="938" w:endChars="83"/>
              <w:rPr/>
            </w:pPr>
            <w:r>
              <w:rPr/>
              <w:t>Dynamic workloads and evolving system configurations</w:t>
            </w:r>
          </w:p>
          <w:p>
            <w:pPr>
              <w:pStyle w:val="Compact"/>
              <w:numPr>
                <w:ilvl w:val="0"/>
                <w:numId w:val="3"/>
              </w:numPr>
              <w:ind w:hanging="360" w:start="938" w:endChars="83"/>
              <w:rPr/>
            </w:pPr>
            <w:r>
              <w:rPr/>
              <w:t>Hidden nonlinear correlations between log events and failures</w:t>
            </w:r>
          </w:p>
          <w:p>
            <w:pPr>
              <w:pStyle w:val="Compact"/>
              <w:numPr>
                <w:ilvl w:val="0"/>
                <w:numId w:val="3"/>
              </w:numPr>
              <w:ind w:hanging="360" w:start="938" w:endChars="83"/>
              <w:rPr/>
            </w:pPr>
            <w:r>
              <w:rPr/>
              <w:t>High false-positive and false-negative rates</w:t>
            </w:r>
          </w:p>
          <w:p>
            <w:pPr>
              <w:pStyle w:val="Compact"/>
              <w:numPr>
                <w:ilvl w:val="0"/>
                <w:numId w:val="3"/>
              </w:numPr>
              <w:ind w:hanging="360" w:start="938" w:endChars="83"/>
              <w:rPr/>
            </w:pPr>
            <w:r>
              <w:rPr/>
              <w:t>Inability to proactively detect anomalous patterns before failures</w:t>
            </w:r>
          </w:p>
          <w:p>
            <w:pPr>
              <w:pStyle w:val="Compact"/>
              <w:ind w:firstLineChars="0" w:firstLine="0" w:startChars="104" w:endChars="83"/>
              <w:rPr/>
            </w:pPr>
            <w:r>
              <w:rPr/>
              <w:t>​</w:t>
            </w:r>
            <w:r>
              <w:rPr/>
              <w:t>Deep learning-based approaches have shown promising results by learning latent patterns in logs without handcrafted features. Models such as LSTM, GRU, and Transformer-based architectures have been successful in anomaly detection and predicting near-future failures. However, key limitations remain:</w:t>
            </w:r>
          </w:p>
          <w:p>
            <w:pPr>
              <w:pStyle w:val="Compact"/>
              <w:numPr>
                <w:ilvl w:val="0"/>
                <w:numId w:val="2"/>
              </w:numPr>
              <w:ind w:hanging="360" w:start="938" w:endChars="83"/>
              <w:rPr/>
            </w:pPr>
            <w:r>
              <w:rPr/>
              <w:t>Lack of attention to log-structured features and event templates</w:t>
            </w:r>
          </w:p>
          <w:p>
            <w:pPr>
              <w:pStyle w:val="Compact"/>
              <w:numPr>
                <w:ilvl w:val="0"/>
                <w:numId w:val="2"/>
              </w:numPr>
              <w:ind w:hanging="360" w:start="938" w:endChars="83"/>
              <w:rPr/>
            </w:pPr>
            <w:r>
              <w:rPr/>
              <w:t>Insufficient interpretability for system operators</w:t>
            </w:r>
          </w:p>
          <w:p>
            <w:pPr>
              <w:pStyle w:val="Compact"/>
              <w:numPr>
                <w:ilvl w:val="0"/>
                <w:numId w:val="2"/>
              </w:numPr>
              <w:ind w:hanging="360" w:start="938" w:endChars="83"/>
              <w:rPr/>
            </w:pPr>
            <w:r>
              <w:rPr/>
              <w:t>Difficulty modeling long-term patterns and temporal evolution</w:t>
            </w:r>
          </w:p>
          <w:p>
            <w:pPr>
              <w:pStyle w:val="Compact"/>
              <w:numPr>
                <w:ilvl w:val="0"/>
                <w:numId w:val="2"/>
              </w:numPr>
              <w:ind w:hanging="360" w:start="938" w:endChars="83"/>
              <w:rPr/>
            </w:pPr>
            <w:r>
              <w:rPr/>
              <w:t>Limited generalization across unseen failure types</w:t>
            </w:r>
          </w:p>
          <w:p>
            <w:pPr>
              <w:pStyle w:val="Compact"/>
              <w:numPr>
                <w:ilvl w:val="0"/>
                <w:numId w:val="2"/>
              </w:numPr>
              <w:ind w:hanging="360" w:start="938" w:endChars="83"/>
              <w:rPr/>
            </w:pPr>
            <w:r>
              <w:rPr/>
              <w:t>Challenges with imbalanced data and rare failure events</w:t>
            </w:r>
          </w:p>
          <w:p>
            <w:pPr>
              <w:pStyle w:val="Compact"/>
              <w:spacing w:before="36" w:after="36"/>
              <w:ind w:firstLineChars="0" w:firstLine="0" w:startChars="104" w:endChars="83"/>
              <w:rPr/>
            </w:pPr>
            <w:r>
              <w:rPr/>
              <w:t xml:space="preserve">To address these limitations, this research proposes a </w:t>
            </w:r>
            <w:r>
              <w:rPr>
                <w:b/>
                <w:bCs/>
              </w:rPr>
              <w:t>hybrid deep learning framework</w:t>
            </w:r>
            <w:r>
              <w:rPr/>
              <w:t xml:space="preserve"> that combines log-template extraction, temporal sequence modeling, and anomaly scoring to proactively predict failures in data centers. The work focuses specifically on </w:t>
            </w:r>
            <w:r>
              <w:rPr>
                <w:b/>
                <w:bCs/>
              </w:rPr>
              <w:t>log-driven failure prediction</w:t>
            </w:r>
            <w:r>
              <w:rPr/>
              <w:t xml:space="preserve"> rather than generic cloud metrics or multi-modal inputs.</w:t>
            </w:r>
          </w:p>
        </w:tc>
      </w:tr>
      <w:tr>
        <w:trPr>
          <w:trHeight w:val="6759" w:hRule="atLeast"/>
        </w:trPr>
        <w:tc>
          <w:tcPr>
            <w:tcW w:w="9211" w:type="dxa"/>
            <w:gridSpan w:val="6"/>
            <w:tcBorders>
              <w:top w:val="single" w:sz="4" w:space="0" w:color="000000"/>
              <w:start w:val="single" w:sz="4" w:space="0" w:color="000000"/>
              <w:bottom w:val="single" w:sz="4" w:space="0" w:color="000000"/>
              <w:end w:val="single" w:sz="4" w:space="0" w:color="000000"/>
            </w:tcBorders>
          </w:tcPr>
          <w:p>
            <w:pPr>
              <w:pStyle w:val="Compact"/>
              <w:snapToGrid w:val="false"/>
              <w:spacing w:before="36" w:after="36"/>
              <w:ind w:firstLineChars="0" w:firstLine="0" w:startChars="104" w:endChars="83"/>
              <w:rPr>
                <w:rFonts w:ascii="Times New Roman" w:hAnsi="Times New Roman" w:eastAsia="KaiTi_GB2312;KaiTi" w:cs="Times New Roman"/>
                <w:b/>
                <w:bCs/>
                <w:sz w:val="24"/>
                <w:szCs w:val="24"/>
                <w:lang w:val="ru-RU"/>
              </w:rPr>
            </w:pPr>
            <w:r>
              <w:rPr>
                <w:rFonts w:eastAsia="KaiTi_GB2312;KaiTi" w:cs="Times New Roman"/>
                <w:b/>
                <w:bCs/>
                <w:sz w:val="24"/>
                <w:szCs w:val="24"/>
                <w:lang w:val="ru-RU"/>
              </w:rPr>
            </w:r>
          </w:p>
          <w:p>
            <w:pPr>
              <w:pStyle w:val="Compact"/>
              <w:ind w:firstLineChars="0" w:firstLine="0" w:startChars="104" w:endChars="83"/>
              <w:rPr/>
            </w:pPr>
            <w:r>
              <w:rPr>
                <w:b/>
                <w:bCs/>
                <w:sz w:val="24"/>
                <w:szCs w:val="24"/>
                <w:lang w:val="ru-RU"/>
              </w:rPr>
              <w:t>1.1 Proposed Research Content of The Paper</w:t>
            </w:r>
          </w:p>
          <w:p>
            <w:pPr>
              <w:pStyle w:val="Compact"/>
              <w:ind w:firstLineChars="0" w:firstLine="0" w:startChars="104" w:endChars="83"/>
              <w:rPr>
                <w:szCs w:val="21"/>
                <w:lang w:val="ru-RU"/>
              </w:rPr>
            </w:pPr>
            <w:r>
              <w:rPr>
                <w:szCs w:val="21"/>
              </w:rPr>
              <w:t>This research focuses on developing an intelligent failure prediction framework for modern data centers using log-driven hybrid deep learning techniques. The goal is to detect abnormal log patterns and predict failures before they occur, shifting data-center maintenance from reactive fault handling to proactive reliability management.</w:t>
            </w:r>
          </w:p>
          <w:p>
            <w:pPr>
              <w:pStyle w:val="Compact"/>
              <w:ind w:firstLineChars="0" w:firstLine="0" w:startChars="104" w:endChars="83"/>
              <w:rPr>
                <w:szCs w:val="21"/>
                <w:lang w:val="ru-RU"/>
              </w:rPr>
            </w:pPr>
            <w:r>
              <w:rPr>
                <w:szCs w:val="21"/>
              </w:rPr>
              <w:t>The study will begin by establishing a log-processing workflow that converts raw system logs into structured templates and sequential representations. The work will explore log parsing algorithms such as Drain and Spell to extract event templates and construct log sequences suitable for machine-learning input. Special attention will be given to challenges such as noise in logs, high dimensionality, and class imbalance between normal events and rare failures.</w:t>
            </w:r>
          </w:p>
          <w:p>
            <w:pPr>
              <w:pStyle w:val="Compact"/>
              <w:ind w:firstLineChars="0" w:firstLine="0" w:startChars="104" w:endChars="83"/>
              <w:rPr>
                <w:szCs w:val="21"/>
                <w:lang w:val="ru-RU"/>
              </w:rPr>
            </w:pPr>
            <w:r>
              <w:rPr>
                <w:szCs w:val="21"/>
              </w:rPr>
              <w:t>Building on the processed log data, the research will design a hybrid deep learning model that combines convolutional neural networks for local log-pattern extraction with recurrent or transformer-based layers for long-range temporal modeling. Attention mechanisms will be integrated to highlight critical event patterns that contribute to failure predictions. This design is intended to capture both short-term anomalies and long-term structural shifts in the log sequence.</w:t>
            </w:r>
          </w:p>
          <w:p>
            <w:pPr>
              <w:pStyle w:val="Compact"/>
              <w:ind w:firstLineChars="0" w:firstLine="0" w:startChars="104" w:endChars="83"/>
              <w:rPr>
                <w:szCs w:val="21"/>
              </w:rPr>
            </w:pPr>
            <w:r>
              <w:rPr>
                <w:szCs w:val="21"/>
              </w:rPr>
              <w:t>An important component of this research is interpretability. The framework will include explanation modules that identify influential log templates and temporal segments, allowing operators to understand the reasons behind model predictions. This enhances the applicability of the system in real-world data center environments where trust and interpretability are essential.</w:t>
            </w:r>
          </w:p>
          <w:p>
            <w:pPr>
              <w:pStyle w:val="Compact"/>
              <w:ind w:firstLineChars="0" w:firstLine="0" w:startChars="104" w:endChars="83"/>
              <w:rPr>
                <w:szCs w:val="21"/>
              </w:rPr>
            </w:pPr>
            <w:r>
              <w:rPr>
                <w:szCs w:val="21"/>
              </w:rPr>
              <w:t>The proposed framework will be evaluated on public log datasets such as HDFS, BGL, and LogHub. Performance metrics including Precision, Recall, F1-Score, ROC-AUC, and early-warning capability will be used to assess prediction quality. The expected contribution of this work is a scalable and explainable log-based failure prediction framework that improves reliability and operational awareness in data-center systems.</w:t>
            </w:r>
          </w:p>
          <w:p>
            <w:pPr>
              <w:pStyle w:val="Compact"/>
              <w:ind w:firstLineChars="0" w:firstLine="0" w:startChars="104" w:endChars="83"/>
              <w:rPr>
                <w:szCs w:val="21"/>
                <w:lang w:val="ru-RU"/>
              </w:rPr>
            </w:pPr>
            <w:r>
              <w:rPr>
                <w:szCs w:val="21"/>
                <w:lang w:val="ru-RU"/>
              </w:rPr>
            </w:r>
          </w:p>
          <w:p>
            <w:pPr>
              <w:pStyle w:val="Compact"/>
              <w:ind w:firstLineChars="0" w:firstLine="0" w:startChars="104" w:endChars="83"/>
              <w:rPr>
                <w:szCs w:val="21"/>
                <w:lang w:val="ru-RU"/>
              </w:rPr>
            </w:pPr>
            <w:r>
              <w:rPr>
                <w:szCs w:val="21"/>
                <w:lang w:val="ru-RU"/>
              </w:rPr>
            </w:r>
          </w:p>
          <w:p>
            <w:pPr>
              <w:pStyle w:val="Compact"/>
              <w:ind w:firstLineChars="0" w:firstLine="0" w:startChars="104" w:endChars="83"/>
              <w:jc w:val="start"/>
              <w:rPr>
                <w:b/>
                <w:bCs/>
                <w:sz w:val="24"/>
                <w:szCs w:val="24"/>
                <w:lang w:val="ru-RU"/>
              </w:rPr>
            </w:pPr>
            <w:r>
              <w:rPr>
                <w:b/>
                <w:bCs/>
                <w:sz w:val="24"/>
                <w:szCs w:val="24"/>
                <w:lang w:val="ru-RU"/>
              </w:rPr>
              <w:t>1.2 Feasibility of Research Plan, Implementation of Research Conditions​</w:t>
            </w:r>
          </w:p>
          <w:p>
            <w:pPr>
              <w:pStyle w:val="Compact"/>
              <w:ind w:firstLineChars="0" w:firstLine="0" w:startChars="104" w:endChars="83"/>
              <w:jc w:val="start"/>
              <w:rPr/>
            </w:pPr>
            <w:r>
              <w:rPr>
                <w:szCs w:val="21"/>
                <w:lang w:val="ru-RU"/>
              </w:rPr>
              <w:t>​</w:t>
            </w:r>
            <w:r>
              <w:rPr>
                <w:b/>
                <w:bCs/>
                <w:szCs w:val="21"/>
                <w:lang w:val="ru-RU"/>
              </w:rPr>
              <w:t>Feasibility of Research Plan:​</w:t>
            </w:r>
            <w:r>
              <w:rPr>
                <w:szCs w:val="21"/>
                <w:lang w:val="ru-RU"/>
              </w:rPr>
              <w:t>​</w:t>
            </w:r>
          </w:p>
          <w:p>
            <w:pPr>
              <w:pStyle w:val="Compact"/>
              <w:ind w:firstLineChars="0" w:firstLine="0" w:startChars="104" w:endChars="83"/>
              <w:rPr/>
            </w:pPr>
            <w:r>
              <w:rPr>
                <w:szCs w:val="21"/>
                <w:lang w:val="ru-RU"/>
              </w:rPr>
              <w:t>The proposed research is feasible due to clear problem definition, solid theoretical foundations, and availability of appropriate resources. The topic focuses on log-based failure prediction in data centers, a well-established research direction supported by publicly available datasets, mature deep learning frameworks, and the rapid development of log analysis methods. The research scope is clearly defined, allowing systematic progress through data preparation, model development, and evaluation phases.</w:t>
            </w:r>
          </w:p>
          <w:p>
            <w:pPr>
              <w:pStyle w:val="Compact"/>
              <w:ind w:firstLineChars="0" w:firstLine="0" w:startChars="104" w:endChars="83"/>
              <w:rPr/>
            </w:pPr>
            <w:r>
              <w:rPr>
                <w:szCs w:val="21"/>
                <w:lang w:val="ru-RU"/>
              </w:rPr>
              <w:t>From the methodological perspective, the study is supported by a strong foundation in existing work in log parsing, deep learning for sequential event modeling, and anomaly detection. Techniques such as Drain-based log template extraction, hybrid CNN-RNN architectures, and attention-based interpretability have been extensively documented in current literature, ensuring that the research builds on proven techniques while proposing meaningful improvements. This reduces technical uncertainty and increases the likelihood of successful results.</w:t>
            </w:r>
          </w:p>
          <w:p>
            <w:pPr>
              <w:pStyle w:val="Compact"/>
              <w:ind w:firstLineChars="0" w:firstLine="0" w:startChars="104" w:endChars="83"/>
              <w:rPr/>
            </w:pPr>
            <w:r>
              <w:rPr>
                <w:szCs w:val="21"/>
                <w:lang w:val="ru-RU"/>
              </w:rPr>
              <w:t>In terms of research conditions, the required computational environment and software tools are available. The work will be carried out using Python, PyTorch or TensorFlow, and well-established data-processing libraries such as NumPy and Pandas. Access to GPU computing resources is provided, enabling efficient training and experimentation with deep learning models. Public datasets such as HDFS, BGL, and LogHub Linux are available for academic use and will be collected and prepared in the early stage of the project.</w:t>
            </w:r>
          </w:p>
          <w:p>
            <w:pPr>
              <w:pStyle w:val="Compact"/>
              <w:ind w:firstLineChars="0" w:firstLine="0" w:startChars="104" w:endChars="83"/>
              <w:rPr>
                <w:szCs w:val="21"/>
                <w:lang w:val="ru-RU"/>
              </w:rPr>
            </w:pPr>
            <w:r>
              <w:rPr>
                <w:szCs w:val="21"/>
                <w:lang w:val="ru-RU"/>
              </w:rPr>
              <w:t>Additionally, the guidance of an experienced academic supervisor and access to the university’s computing environment provide strong support for successful project execution. With structured planning, incremental experimental design, and continuous literature-driven refinement, the expected outcome is a reliable and interpretable log-based failure prediction framework for data centers. Overall, both the technical feasibility and research environment ensure that the study can be conducted effectively and completed within the planned timeframe.</w:t>
            </w:r>
          </w:p>
          <w:p>
            <w:pPr>
              <w:pStyle w:val="Compact"/>
              <w:ind w:firstLineChars="0" w:firstLine="0" w:startChars="104" w:endChars="83"/>
              <w:rPr>
                <w:szCs w:val="21"/>
                <w:lang w:val="ru-RU"/>
              </w:rPr>
            </w:pPr>
            <w:r>
              <w:rPr>
                <w:szCs w:val="21"/>
                <w:lang w:val="ru-RU"/>
              </w:rPr>
            </w:r>
          </w:p>
          <w:p>
            <w:pPr>
              <w:pStyle w:val="Compact"/>
              <w:ind w:firstLineChars="0" w:firstLine="0" w:startChars="104" w:endChars="83"/>
              <w:rPr>
                <w:szCs w:val="21"/>
              </w:rPr>
            </w:pPr>
            <w:r>
              <w:rPr>
                <w:szCs w:val="21"/>
              </w:rPr>
            </w:r>
          </w:p>
          <w:p>
            <w:pPr>
              <w:pStyle w:val="Compact"/>
              <w:ind w:firstLineChars="0" w:firstLine="0" w:startChars="104" w:endChars="83"/>
              <w:rPr>
                <w:b/>
                <w:bCs/>
                <w:sz w:val="24"/>
                <w:szCs w:val="24"/>
                <w:lang w:val="ru-RU"/>
              </w:rPr>
            </w:pPr>
            <w:r>
              <w:rPr>
                <w:b/>
                <w:bCs/>
                <w:sz w:val="24"/>
                <w:szCs w:val="24"/>
                <w:lang w:val="ru-RU"/>
              </w:rPr>
              <w:t>2. Research Status</w:t>
            </w:r>
          </w:p>
          <w:p>
            <w:pPr>
              <w:pStyle w:val="Compact"/>
              <w:ind w:firstLineChars="0" w:firstLine="0" w:startChars="104" w:endChars="83"/>
              <w:rPr>
                <w:b/>
                <w:bCs/>
                <w:sz w:val="24"/>
                <w:szCs w:val="24"/>
                <w:lang w:val="ru-RU"/>
              </w:rPr>
            </w:pPr>
            <w:r>
              <w:rPr>
                <w:b/>
                <w:bCs/>
                <w:sz w:val="24"/>
                <w:szCs w:val="24"/>
                <w:lang w:val="ru-RU"/>
              </w:rPr>
              <w:t>2.1 Traditional Approaches to Failure Prediction</w:t>
            </w:r>
          </w:p>
          <w:p>
            <w:pPr>
              <w:pStyle w:val="Compact"/>
              <w:ind w:firstLineChars="0" w:firstLine="0" w:startChars="104" w:endChars="83"/>
              <w:rPr/>
            </w:pPr>
            <w:r>
              <w:rPr>
                <w:lang w:val="ru-RU"/>
              </w:rPr>
              <w:t>Early studies on data center reliability and system failure prediction primarily relied on conventional monitoring and statistical analysis. Rule-based log alerting systems were commonly used, where specific patterns or thresholds defined by domain experts triggered warnings when anomalies occurred. Although these systems were effective in detecting known issues, they required constant manual maintenance and could not adapt to new or evolving failure patterns.</w:t>
            </w:r>
          </w:p>
          <w:p>
            <w:pPr>
              <w:pStyle w:val="Compact"/>
              <w:ind w:firstLineChars="0" w:firstLine="0" w:startChars="104" w:endChars="83"/>
              <w:rPr/>
            </w:pPr>
            <w:r>
              <w:rPr>
                <w:lang w:val="ru-RU"/>
              </w:rPr>
              <w:t>Statistical methods such as ARIMA and Hidden Semi-Markov Models (HSMM) attempted to capture time-dependent behavior in system metrics and logs. These methods assumed stable data distributions, which are rarely present in dynamic and large-scale data center environments. As a result, their effectiveness decreased significantly when facing non-stationary data or complex system interactions.</w:t>
            </w:r>
          </w:p>
          <w:p>
            <w:pPr>
              <w:pStyle w:val="Compact"/>
              <w:ind w:firstLineChars="0" w:firstLine="0" w:startChars="104" w:endChars="83"/>
              <w:rPr>
                <w:lang w:val="ru-RU"/>
              </w:rPr>
            </w:pPr>
            <w:r>
              <w:rPr>
                <w:lang w:val="ru-RU"/>
              </w:rPr>
              <w:t>Traditional machine learning approaches, including Support Vector Machines, Random Forests, and Naive Bayes classifiers, were later introduced to automate the detection of abnormal events. These methods depended heavily on handcrafted feature extraction and lacked the ability to learn from raw sequential data. Moreover, they struggled with scalability and often failed to detect previously unseen failure types. Overall, traditional approaches required substantial manual effort, had poor adaptability to dynamic systems, and were limited in their ability to detect novel or rare failures.</w:t>
            </w:r>
          </w:p>
          <w:p>
            <w:pPr>
              <w:pStyle w:val="Compact"/>
              <w:ind w:firstLineChars="0" w:firstLine="0" w:startChars="104" w:endChars="83"/>
              <w:rPr>
                <w:lang w:val="ru-RU"/>
              </w:rPr>
            </w:pPr>
            <w:r>
              <w:rPr>
                <w:lang w:val="ru-RU"/>
              </w:rPr>
            </w:r>
          </w:p>
          <w:p>
            <w:pPr>
              <w:pStyle w:val="Compact"/>
              <w:ind w:firstLineChars="0" w:firstLine="0" w:startChars="104" w:endChars="83"/>
              <w:rPr>
                <w:lang w:val="ru-RU"/>
              </w:rPr>
            </w:pPr>
            <w:r>
              <w:rPr>
                <w:lang w:val="ru-RU" w:eastAsia="ru-RU"/>
              </w:rPr>
              <w:drawing>
                <wp:inline distT="0" distB="0" distL="0" distR="0">
                  <wp:extent cx="5714365" cy="1049655"/>
                  <wp:effectExtent l="0" t="0" r="0" b="0"/>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pic:cNvPicPr>
                            <a:picLocks noChangeAspect="1" noChangeArrowheads="1"/>
                          </pic:cNvPicPr>
                        </pic:nvPicPr>
                        <pic:blipFill>
                          <a:blip r:embed="rId2"/>
                          <a:srcRect l="-4" t="-21" r="-4" b="-21"/>
                          <a:stretch>
                            <a:fillRect/>
                          </a:stretch>
                        </pic:blipFill>
                        <pic:spPr bwMode="auto">
                          <a:xfrm>
                            <a:off x="0" y="0"/>
                            <a:ext cx="5714365" cy="1049655"/>
                          </a:xfrm>
                          <a:prstGeom prst="rect">
                            <a:avLst/>
                          </a:prstGeom>
                          <a:noFill/>
                        </pic:spPr>
                      </pic:pic>
                    </a:graphicData>
                  </a:graphic>
                </wp:inline>
              </w:drawing>
            </w:r>
          </w:p>
          <w:p>
            <w:pPr>
              <w:pStyle w:val="Compact"/>
              <w:ind w:firstLineChars="0" w:firstLine="0" w:startChars="104" w:endChars="83"/>
              <w:rPr/>
            </w:pPr>
            <w:r>
              <w:rPr>
                <w:b/>
                <w:bCs/>
                <w:color w:val="222222"/>
                <w:szCs w:val="21"/>
                <w:shd w:fill="FFFFFF" w:val="clear"/>
              </w:rPr>
              <w:t xml:space="preserve">Figure 1. </w:t>
            </w:r>
            <w:r>
              <w:rPr/>
              <w:t>The overall framework of data annotation[3].</w:t>
            </w:r>
          </w:p>
          <w:p>
            <w:pPr>
              <w:pStyle w:val="Compact"/>
              <w:ind w:firstLineChars="0" w:firstLine="0" w:startChars="104" w:endChars="83"/>
              <w:rPr>
                <w:b/>
                <w:bCs/>
                <w:sz w:val="24"/>
                <w:szCs w:val="24"/>
                <w:lang w:val="ru-RU"/>
              </w:rPr>
            </w:pPr>
            <w:r>
              <w:rPr>
                <w:b/>
                <w:bCs/>
                <w:sz w:val="24"/>
                <w:szCs w:val="24"/>
                <w:lang w:val="ru-RU"/>
              </w:rPr>
            </w:r>
          </w:p>
          <w:p>
            <w:pPr>
              <w:pStyle w:val="Compact"/>
              <w:ind w:firstLineChars="0" w:firstLine="0" w:startChars="104" w:endChars="83"/>
              <w:rPr>
                <w:b/>
                <w:bCs/>
                <w:sz w:val="24"/>
                <w:szCs w:val="24"/>
                <w:lang w:val="ru-RU"/>
              </w:rPr>
            </w:pPr>
            <w:r>
              <w:rPr>
                <w:b/>
                <w:bCs/>
                <w:sz w:val="24"/>
                <w:szCs w:val="24"/>
                <w:lang w:val="ru-RU"/>
              </w:rPr>
            </w:r>
          </w:p>
          <w:p>
            <w:pPr>
              <w:pStyle w:val="Compact"/>
              <w:ind w:firstLineChars="0" w:firstLine="0" w:startChars="104" w:endChars="83"/>
              <w:rPr>
                <w:b/>
                <w:bCs/>
                <w:sz w:val="24"/>
                <w:szCs w:val="24"/>
                <w:lang w:val="ru-RU"/>
              </w:rPr>
            </w:pPr>
            <w:r>
              <w:rPr>
                <w:b/>
                <w:bCs/>
                <w:sz w:val="24"/>
                <w:szCs w:val="24"/>
                <w:lang w:val="ru-RU"/>
              </w:rPr>
              <w:t>2.2 Deep Learning Approaches</w:t>
            </w:r>
          </w:p>
          <w:p>
            <w:pPr>
              <w:pStyle w:val="Compact"/>
              <w:ind w:firstLineChars="0" w:firstLine="0" w:startChars="104" w:endChars="83"/>
              <w:rPr/>
            </w:pPr>
            <w:r>
              <w:rPr>
                <w:lang w:val="ru-RU"/>
              </w:rPr>
              <w:t>With the growth of large-scale data centers and the massive volume of logs they generate, deep learning has emerged as a more effective method for log-based anomaly detection and failure prediction. Recurrent neural networks, including Long Short-Term Memory (LSTM) and Gated Recurrent Unit (GRU) architectures, have been widely adopted to model log sequences due to their ability to learn temporal dependencies. The DeepLog framework, for instance, demonstrated that system logs can be treated as sequences similar to natural language, significantly improving the accuracy of anomaly detection.</w:t>
            </w:r>
          </w:p>
          <w:p>
            <w:pPr>
              <w:pStyle w:val="Compact"/>
              <w:ind w:firstLineChars="0" w:firstLine="0" w:startChars="104" w:endChars="83"/>
              <w:rPr>
                <w:lang w:val="ru-RU"/>
              </w:rPr>
            </w:pPr>
            <w:r>
              <w:rPr>
                <w:lang w:val="ru-RU"/>
              </w:rPr>
              <w:t>Convolutional neural networks (CNN) have also been adapted for log analysis by capturing localized temporal patterns and short-term event bursts. More recently, transformer-based and BERT-style models have been applied to log understanding tasks. These architectures utilize self-attention mechanisms to identify contextual dependencies across log events and have achieved promising results in modeling complex relationships within log data.</w:t>
            </w:r>
          </w:p>
          <w:p>
            <w:pPr>
              <w:pStyle w:val="Compact"/>
              <w:ind w:firstLineChars="0" w:firstLine="0" w:startChars="104" w:endChars="83"/>
              <w:rPr>
                <w:lang w:val="ru-RU"/>
              </w:rPr>
            </w:pPr>
            <w:r>
              <w:rPr>
                <w:lang w:val="ru-RU"/>
              </w:rPr>
              <w:t>Hybrid models combining CNNs, recurrent layers, and attention mechanisms have further advanced predictive accuracy by integrating both local and long-range temporal features. However, despite their success, deep learning approaches still face challenges related to interpretability, generalization to unseen failure types, and the computational cost of training and deployment at data-center scale.</w:t>
            </w:r>
          </w:p>
          <w:p>
            <w:pPr>
              <w:pStyle w:val="Compact"/>
              <w:ind w:firstLineChars="0" w:firstLine="0" w:startChars="104" w:endChars="83"/>
              <w:rPr>
                <w:lang w:val="ru-RU"/>
              </w:rPr>
            </w:pPr>
            <w:r>
              <w:rPr>
                <w:lang w:val="ru-RU"/>
              </w:rPr>
            </w:r>
          </w:p>
          <w:p>
            <w:pPr>
              <w:pStyle w:val="Compact"/>
              <w:ind w:firstLineChars="0" w:firstLine="0" w:startChars="104" w:endChars="83"/>
              <w:rPr>
                <w:lang w:val="ru-RU"/>
              </w:rPr>
            </w:pPr>
            <w:r>
              <w:rPr>
                <w:lang w:val="ru-RU"/>
              </w:rPr>
            </w:r>
          </w:p>
          <w:p>
            <w:pPr>
              <w:pStyle w:val="Compact"/>
              <w:ind w:firstLineChars="0" w:firstLine="0" w:startChars="104" w:endChars="83"/>
              <w:rPr>
                <w:b/>
                <w:bCs/>
                <w:sz w:val="24"/>
                <w:szCs w:val="24"/>
                <w:lang w:val="ru-RU"/>
              </w:rPr>
            </w:pPr>
            <w:r>
              <w:rPr>
                <w:b/>
                <w:bCs/>
                <w:sz w:val="24"/>
                <w:szCs w:val="24"/>
                <w:lang w:val="ru-RU"/>
              </w:rPr>
              <w:t>2.3 Interpretability in Deep Learning Models</w:t>
            </w:r>
          </w:p>
          <w:p>
            <w:pPr>
              <w:pStyle w:val="Compact"/>
              <w:ind w:firstLineChars="0" w:firstLine="0" w:startChars="104" w:endChars="83"/>
              <w:rPr/>
            </w:pPr>
            <w:r>
              <w:rPr>
                <w:lang w:val="ru-RU"/>
              </w:rPr>
              <w:t>As deep learning models have become more complex, interpretability has emerged as a key requirement for practical deployment. Attention mechanisms are increasingly used to highlight influential log events within a sequence, enabling a clearer understanding of which parts of the data contributed most to a prediction. Template level attribution techniques further enhance interpretability by identifying the specific log patterns associated with failures.</w:t>
            </w:r>
          </w:p>
          <w:p>
            <w:pPr>
              <w:pStyle w:val="Compact"/>
              <w:ind w:firstLineChars="0" w:firstLine="0" w:startChars="104" w:endChars="83"/>
              <w:rPr/>
            </w:pPr>
            <w:r>
              <w:rPr>
                <w:lang w:val="ru-RU"/>
              </w:rPr>
              <w:t>Post-hoc explanation tools such as SHAP and feature importance analysis have also been applied to provide insight into model decisions. However, ensuring that these explanations accurately reflect the true reasoning process of the model remains a major research challenge. Many interpretability techniques provide approximate or high-level justifications that may not fully align with the internal behavior of deep models. Several approaches have been developed to address interpretability:</w:t>
            </w:r>
          </w:p>
          <w:p>
            <w:pPr>
              <w:pStyle w:val="Compact"/>
              <w:ind w:firstLineChars="0" w:firstLine="0" w:startChars="104" w:endChars="83"/>
              <w:rPr/>
            </w:pPr>
            <w:r>
              <w:rPr>
                <w:lang w:val="ru-RU"/>
              </w:rPr>
              <w:t>​</w:t>
            </w:r>
            <w:r>
              <w:rPr>
                <w:b/>
                <w:bCs/>
                <w:lang w:val="ru-RU"/>
              </w:rPr>
              <w:t>Attention Mechanisms</w:t>
            </w:r>
            <w:r>
              <w:rPr>
                <w:lang w:val="ru-RU"/>
              </w:rPr>
              <w:t>: Techniques that highlight which parts of the input sequence most influenced the prediction[7][9]. For example, Brown et al.[6] used attention mechanisms with LSTM for log anomaly detection.</w:t>
            </w:r>
          </w:p>
          <w:p>
            <w:pPr>
              <w:pStyle w:val="Compact"/>
              <w:ind w:firstLineChars="0" w:firstLine="0" w:startChars="104" w:endChars="83"/>
              <w:rPr/>
            </w:pPr>
            <w:r>
              <w:rPr>
                <w:lang w:val="ru-RU"/>
              </w:rPr>
              <w:t>​</w:t>
            </w:r>
            <w:r>
              <w:rPr>
                <w:b/>
                <w:bCs/>
                <w:lang w:val="ru-RU"/>
              </w:rPr>
              <w:t>Model Distillation</w:t>
            </w:r>
            <w:r>
              <w:rPr>
                <w:lang w:val="ru-RU"/>
              </w:rPr>
              <w:t>: Training simpler, more interpretable models to approximate the behavior of complex deep learning models[10].</w:t>
            </w:r>
          </w:p>
          <w:p>
            <w:pPr>
              <w:pStyle w:val="Compact"/>
              <w:ind w:firstLineChars="0" w:firstLine="0" w:startChars="104" w:endChars="83"/>
              <w:rPr/>
            </w:pPr>
            <w:r>
              <w:rPr>
                <w:lang w:val="ru-RU"/>
              </w:rPr>
              <w:t>​</w:t>
            </w:r>
            <w:r>
              <w:rPr>
                <w:b/>
                <w:bCs/>
                <w:lang w:val="ru-RU"/>
              </w:rPr>
              <w:t>Feature Importance Analysis</w:t>
            </w:r>
            <w:r>
              <w:rPr>
                <w:lang w:val="ru-RU"/>
              </w:rPr>
              <w:t>: Methods like SHAP(SHapley Additive exPlanations) and LIME(Local Interpretable Model-agnostic Explanations) that provide post-hoc explanations for individual predictions.</w:t>
            </w:r>
          </w:p>
          <w:p>
            <w:pPr>
              <w:pStyle w:val="Compact"/>
              <w:ind w:firstLineChars="0" w:firstLine="0" w:startChars="104" w:endChars="83"/>
              <w:rPr>
                <w:lang w:val="ru-RU"/>
              </w:rPr>
            </w:pPr>
            <w:r>
              <w:rPr>
                <w:lang w:val="ru-RU"/>
              </w:rPr>
            </w:r>
          </w:p>
          <w:p>
            <w:pPr>
              <w:pStyle w:val="Compact"/>
              <w:ind w:firstLineChars="0" w:firstLine="0" w:startChars="104" w:endChars="83"/>
              <w:rPr>
                <w:lang w:val="ru-RU"/>
              </w:rPr>
            </w:pPr>
            <w:r>
              <w:rPr>
                <w:lang w:val="ru-RU"/>
              </w:rPr>
            </w:r>
          </w:p>
          <w:p>
            <w:pPr>
              <w:pStyle w:val="Compact"/>
              <w:ind w:firstLineChars="0" w:firstLine="0" w:startChars="104" w:endChars="83"/>
              <w:rPr>
                <w:b/>
                <w:bCs/>
                <w:sz w:val="24"/>
                <w:szCs w:val="24"/>
                <w:lang w:val="ru-RU"/>
              </w:rPr>
            </w:pPr>
            <w:r>
              <w:rPr>
                <w:b/>
                <w:bCs/>
                <w:sz w:val="24"/>
                <w:szCs w:val="24"/>
                <w:lang w:val="ru-RU"/>
              </w:rPr>
              <w:t>2.4 Limitations of Current Research</w:t>
            </w:r>
          </w:p>
          <w:p>
            <w:pPr>
              <w:pStyle w:val="Compact"/>
              <w:ind w:firstLineChars="0" w:firstLine="0" w:startChars="104" w:endChars="83"/>
              <w:rPr/>
            </w:pPr>
            <w:r>
              <w:rPr>
                <w:lang w:val="ru-RU"/>
              </w:rPr>
              <w:t>Although research on log-based failure prediction has progressed rapidly, several key limitations remain. Most existing studies place primary emphasis on predictive accuracy rather than model interpretability, which limits their practical use in real operational environments. Many models show weak generalization to previously unseen failure patterns, making them less reliable in dynamic data center settings. There is also a lack of unified hybrid architectures that effectively combine CNN, RNN or Transformer components with attention mechanisms specifically for log-based failure prediction.</w:t>
            </w:r>
          </w:p>
          <w:p>
            <w:pPr>
              <w:pStyle w:val="Compact"/>
              <w:ind w:firstLineChars="0" w:firstLine="0" w:startChars="104" w:endChars="83"/>
              <w:rPr>
                <w:lang w:val="ru-RU"/>
              </w:rPr>
            </w:pPr>
            <w:r>
              <w:rPr>
                <w:lang w:val="ru-RU"/>
              </w:rPr>
              <w:t>Furthermore, the majority of current work focuses on anomaly detection rather than proactive failure forecasting, which is essential for timely intervention. Finally, the field lacks standardized public benchmarks and comprehensive evaluation frameworks for assessing proactive prediction capabilities across different datasets and environments. These research gaps highlight the necessity for developing interpretable, generalizable, and efficient hybrid models that can provide reliable early failure warnings in large-scale data centers.</w:t>
            </w:r>
          </w:p>
          <w:p>
            <w:pPr>
              <w:pStyle w:val="Compact"/>
              <w:ind w:firstLineChars="0" w:firstLine="0" w:startChars="104" w:endChars="83"/>
              <w:rPr>
                <w:lang w:val="ru-RU"/>
              </w:rPr>
            </w:pPr>
            <w:r>
              <w:rPr>
                <w:lang w:val="ru-RU"/>
              </w:rPr>
            </w:r>
          </w:p>
          <w:p>
            <w:pPr>
              <w:pStyle w:val="Compact"/>
              <w:ind w:firstLineChars="0" w:firstLine="0" w:startChars="104" w:endChars="83"/>
              <w:rPr>
                <w:lang w:val="ru-RU"/>
              </w:rPr>
            </w:pPr>
            <w:r>
              <w:rPr>
                <w:lang w:val="ru-RU"/>
              </w:rPr>
            </w:r>
          </w:p>
          <w:p>
            <w:pPr>
              <w:pStyle w:val="Compact"/>
              <w:ind w:firstLineChars="0" w:firstLine="0" w:startChars="104" w:endChars="83"/>
              <w:rPr>
                <w:b/>
                <w:bCs/>
                <w:sz w:val="24"/>
                <w:szCs w:val="24"/>
                <w:lang w:val="ru-RU"/>
              </w:rPr>
            </w:pPr>
            <w:r>
              <w:rPr>
                <w:b/>
                <w:bCs/>
                <w:sz w:val="24"/>
                <w:szCs w:val="24"/>
                <w:lang w:val="ru-RU"/>
              </w:rPr>
              <w:t>3. Methodology and Roadmap</w:t>
            </w:r>
          </w:p>
          <w:p>
            <w:pPr>
              <w:pStyle w:val="Compact"/>
              <w:ind w:firstLineChars="0" w:firstLine="0" w:startChars="104" w:endChars="83"/>
              <w:rPr/>
            </w:pPr>
            <w:r>
              <w:rPr>
                <w:lang w:val="ru-RU"/>
              </w:rPr>
              <w:t>The methodology of this research is designed to develop, validate, and evaluate a log-based hybrid deep learning framework for predicting failures in data centers. The overall workflow consists of three main phases: data preparation and log preprocessing, model design and training, and evaluation and validation. Each phase builds upon the previous one to ensure methodological rigor, reproducibility, and practical relevance.</w:t>
            </w:r>
          </w:p>
          <w:p>
            <w:pPr>
              <w:pStyle w:val="Compact"/>
              <w:ind w:firstLineChars="0" w:firstLine="0" w:startChars="104" w:endChars="83"/>
              <w:rPr/>
            </w:pPr>
            <w:r>
              <w:rPr>
                <w:lang w:val="ru-RU"/>
              </w:rPr>
              <w:t>The first stage focuses on understanding and processing system logs collected from data-center environments. Since logs are unstructured textual records that reflect the operational behavior of hardware and software components, transforming them into structured, machine-readable sequences is an essential step. This study will utilize established log parsing techniques, such as Drain and Spell, to extract templates and construct event sequences. The objective of this step is to represent log messages as structured patterns that capture both content and temporal order. Data cleaning, time-window segmentation, and normalization will be applied to remove noise and prepare consistent input for deep learning models. Publicly available datasets such as HDFS, BGL, and LogHub Linux will be selected for experimentation, ensuring accessibility and comparability with existing research.</w:t>
            </w:r>
          </w:p>
          <w:p>
            <w:pPr>
              <w:pStyle w:val="Compact"/>
              <w:ind w:firstLineChars="0" w:firstLine="0" w:startChars="104" w:endChars="83"/>
              <w:rPr/>
            </w:pPr>
            <w:r>
              <w:rPr>
                <w:lang w:val="ru-RU"/>
              </w:rPr>
              <w:t>In the second stage, the research will focus on designing a hybrid deep learning architecture capable of learning both local and long-range temporal dependencies in log sequences. The proposed framework will combine convolutional layers for local feature extraction, recurrent or transformer-based layers for sequential modeling, and attention mechanisms for identifying critical patterns associated with potential failures. Convolutional neural networks will capture short-term and repetitive log patterns, while bidirectional recurrent layers such as BiLSTM or GRU will model the evolution of system states over time. The attention mechanism will further enhance interpretability by highlighting the most relevant log events that influence the model’s predictions. The combination of these components will form a unified architecture that can effectively learn complex relationships across time and scale.</w:t>
            </w:r>
          </w:p>
          <w:p>
            <w:pPr>
              <w:pStyle w:val="Compact"/>
              <w:ind w:firstLineChars="0" w:firstLine="0" w:startChars="104" w:endChars="83"/>
              <w:rPr/>
            </w:pPr>
            <w:r>
              <w:rPr>
                <w:lang w:val="ru-RU"/>
              </w:rPr>
              <w:t>The third stage will involve training and evaluating the hybrid model. Training will be performed on labeled log datasets containing both normal and failure-related events. Since failures are relatively rare, techniques such as data balancing, oversampling, or anomaly-oriented training objectives may be used to address class imbalance. The model will be trained to predict failure likelihood or anomaly scores for future time windows, enabling proactive intervention before system breakdowns occur. The performance will be evaluated using standard metrics such as Precision, Recall, F1-Score, and ROC-AUC, while additional measures like early-warning accuracy will assess the timeliness of predictions.</w:t>
            </w:r>
          </w:p>
          <w:p>
            <w:pPr>
              <w:pStyle w:val="Compact"/>
              <w:ind w:firstLineChars="0" w:firstLine="0" w:startChars="104" w:endChars="83"/>
              <w:rPr/>
            </w:pPr>
            <w:r>
              <w:rPr>
                <w:lang w:val="ru-RU"/>
              </w:rPr>
              <w:t>Interpretability is an integral part of the methodology. To ensure that model predictions are explainable and actionable, visualization techniques based on attention weights and template-level importance will be developed. These explanations will help operators understand which log events or patterns contributed to a prediction, improving model transparency and operator trust. Furthermore, the study will explore the use of post-hoc interpretability tools such as SHAP for additional insight into feature contributions.</w:t>
            </w:r>
          </w:p>
          <w:p>
            <w:pPr>
              <w:pStyle w:val="Compact"/>
              <w:ind w:firstLineChars="0" w:firstLine="0" w:startChars="104" w:endChars="83"/>
              <w:rPr>
                <w:lang w:val="ru-RU"/>
              </w:rPr>
            </w:pPr>
            <w:r>
              <w:rPr>
                <w:lang w:val="ru-RU"/>
              </w:rPr>
              <w:t>Finally, the research roadmap outlines the planned timeline and milestones for completing the study. The first phase, covering September to December 2025, will include dataset selection, log preprocessing, and the implementation of the baseline deep learning models. The second phase, from January to February 2026, will focus on the integration of interpretability mechanisms, advanced model tuning, and comparative experiments. The third phase, from March to May 2026, will synthesize the findings, complete the dissertation writing, and prepare for the defense. Through these stages, the research aims to produce a robust, interpretable, and scalable failure prediction framework that advances the state of the art in data-center reliability analysis.</w:t>
            </w:r>
          </w:p>
          <w:p>
            <w:pPr>
              <w:pStyle w:val="Compact"/>
              <w:ind w:firstLineChars="0" w:firstLine="0" w:startChars="104" w:endChars="83"/>
              <w:rPr>
                <w:lang w:val="ru-RU"/>
              </w:rPr>
            </w:pPr>
            <w:r>
              <w:rPr>
                <w:lang w:val="ru-RU"/>
              </w:rPr>
            </w:r>
          </w:p>
          <w:p>
            <w:pPr>
              <w:pStyle w:val="Compact"/>
              <w:ind w:firstLineChars="0" w:firstLine="0" w:startChars="104" w:endChars="83"/>
              <w:rPr>
                <w:lang w:val="ru-RU"/>
              </w:rPr>
            </w:pPr>
            <w:r>
              <w:rPr>
                <w:lang w:val="ru-RU"/>
              </w:rPr>
            </w:r>
          </w:p>
          <w:p>
            <w:pPr>
              <w:pStyle w:val="Compact"/>
              <w:ind w:firstLineChars="0" w:firstLine="0" w:startChars="104" w:endChars="83"/>
              <w:rPr>
                <w:b/>
                <w:bCs/>
                <w:sz w:val="24"/>
                <w:szCs w:val="24"/>
                <w:lang w:val="ru-RU"/>
              </w:rPr>
            </w:pPr>
            <w:r>
              <w:rPr>
                <w:b/>
                <w:bCs/>
                <w:sz w:val="24"/>
                <w:szCs w:val="24"/>
                <w:lang w:val="ru-RU"/>
              </w:rPr>
              <w:t>3.2 Technical Implementation Strategy</w:t>
            </w:r>
          </w:p>
          <w:p>
            <w:pPr>
              <w:pStyle w:val="Compact"/>
              <w:ind w:firstLineChars="0" w:firstLine="0" w:startChars="104" w:endChars="83"/>
              <w:rPr/>
            </w:pPr>
            <w:r>
              <w:rPr>
                <w:lang w:val="ru-RU"/>
              </w:rPr>
              <w:t>The research will develop and evaluate the proposed architecture through a comprehensive technical approach centered on an advanced data preprocessing pipeline. Building upon techniques from multiple established methodologies, this pipeline will incorporate sophisticated log parsing using methods like Spell or Drain to convert unstructured logs into structured sequences suitable for machine learning analysis. Feature engineering will extract meaningful patterns from raw metrics and logs, while data augmentation techniques will generate synthetic failure scenarios to address the inherent class imbalance in failure prediction datasets. Normalization procedures will standardize data distributions across different metrics and time scales, ensuring consistent processing of heterogeneous data sources.</w:t>
            </w:r>
          </w:p>
          <w:p>
            <w:pPr>
              <w:pStyle w:val="Compact"/>
              <w:ind w:firstLineChars="0" w:firstLine="0" w:startChars="104" w:endChars="83"/>
              <w:rPr/>
            </w:pPr>
            <w:r>
              <w:rPr>
                <w:lang w:val="ru-RU"/>
              </w:rPr>
              <w:t>The model architecture design will integrate components proven effective in previous research while introducing novel combinations and enhancements. Bidirectional LSTM layers will capture both past and future context, providing comprehensive temporal understanding. Convolutional layers will detect local patterns and anomalies within specific time windows, while attention mechanisms will provide interpretable feature weighting that reveals model reasoning processes. Multi-head attention approaches will capture different aspects of temporal dependencies, enabling the model to recognize various types of failure precursors across different time scales and system components.</w:t>
            </w:r>
          </w:p>
          <w:p>
            <w:pPr>
              <w:pStyle w:val="Compact"/>
              <w:ind w:firstLineChars="0" w:firstLine="0" w:startChars="104" w:endChars="83"/>
              <w:rPr>
                <w:lang w:val="ru-RU"/>
              </w:rPr>
            </w:pPr>
            <w:r>
              <w:rPr>
                <w:lang w:val="ru-RU"/>
              </w:rPr>
              <w:t>The training strategy will employ a phased approach that maximizes learning efficiency and model performance. Unsupervised pre-training using autoencoders will learn general patterns from unlabeled data, establishing a foundational understanding of normal system behavior. Supervised fine-tuning will then train the model on labeled failure data with appropriate loss functions that balance precision and recall according to operational requirements. Transfer learning techniques will leverage models pretrained on similar datasets when available, accelerating training and improving generalization across different cloud environments.</w:t>
            </w:r>
          </w:p>
          <w:p>
            <w:pPr>
              <w:pStyle w:val="Compact"/>
              <w:ind w:firstLineChars="0" w:firstLine="0" w:startChars="104" w:endChars="83"/>
              <w:rPr>
                <w:lang w:val="ru-RU"/>
              </w:rPr>
            </w:pPr>
            <w:r>
              <w:rPr>
                <w:lang w:val="ru-RU"/>
              </w:rPr>
            </w:r>
          </w:p>
          <w:p>
            <w:pPr>
              <w:pStyle w:val="Compact"/>
              <w:ind w:firstLineChars="0" w:firstLine="0" w:startChars="104" w:endChars="83"/>
              <w:rPr>
                <w:lang w:val="ru-RU"/>
              </w:rPr>
            </w:pPr>
            <w:r>
              <w:rPr>
                <w:lang w:val="ru-RU"/>
              </w:rPr>
            </w:r>
          </w:p>
          <w:p>
            <w:pPr>
              <w:pStyle w:val="Compact"/>
              <w:ind w:firstLineChars="0" w:firstLine="0" w:startChars="104" w:endChars="83"/>
              <w:rPr>
                <w:b/>
                <w:bCs/>
                <w:sz w:val="24"/>
                <w:szCs w:val="24"/>
                <w:lang w:val="ru-RU"/>
              </w:rPr>
            </w:pPr>
            <w:r>
              <w:rPr>
                <w:b/>
                <w:bCs/>
                <w:sz w:val="24"/>
                <w:szCs w:val="24"/>
                <w:lang w:val="ru-RU"/>
              </w:rPr>
              <w:t>4. Innovations and Challenges</w:t>
            </w:r>
          </w:p>
          <w:p>
            <w:pPr>
              <w:pStyle w:val="Compact"/>
              <w:ind w:firstLineChars="0" w:firstLine="0" w:startChars="104" w:endChars="83"/>
              <w:rPr>
                <w:b/>
                <w:bCs/>
                <w:sz w:val="24"/>
                <w:szCs w:val="24"/>
                <w:lang w:val="ru-RU"/>
              </w:rPr>
            </w:pPr>
            <w:r>
              <w:rPr>
                <w:b/>
                <w:bCs/>
                <w:sz w:val="24"/>
                <w:szCs w:val="24"/>
                <w:lang w:val="ru-RU"/>
              </w:rPr>
              <w:t>4.1 Key Innovations</w:t>
            </w:r>
          </w:p>
          <w:p>
            <w:pPr>
              <w:pStyle w:val="Compact"/>
              <w:ind w:firstLineChars="0" w:firstLine="0" w:startChars="104" w:endChars="83"/>
              <w:rPr/>
            </w:pPr>
            <w:r>
              <w:rPr>
                <w:lang w:val="ru-RU"/>
              </w:rPr>
              <w:t>This research introduces several innovative contributions to the field of data-center failure prediction, both in methodological design and in practical applicability. The primary innovation lies in the development of a log-oriented hybrid deep learning framework that integrates multiple neural network components in a unified architecture. Unlike conventional models that rely on a single approach, such as recurrent or convolutional layers alone, the proposed framework combines convolutional, recurrent, and attention-based mechanisms to effectively capture diverse temporal and contextual dependencies in system logs. This multi-level learning process allows the model to identify subtle event patterns that precede failures and to represent complex system dynamics that are typically overlooked by traditional or single-model methods.</w:t>
            </w:r>
          </w:p>
          <w:p>
            <w:pPr>
              <w:pStyle w:val="Compact"/>
              <w:ind w:firstLineChars="0" w:firstLine="0" w:startChars="104" w:endChars="83"/>
              <w:rPr/>
            </w:pPr>
            <w:r>
              <w:rPr>
                <w:lang w:val="ru-RU"/>
              </w:rPr>
              <w:t>Another key innovation is the built-in interpretability embedded directly into the model architecture. Instead of treating interpretability as an external or post-processing step, the proposed framework incorporates attention-based explanation mechanisms and template-level contribution analysis within the model itself. This enables the system to not only predict potential failures but also to explain which log patterns, time segments, or event types were most influential in the decision-making process. Such integration of interpretability supports transparency and practical adoption in real data-center environments, where engineers must understand the reasoning behind each predictive alert.</w:t>
            </w:r>
          </w:p>
          <w:p>
            <w:pPr>
              <w:pStyle w:val="Compact"/>
              <w:ind w:firstLineChars="0" w:firstLine="0" w:startChars="104" w:endChars="83"/>
              <w:rPr/>
            </w:pPr>
            <w:r>
              <w:rPr>
                <w:lang w:val="ru-RU"/>
              </w:rPr>
              <w:t>A further contribution of this work is the emphasis on proactive failure forecasting rather than simple anomaly detection. Most previous studies have focused on identifying anomalies after they occur, which limits the time available for mitigation. In contrast, the proposed research aims to detect early warning signals embedded in log sequences, providing operators with predictive insights that allow preventive maintenance and resource reallocation before service degradation or outages take place. This proactive perspective aligns with the operational goals of modern data centers, which prioritize reliability, availability, and minimal downtime.</w:t>
            </w:r>
          </w:p>
          <w:p>
            <w:pPr>
              <w:pStyle w:val="Compact"/>
              <w:ind w:firstLineChars="0" w:firstLine="0" w:startChars="104" w:endChars="83"/>
              <w:rPr/>
            </w:pPr>
            <w:r>
              <w:rPr>
                <w:lang w:val="ru-RU"/>
              </w:rPr>
              <w:t>The research also introduces a structured evaluation framework that includes both quantitative and qualitative measures of model performance. Beyond standard metrics such as Precision, Recall, and F1-Score, the evaluation will incorporate interpretability metrics, including explanation faithfulness and coverage, to assess the reliability of the model’s reasoning process. These additional evaluation dimensions ensure a balanced assessment of both predictive accuracy and practical usability.</w:t>
            </w:r>
          </w:p>
          <w:p>
            <w:pPr>
              <w:pStyle w:val="Compact"/>
              <w:ind w:firstLineChars="0" w:firstLine="0" w:startChars="104" w:endChars="83"/>
              <w:rPr>
                <w:lang w:val="ru-RU"/>
              </w:rPr>
            </w:pPr>
            <w:r>
              <w:rPr>
                <w:lang w:val="ru-RU"/>
              </w:rPr>
            </w:r>
          </w:p>
          <w:p>
            <w:pPr>
              <w:pStyle w:val="Compact"/>
              <w:ind w:firstLineChars="0" w:firstLine="0" w:startChars="104" w:endChars="83"/>
              <w:rPr>
                <w:lang w:val="ru-RU"/>
              </w:rPr>
            </w:pPr>
            <w:r>
              <w:rPr>
                <w:lang w:val="ru-RU"/>
              </w:rPr>
            </w:r>
          </w:p>
          <w:p>
            <w:pPr>
              <w:pStyle w:val="Compact"/>
              <w:ind w:firstLineChars="0" w:firstLine="0" w:startChars="104" w:endChars="83"/>
              <w:rPr>
                <w:b/>
                <w:bCs/>
                <w:sz w:val="24"/>
                <w:szCs w:val="24"/>
                <w:lang w:val="ru-RU"/>
              </w:rPr>
            </w:pPr>
            <w:r>
              <w:rPr>
                <w:b/>
                <w:bCs/>
                <w:sz w:val="24"/>
                <w:szCs w:val="24"/>
                <w:lang w:val="ru-RU"/>
              </w:rPr>
              <w:t>4.2 Technical Challenges</w:t>
            </w:r>
          </w:p>
          <w:p>
            <w:pPr>
              <w:pStyle w:val="Compact"/>
              <w:ind w:firstLineChars="0" w:firstLine="0" w:startChars="104" w:endChars="83"/>
              <w:rPr/>
            </w:pPr>
            <w:r>
              <w:rPr>
                <w:lang w:val="ru-RU"/>
              </w:rPr>
              <w:t>Despite its innovative potential, the research faces several technical and methodological challenges. One of the main challenges is data imbalance, since failure events are rare compared to normal operational logs. This imbalance can bias the learning process toward normal states, reducing the model’s sensitivity to early failure patterns. Another difficulty lies in handling heterogeneous and noisy log data collected from different systems and applications, which may vary in structure, vocabulary, and frequency. Developing a robust preprocessing pipeline that generalizes across such variability is a critical prerequisite for the success of the framework.</w:t>
            </w:r>
          </w:p>
          <w:p>
            <w:pPr>
              <w:pStyle w:val="Compact"/>
              <w:ind w:firstLineChars="0" w:firstLine="0" w:startChars="104" w:endChars="83"/>
              <w:rPr/>
            </w:pPr>
            <w:r>
              <w:rPr>
                <w:lang w:val="ru-RU"/>
              </w:rPr>
              <w:t>Concept drift represents another significant challenge. In real-world data centers, system configurations, workloads, and software versions change continuously, leading to evolving log patterns over time. A static model trained on historical data may therefore lose accuracy as the environment evolves. Addressing this issue requires mechanisms for adaptive learning and incremental model updates. Additionally, ensuring that interpretability mechanisms produce faithful and consistent explanations remains an open research problem. The explanations generated by attention or attribution methods must accurately reflect the true internal decision logic of the model rather than providing coincidental correlations.</w:t>
            </w:r>
          </w:p>
          <w:p>
            <w:pPr>
              <w:pStyle w:val="Compact"/>
              <w:ind w:firstLineChars="0" w:firstLine="0" w:startChars="104" w:endChars="83"/>
              <w:rPr/>
            </w:pPr>
            <w:r>
              <w:rPr>
                <w:lang w:val="ru-RU"/>
              </w:rPr>
              <w:t>Finally, computational efficiency is an important practical consideration. Deep learning models with multiple components can be computationally intensive, and their deployment in real-time data-center environments demands low latency and scalable performance. Balancing predictive accuracy, interpretability, and efficiency will require careful architectural and implementation choices.</w:t>
            </w:r>
          </w:p>
          <w:p>
            <w:pPr>
              <w:pStyle w:val="Compact"/>
              <w:ind w:firstLineChars="0" w:firstLine="0" w:startChars="104" w:endChars="83"/>
              <w:rPr/>
            </w:pPr>
            <w:r>
              <w:rPr>
                <w:lang w:val="ru-RU"/>
              </w:rPr>
              <w:t>Overall, this research seeks to overcome these challenges through methodological rigor, data-driven experimentation, and the development of novel techniques that enhance both the performance and transparency of failure prediction models. The successful completion of this work is expected to contribute a robust, interpretable, and proactive solution for improving reliability and fault management in modern data centers.</w:t>
            </w:r>
          </w:p>
          <w:p>
            <w:pPr>
              <w:pStyle w:val="Compact"/>
              <w:ind w:firstLineChars="0" w:firstLine="0" w:startChars="0" w:start="0" w:endChars="83"/>
              <w:rPr>
                <w:lang w:val="ru-RU"/>
              </w:rPr>
            </w:pPr>
            <w:r>
              <w:rPr>
                <w:lang w:val="ru-RU"/>
              </w:rPr>
            </w:r>
          </w:p>
          <w:p>
            <w:pPr>
              <w:pStyle w:val="Compact"/>
              <w:ind w:firstLineChars="0" w:firstLine="0" w:startChars="0" w:start="0" w:endChars="83"/>
              <w:rPr>
                <w:lang w:val="ru-RU"/>
              </w:rPr>
            </w:pPr>
            <w:r>
              <w:rPr>
                <w:lang w:val="ru-RU"/>
              </w:rPr>
            </w:r>
          </w:p>
          <w:p>
            <w:pPr>
              <w:pStyle w:val="Compact"/>
              <w:ind w:firstLineChars="0" w:firstLine="0" w:startChars="104" w:endChars="83"/>
              <w:rPr>
                <w:b/>
                <w:bCs/>
                <w:sz w:val="24"/>
                <w:szCs w:val="24"/>
                <w:lang w:val="ru-RU"/>
              </w:rPr>
            </w:pPr>
            <w:r>
              <w:rPr>
                <w:b/>
                <w:bCs/>
                <w:sz w:val="24"/>
                <w:szCs w:val="24"/>
                <w:lang w:val="ru-RU"/>
              </w:rPr>
              <w:t>5. Current Progress</w:t>
            </w:r>
          </w:p>
          <w:p>
            <w:pPr>
              <w:pStyle w:val="Compact"/>
              <w:ind w:firstLineChars="0" w:firstLine="0" w:startChars="104" w:endChars="83"/>
              <w:rPr>
                <w:lang w:val="ru-RU"/>
              </w:rPr>
            </w:pPr>
            <w:r>
              <w:rPr>
                <w:lang w:val="ru-RU"/>
              </w:rPr>
              <w:t>Preliminary work has been conducted in several areas relevant to this research:</w:t>
            </w:r>
          </w:p>
          <w:p>
            <w:pPr>
              <w:pStyle w:val="Compact"/>
              <w:ind w:firstLineChars="0" w:firstLine="0" w:startChars="104" w:endChars="83"/>
              <w:rPr/>
            </w:pPr>
            <w:r>
              <w:rPr>
                <w:lang w:val="ru-RU"/>
              </w:rPr>
              <w:t>​</w:t>
            </w:r>
            <w:r>
              <w:rPr>
                <w:b/>
                <w:bCs/>
                <w:lang w:val="ru-RU"/>
              </w:rPr>
              <w:t>Literature Review</w:t>
            </w:r>
            <w:r>
              <w:rPr>
                <w:lang w:val="ru-RU"/>
              </w:rPr>
              <w:t>: A comprehensive review of papers in cloud failure prediction has been completed, identifying gaps in current approaches and opportunities for innovation.</w:t>
            </w:r>
          </w:p>
          <w:p>
            <w:pPr>
              <w:pStyle w:val="Compact"/>
              <w:ind w:firstLineChars="0" w:firstLine="0" w:startChars="104" w:endChars="83"/>
              <w:rPr>
                <w:lang w:val="ru-RU"/>
              </w:rPr>
            </w:pPr>
            <w:r>
              <w:rPr>
                <w:lang w:val="ru-RU"/>
              </w:rPr>
              <w:t>​</w:t>
            </w:r>
            <w:r>
              <w:rPr>
                <w:b/>
                <w:bCs/>
                <w:lang w:val="ru-RU"/>
              </w:rPr>
              <w:t>Interpretability Methods Exploration</w:t>
            </w:r>
            <w:r>
              <w:rPr>
                <w:lang w:val="ru-RU"/>
              </w:rPr>
              <w:t>: Initial experiments with attention mechanisms and feature importance methods have been conducted to understand their applicability to failure prediction scenarios.</w:t>
            </w:r>
          </w:p>
          <w:p>
            <w:pPr>
              <w:pStyle w:val="Compact"/>
              <w:ind w:firstLineChars="0" w:firstLine="0" w:startChars="104" w:endChars="83"/>
              <w:rPr>
                <w:lang w:val="ru-RU"/>
              </w:rPr>
            </w:pPr>
            <w:r>
              <w:rPr>
                <w:lang w:val="ru-RU"/>
              </w:rPr>
            </w:r>
          </w:p>
          <w:p>
            <w:pPr>
              <w:pStyle w:val="Compact"/>
              <w:ind w:firstLineChars="0" w:firstLine="0" w:startChars="104" w:endChars="83"/>
              <w:rPr>
                <w:lang w:val="ru-RU"/>
              </w:rPr>
            </w:pPr>
            <w:r>
              <w:rPr>
                <w:lang w:val="ru-RU"/>
              </w:rPr>
            </w:r>
          </w:p>
          <w:p>
            <w:pPr>
              <w:pStyle w:val="Compact"/>
              <w:ind w:firstLineChars="0" w:firstLine="0" w:startChars="104" w:endChars="83"/>
              <w:rPr>
                <w:b/>
                <w:bCs/>
                <w:sz w:val="24"/>
                <w:szCs w:val="24"/>
                <w:lang w:val="ru-RU"/>
              </w:rPr>
            </w:pPr>
            <w:r>
              <w:rPr>
                <w:b/>
                <w:bCs/>
                <w:sz w:val="24"/>
                <w:szCs w:val="24"/>
                <w:lang w:val="ru-RU"/>
              </w:rPr>
              <w:t>6. Dissertation Plan​</w:t>
            </w:r>
          </w:p>
          <w:p>
            <w:pPr>
              <w:pStyle w:val="Compact"/>
              <w:ind w:firstLineChars="0" w:firstLine="0" w:startChars="104" w:endChars="83"/>
              <w:rPr/>
            </w:pPr>
            <w:r>
              <w:rPr>
                <w:lang w:val="ru-RU"/>
              </w:rPr>
              <w:t>​</w:t>
            </w:r>
            <w:r>
              <w:rPr>
                <w:b/>
                <w:bCs/>
                <w:lang w:val="ru-RU"/>
              </w:rPr>
              <w:t>September 2025 – December 2025: Chapter 1 (</w:t>
            </w:r>
            <w:r>
              <w:rPr>
                <w:b/>
                <w:bCs/>
              </w:rPr>
              <w:t>Dataset Preparation and Baseline Development</w:t>
            </w:r>
            <w:r>
              <w:rPr>
                <w:b/>
                <w:bCs/>
                <w:lang w:val="ru-RU"/>
              </w:rPr>
              <w:t>)​</w:t>
            </w:r>
            <w:r>
              <w:rPr>
                <w:lang w:val="ru-RU"/>
              </w:rPr>
              <w:t>​</w:t>
            </w:r>
          </w:p>
          <w:p>
            <w:pPr>
              <w:pStyle w:val="Compact"/>
              <w:ind w:firstLineChars="0" w:firstLine="0" w:startChars="104" w:endChars="83"/>
              <w:rPr>
                <w:lang w:val="ru-RU"/>
              </w:rPr>
            </w:pPr>
            <w:r>
              <w:rPr/>
              <w:t>Focus on data collection and preprocessing from public log-based datasets such as HDFS, BGL, and LogHub Linux. Construct the log parsing and template extraction pipeline using Drain or Spell. Design and implement baseline models, including traditional statistical and machine learning approaches (e.g., Random Forest, SVM) and the initial deep learning baselines (LSTM, GRU). Establish data preprocessing standards and define evaluation metrics for later experiments.</w:t>
              <w:br/>
              <w:t>Conduct a literature review extension and finalize the theoretical framework for the hybrid deep learning architecture. By the end of this stage, prepare a preliminary report outlining dataset statistics, baseline results, and identified challenges for further optimization.</w:t>
            </w:r>
          </w:p>
          <w:p>
            <w:pPr>
              <w:pStyle w:val="Compact"/>
              <w:ind w:firstLineChars="0" w:firstLine="0" w:startChars="104" w:endChars="83"/>
              <w:rPr>
                <w:lang w:val="ru-RU"/>
              </w:rPr>
            </w:pPr>
            <w:r>
              <w:rPr>
                <w:lang w:val="ru-RU"/>
              </w:rPr>
              <w:t>​</w:t>
            </w:r>
            <w:r>
              <w:rPr>
                <w:b/>
                <w:bCs/>
                <w:lang w:val="ru-RU"/>
              </w:rPr>
              <w:t>Milestone:​</w:t>
            </w:r>
            <w:r>
              <w:rPr>
                <w:lang w:val="ru-RU"/>
              </w:rPr>
              <w:t xml:space="preserve">​ </w:t>
            </w:r>
            <w:r>
              <w:rPr/>
              <w:t>Complete dataset preprocessing and baseline evaluation with F1-Score ≥ 0.80; finalize the architecture design plan for the hybrid deep learning framework.</w:t>
            </w:r>
          </w:p>
          <w:p>
            <w:pPr>
              <w:pStyle w:val="Compact"/>
              <w:ind w:firstLineChars="0" w:firstLine="0" w:startChars="104" w:endChars="83"/>
              <w:rPr/>
            </w:pPr>
            <w:r>
              <w:rPr>
                <w:lang w:val="ru-RU"/>
              </w:rPr>
              <w:t>​</w:t>
            </w:r>
            <w:r>
              <w:rPr>
                <w:b/>
                <w:bCs/>
                <w:lang w:val="ru-RU"/>
              </w:rPr>
              <w:t xml:space="preserve">January 2026 – February 2026: Chapter 2 (Interpretability &amp; </w:t>
            </w:r>
            <w:r>
              <w:rPr>
                <w:b/>
                <w:bCs/>
              </w:rPr>
              <w:t>Model Implementation</w:t>
            </w:r>
            <w:r>
              <w:rPr>
                <w:b/>
                <w:bCs/>
                <w:lang w:val="ru-RU"/>
              </w:rPr>
              <w:t>)​</w:t>
            </w:r>
            <w:r>
              <w:rPr>
                <w:lang w:val="ru-RU"/>
              </w:rPr>
              <w:t>​</w:t>
            </w:r>
          </w:p>
          <w:p>
            <w:pPr>
              <w:pStyle w:val="Compact"/>
              <w:ind w:firstLineChars="0" w:firstLine="0" w:startChars="104" w:endChars="83"/>
              <w:rPr>
                <w:lang w:val="ru-RU"/>
              </w:rPr>
            </w:pPr>
            <w:r>
              <w:rPr/>
              <w:t>Implement the hybrid deep learning model that integrates CNN, BiLSTM, and attention mechanisms for log-based failure prediction. Optimize model hyperparameters and conduct experiments on temporal dependencies and event embedding strategies. Develop interpretability modules to highlight important log templates and event sequences through attention visualization and template-level attribution analysis.</w:t>
              <w:br/>
              <w:t>Perform comparative experiments with existing models such as DeepLog, LogBERT, and LogGPT to validate the performance and interpretability of the proposed framework. Document all experiment results and analyze model robustness and generalization on unseen log patterns.</w:t>
            </w:r>
          </w:p>
          <w:p>
            <w:pPr>
              <w:pStyle w:val="Compact"/>
              <w:ind w:firstLineChars="0" w:firstLine="0" w:startChars="104" w:endChars="83"/>
              <w:rPr>
                <w:lang w:val="ru-RU"/>
              </w:rPr>
            </w:pPr>
            <w:r>
              <w:rPr>
                <w:lang w:val="ru-RU"/>
              </w:rPr>
              <w:t>​</w:t>
            </w:r>
            <w:r>
              <w:rPr>
                <w:b/>
                <w:bCs/>
                <w:lang w:val="ru-RU"/>
              </w:rPr>
              <w:t>Milestone:​</w:t>
            </w:r>
            <w:r>
              <w:rPr>
                <w:lang w:val="ru-RU"/>
              </w:rPr>
              <w:t xml:space="preserve">​ </w:t>
            </w:r>
            <w:r>
              <w:rPr/>
              <w:t>Achieve a predictive model with F1-Score ≥ 0.85 and attention-based interpretability that demonstrates superior transparency over baseline methods.</w:t>
            </w:r>
          </w:p>
          <w:p>
            <w:pPr>
              <w:pStyle w:val="Compact"/>
              <w:ind w:firstLineChars="0" w:firstLine="0" w:startChars="104" w:endChars="83"/>
              <w:rPr/>
            </w:pPr>
            <w:r>
              <w:rPr>
                <w:lang w:val="ru-RU"/>
              </w:rPr>
              <w:t>​</w:t>
            </w:r>
            <w:r>
              <w:rPr>
                <w:b/>
                <w:bCs/>
                <w:lang w:val="ru-RU"/>
              </w:rPr>
              <w:t>March 2026 – May 2026: Chapter 3 (</w:t>
            </w:r>
            <w:r>
              <w:rPr>
                <w:b/>
                <w:bCs/>
              </w:rPr>
              <w:t>Comprehensive Evaluation</w:t>
            </w:r>
            <w:r>
              <w:rPr>
                <w:b/>
                <w:bCs/>
                <w:lang w:val="ru-RU"/>
              </w:rPr>
              <w:t>, Writing &amp; Defense)​</w:t>
            </w:r>
            <w:r>
              <w:rPr>
                <w:lang w:val="ru-RU"/>
              </w:rPr>
              <w:t>​</w:t>
            </w:r>
          </w:p>
          <w:p>
            <w:pPr>
              <w:pStyle w:val="Compact"/>
              <w:ind w:firstLineChars="0" w:firstLine="0" w:startChars="104" w:endChars="83"/>
              <w:rPr>
                <w:lang w:val="ru-RU"/>
              </w:rPr>
            </w:pPr>
            <w:r>
              <w:rPr/>
              <w:t>Integrate findings from previous phases into a comprehensive evaluation framework. Analyze quantitative metrics such as Precision, Recall, ROC-AUC, and explanation faithfulness, along with qualitative interpretations of model outputs. Summarize the theoretical and experimental contributions, highlighting the advantages of the proposed hybrid deep learning approach for proactive data center failure prediction.</w:t>
              <w:br/>
              <w:t>Prepare the dissertation draft, revise based on supervisor feedback, and conduct multiple practice sessions for the defense presentation. Submit the final version of the thesis and complete the defense by the end of May 2026.</w:t>
            </w:r>
          </w:p>
          <w:p>
            <w:pPr>
              <w:pStyle w:val="Compact"/>
              <w:ind w:firstLineChars="0" w:firstLine="0" w:startChars="104" w:endChars="83"/>
              <w:rPr>
                <w:lang w:val="ru-RU"/>
              </w:rPr>
            </w:pPr>
            <w:r>
              <w:rPr>
                <w:lang w:val="ru-RU"/>
              </w:rPr>
              <w:t>​</w:t>
            </w:r>
            <w:r>
              <w:rPr>
                <w:b/>
                <w:bCs/>
                <w:lang w:val="ru-RU"/>
              </w:rPr>
              <w:t>Milestone:​</w:t>
            </w:r>
            <w:r>
              <w:rPr>
                <w:lang w:val="ru-RU"/>
              </w:rPr>
              <w:t>​ Complete the full dissertation draft and successfully defend the work by the end of May 2026.</w:t>
            </w:r>
          </w:p>
          <w:p>
            <w:pPr>
              <w:pStyle w:val="Compact"/>
              <w:ind w:firstLineChars="0" w:firstLine="0" w:startChars="0" w:start="0" w:endChars="83"/>
              <w:rPr>
                <w:lang w:val="ru-RU"/>
              </w:rPr>
            </w:pPr>
            <w:r>
              <w:rPr>
                <w:lang w:val="ru-RU"/>
              </w:rPr>
            </w:r>
          </w:p>
          <w:p>
            <w:pPr>
              <w:pStyle w:val="Compact"/>
              <w:ind w:firstLineChars="0" w:firstLine="0" w:startChars="0" w:start="0" w:endChars="83"/>
              <w:rPr>
                <w:lang w:val="ru-RU"/>
              </w:rPr>
            </w:pPr>
            <w:r>
              <w:rPr>
                <w:lang w:val="ru-RU"/>
              </w:rPr>
            </w:r>
          </w:p>
          <w:p>
            <w:pPr>
              <w:pStyle w:val="Compact"/>
              <w:ind w:firstLineChars="0" w:firstLine="0" w:startChars="104" w:endChars="83"/>
              <w:rPr>
                <w:b/>
                <w:bCs/>
                <w:sz w:val="24"/>
                <w:szCs w:val="24"/>
                <w:lang w:val="ru-RU"/>
              </w:rPr>
            </w:pPr>
            <w:r>
              <w:rPr>
                <w:b/>
                <w:bCs/>
                <w:sz w:val="24"/>
                <w:szCs w:val="24"/>
                <w:lang w:val="ru-RU"/>
              </w:rPr>
              <w:t>7. References</w:t>
            </w:r>
          </w:p>
          <w:p>
            <w:pPr>
              <w:pStyle w:val="Compact"/>
              <w:ind w:firstLineChars="0" w:firstLine="0" w:startChars="104" w:endChars="83"/>
              <w:rPr/>
            </w:pPr>
            <w:r>
              <w:rPr>
                <w:b/>
                <w:bCs/>
              </w:rPr>
              <w:t xml:space="preserve">[1] </w:t>
            </w:r>
            <w:r>
              <w:rPr>
                <w:lang w:val="ru-RU"/>
              </w:rPr>
              <w:t>Zhang, K., Xu, J., Min, M. R., Jiang, G., Pelechrinis, K., &amp; Zhang, H.(2016). Automated IT system failure prediction: A deep learning approach. In 2016 IEEE International Conference on Big Data(Big Data)(pp. 1291-1300).</w:t>
            </w:r>
          </w:p>
          <w:p>
            <w:pPr>
              <w:pStyle w:val="Compact"/>
              <w:ind w:firstLineChars="0" w:firstLine="0" w:startChars="104" w:endChars="83"/>
              <w:rPr/>
            </w:pPr>
            <w:r>
              <w:rPr>
                <w:b/>
                <w:bCs/>
              </w:rPr>
              <w:t xml:space="preserve">[2] </w:t>
            </w:r>
            <w:r>
              <w:rPr>
                <w:lang w:val="ru-RU"/>
              </w:rPr>
              <w:t>Wang, M., Xu, L., &amp; Guo, L.(2018). Anomaly Detection of System Logs Based on Natural Language Processing and Deep Learning. In 2018 4th International Conference on Frontiers of Signal Processing(ICFSP)(pp. 140-144).</w:t>
            </w:r>
          </w:p>
          <w:p>
            <w:pPr>
              <w:pStyle w:val="Compact"/>
              <w:ind w:firstLineChars="0" w:firstLine="0" w:startChars="104" w:endChars="83"/>
              <w:rPr>
                <w:lang w:val="ru-RU"/>
              </w:rPr>
            </w:pPr>
            <w:r>
              <w:rPr>
                <w:b/>
                <w:bCs/>
              </w:rPr>
              <w:t xml:space="preserve">[3] </w:t>
            </w:r>
            <w:r>
              <w:rPr/>
              <w:t>Jiang, Z., He, S., Chen, Z., Zhu, J., &amp; Ouyang, X. (2024). Loghub-2.0: A large-scale evaluation for log parsing techniques. In Proceedings of the 33rd International Symposium on Software Testing and Analysis (ISSTA 2024).</w:t>
            </w:r>
          </w:p>
          <w:p>
            <w:pPr>
              <w:pStyle w:val="Compact"/>
              <w:ind w:firstLineChars="0" w:firstLine="0" w:startChars="104" w:endChars="83"/>
              <w:rPr/>
            </w:pPr>
            <w:r>
              <w:rPr>
                <w:b/>
                <w:bCs/>
              </w:rPr>
              <w:t xml:space="preserve">[4] </w:t>
            </w:r>
            <w:r>
              <w:rPr>
                <w:lang w:val="ru-RU"/>
              </w:rPr>
              <w:t>Muchori, J. G., Kamau, G. N., &amp; Ndung'u, R.(2025). System Log Parameter Attributes for Predicting Software Failures: Systematic Literature Review. International Journal of Advanced Trends in Computer Science and Engineering, 14(3), 157-170.</w:t>
            </w:r>
          </w:p>
          <w:p>
            <w:pPr>
              <w:pStyle w:val="Compact"/>
              <w:ind w:firstLineChars="0" w:firstLine="0" w:startChars="104" w:endChars="83"/>
              <w:rPr/>
            </w:pPr>
            <w:r>
              <w:rPr>
                <w:b/>
                <w:bCs/>
              </w:rPr>
              <w:t xml:space="preserve">[5] </w:t>
            </w:r>
            <w:r>
              <w:rPr>
                <w:lang w:val="ru-RU"/>
              </w:rPr>
              <w:t>Nam, S., Yoo, J.-H., &amp; Hong, J. W.-K.(2022). VM Failure Prediction with Log Analysis using BERT-CNN Model. In 2022 18th International Conference on Network and Service Management(CNSM)- Mini Conference.</w:t>
            </w:r>
          </w:p>
          <w:p>
            <w:pPr>
              <w:pStyle w:val="Compact"/>
              <w:ind w:firstLineChars="0" w:firstLine="0" w:startChars="104" w:endChars="83"/>
              <w:rPr/>
            </w:pPr>
            <w:r>
              <w:rPr>
                <w:b/>
                <w:bCs/>
              </w:rPr>
              <w:t xml:space="preserve">[6] </w:t>
            </w:r>
            <w:r>
              <w:rPr>
                <w:lang w:val="ru-RU"/>
              </w:rPr>
              <w:t>Brown, A., Tuor, A., Hutchinson, B., &amp; Nichols, N.(2018). Recurrent neural network attention mechanisms for interpretable system log anomaly detection. In Proceedings of the 2018 ACM SIGSAC Conference on Computer and Communications Security(pp. 1-8).</w:t>
            </w:r>
          </w:p>
          <w:p>
            <w:pPr>
              <w:pStyle w:val="Compact"/>
              <w:ind w:firstLineChars="0" w:firstLine="0" w:startChars="104" w:endChars="83"/>
              <w:rPr/>
            </w:pPr>
            <w:r>
              <w:rPr>
                <w:b/>
                <w:bCs/>
              </w:rPr>
              <w:t xml:space="preserve">[7] </w:t>
            </w:r>
            <w:r>
              <w:rPr>
                <w:lang w:val="ru-RU"/>
              </w:rPr>
              <w:t>Afshinpour, B., Groz, R., &amp; Amini, M.-R.(2022). Correlating Test Events With Monitoring Logs For Test Log Reduction And Anomaly Prediction. In 2022 IEEE International Symposium on Software Reliability Engineering Workshops(ISSREW).</w:t>
            </w:r>
          </w:p>
          <w:p>
            <w:pPr>
              <w:pStyle w:val="Compact"/>
              <w:ind w:firstLineChars="0" w:firstLine="0" w:startChars="104" w:endChars="83"/>
              <w:rPr/>
            </w:pPr>
            <w:r>
              <w:rPr>
                <w:b/>
                <w:bCs/>
              </w:rPr>
              <w:t xml:space="preserve">[8] </w:t>
            </w:r>
            <w:r>
              <w:rPr>
                <w:lang w:val="ru-RU"/>
              </w:rPr>
              <w:t>Du, M., Li, F., Zheng, G., &amp; Srikumar, V.(2017). DeepLog: Anomaly detection and diagnosis from system logs through deep learning. In Proceedings of the 2017 ACM SIGSAC Conference on Computer and Communications Security(pp. 1285-1298).</w:t>
            </w:r>
          </w:p>
          <w:p>
            <w:pPr>
              <w:pStyle w:val="Compact"/>
              <w:ind w:firstLineChars="0" w:firstLine="0" w:startChars="104" w:endChars="83"/>
              <w:rPr/>
            </w:pPr>
            <w:r>
              <w:rPr>
                <w:b/>
                <w:bCs/>
              </w:rPr>
              <w:t xml:space="preserve">[9] </w:t>
            </w:r>
            <w:r>
              <w:rPr>
                <w:lang w:val="ru-RU"/>
              </w:rPr>
              <w:t>Yuan, H., Bi, J., Li, S., Zhang, J., &amp; Zhou, M.(2024). An Improved LSTM-Based Prediction Approach for Resources and Workload in Large-Scale Data Centers. IEEE Internet of Things Journal, 11(12), 22816-22829.</w:t>
            </w:r>
          </w:p>
          <w:p>
            <w:pPr>
              <w:pStyle w:val="Compact"/>
              <w:ind w:firstLineChars="0" w:firstLine="0" w:startChars="104" w:endChars="83"/>
              <w:rPr>
                <w:lang w:val="ru-RU"/>
              </w:rPr>
            </w:pPr>
            <w:r>
              <w:rPr>
                <w:b/>
                <w:bCs/>
              </w:rPr>
              <w:t xml:space="preserve">[10] </w:t>
            </w:r>
            <w:r>
              <w:rPr>
                <w:lang w:val="ru-RU"/>
              </w:rPr>
              <w:t>Yagoub, I., Khan, M. A., &amp; Jiyun, L.(2018). IT Equipment Monitoring and Analyzing System for Forecasting and Detecting Anomalies in Log Files Utilizing Machine Learning Techniques. In 2018 International Conference on Computer, Communication, Chemical, Material and Electronic Engineering(IC4ME2).</w:t>
            </w:r>
          </w:p>
          <w:p>
            <w:pPr>
              <w:pStyle w:val="Compact"/>
              <w:ind w:firstLineChars="0" w:firstLine="0" w:startChars="104" w:endChars="83"/>
              <w:rPr>
                <w:lang w:val="ru-RU"/>
              </w:rPr>
            </w:pPr>
            <w:r>
              <w:rPr>
                <w:b/>
                <w:bCs/>
              </w:rPr>
              <w:t xml:space="preserve">[11] </w:t>
            </w:r>
            <w:r>
              <w:rPr>
                <w:lang w:val="ru-RU"/>
              </w:rPr>
              <w:t xml:space="preserve">Özdel, S., Ateş, Ç., Şafak, İ., Başar, O. E., Dicle, Z., Alagöz, F., &amp; Anarım, E.(2022). </w:t>
            </w:r>
            <w:r>
              <w:rPr/>
              <w:t>Real-Time Failure Log Analysis and Fault Prediction Using N-Gram and LSTM Methods.</w:t>
            </w:r>
            <w:r>
              <w:rPr>
                <w:lang w:val="ru-RU"/>
              </w:rPr>
              <w:t xml:space="preserve"> In 2022 Innovations in Intelligent Systems and Applications Conference(ASYU).</w:t>
            </w:r>
          </w:p>
          <w:p>
            <w:pPr>
              <w:pStyle w:val="Compact"/>
              <w:ind w:firstLineChars="0" w:firstLine="0" w:startChars="104" w:endChars="83"/>
              <w:rPr/>
            </w:pPr>
            <w:r>
              <w:rPr>
                <w:b/>
                <w:bCs/>
              </w:rPr>
              <w:t xml:space="preserve">[12] </w:t>
            </w:r>
            <w:r>
              <w:rPr/>
              <w:t>Gao, J., Wang, H., &amp; Shen, H.</w:t>
            </w:r>
            <w:r>
              <w:rPr>
                <w:b/>
                <w:bCs/>
              </w:rPr>
              <w:t>​</w:t>
            </w:r>
            <w:r>
              <w:rPr/>
              <w:t>​ (2022). Task Failure Prediction in Cloud Data Centers Using Deep Learning. IEEE Transactions on Services Computing, 15(3), 1411-1422.</w:t>
            </w:r>
          </w:p>
          <w:p>
            <w:pPr>
              <w:pStyle w:val="Compact"/>
              <w:ind w:firstLineChars="0" w:firstLine="0" w:startChars="104" w:endChars="83"/>
              <w:rPr/>
            </w:pPr>
            <w:r>
              <w:rPr>
                <w:b/>
                <w:bCs/>
              </w:rPr>
              <w:t xml:space="preserve">[13] </w:t>
            </w:r>
            <w:r>
              <w:rPr/>
              <w:t>Guan, W., Liu, Y., &amp; Wang, J. (2024). LogLLM: Log-based Anomaly Detection Using Large Language Models. arXiv preprint arXiv:2403.06127.</w:t>
            </w:r>
          </w:p>
          <w:p>
            <w:pPr>
              <w:pStyle w:val="Compact"/>
              <w:ind w:firstLineChars="0" w:firstLine="0" w:startChars="104" w:endChars="83"/>
              <w:rPr>
                <w:b/>
                <w:bCs/>
              </w:rPr>
            </w:pPr>
            <w:r>
              <w:rPr>
                <w:b/>
                <w:bCs/>
              </w:rPr>
              <w:t xml:space="preserve">[14] </w:t>
            </w:r>
            <w:r>
              <w:rPr/>
              <w:t>Han, C., &amp; Yuan, H. (2023). LogGPT</w:t>
            </w:r>
            <w:r>
              <w:rPr>
                <w:i/>
                <w:iCs/>
              </w:rPr>
              <w:t xml:space="preserve">: </w:t>
            </w:r>
            <w:r>
              <w:rPr/>
              <w:t>Log Anomaly Detection via Generative Pre-trained Transformers. arXiv preprint arXiv:2311.10902.</w:t>
            </w:r>
          </w:p>
          <w:p>
            <w:pPr>
              <w:pStyle w:val="Compact"/>
              <w:ind w:firstLineChars="0" w:firstLine="0" w:startChars="104" w:endChars="83"/>
              <w:rPr>
                <w:b/>
                <w:bCs/>
              </w:rPr>
            </w:pPr>
            <w:r>
              <w:rPr>
                <w:b/>
                <w:bCs/>
              </w:rPr>
              <w:t xml:space="preserve">[15] </w:t>
            </w:r>
            <w:r>
              <w:rPr/>
              <w:t>Lee, Y., Kim, D., &amp; Park, J. (2023). LAnoBERT: A Log Anomaly Detection Model Based on BERT and Semantic Embeddings. IEEE Access, 11, 125432–125446.</w:t>
            </w:r>
          </w:p>
          <w:p>
            <w:pPr>
              <w:pStyle w:val="Compact"/>
              <w:ind w:firstLineChars="0" w:firstLine="0" w:startChars="104" w:endChars="83"/>
              <w:rPr/>
            </w:pPr>
            <w:r>
              <w:rPr>
                <w:b/>
                <w:bCs/>
              </w:rPr>
              <w:t xml:space="preserve">[16] </w:t>
            </w:r>
            <w:r>
              <w:rPr/>
              <w:t>Hu, C., Zhang, L., &amp; Chen, H. (2023). LogADSBERT: Log Anomaly Detection with Sentence-BERT Embedding and Bidirectional LSTM. Electronics,</w:t>
            </w:r>
            <w:r>
              <w:rPr>
                <w:i/>
                <w:iCs/>
              </w:rPr>
              <w:t xml:space="preserve"> 12</w:t>
            </w:r>
            <w:r>
              <w:rPr/>
              <w:t>(19), 4098.</w:t>
            </w:r>
          </w:p>
          <w:p>
            <w:pPr>
              <w:pStyle w:val="Compact"/>
              <w:ind w:firstLineChars="0" w:firstLine="0" w:startChars="104" w:endChars="83"/>
              <w:rPr>
                <w:b/>
                <w:bCs/>
              </w:rPr>
            </w:pPr>
            <w:r>
              <w:rPr>
                <w:b/>
                <w:bCs/>
              </w:rPr>
              <w:t xml:space="preserve">[17] </w:t>
            </w:r>
            <w:r>
              <w:rPr/>
              <w:t>LogPAI Research Group. (2024). LogHub: Public Log Datasets for Automated Log Analysis</w:t>
            </w:r>
            <w:r>
              <w:rPr>
                <w:i/>
                <w:iCs/>
              </w:rPr>
              <w:t>.</w:t>
            </w:r>
            <w:r>
              <w:rPr/>
              <w:t xml:space="preserve"> Available at: </w:t>
            </w:r>
            <w:hyperlink r:id="rId3" w:tgtFrame="_new">
              <w:r>
                <w:rPr>
                  <w:rStyle w:val="Hyperlink"/>
                </w:rPr>
                <w:t>https://github.com/logpai/loghub</w:t>
              </w:r>
            </w:hyperlink>
          </w:p>
          <w:p>
            <w:pPr>
              <w:pStyle w:val="Compact"/>
              <w:ind w:firstLineChars="0" w:firstLine="0" w:startChars="104" w:endChars="83"/>
              <w:rPr>
                <w:b/>
                <w:bCs/>
              </w:rPr>
            </w:pPr>
            <w:r>
              <w:rPr>
                <w:b/>
                <w:bCs/>
              </w:rPr>
              <w:t xml:space="preserve">[18] </w:t>
            </w:r>
            <w:r>
              <w:rPr/>
              <w:t>Zhang, W., Zhang, S., &amp; Liu, X. (2025). PEFT-Log: Parameter-Efficient Fine-Tuning of Large Language Models for Log Anomaly Detection</w:t>
            </w:r>
            <w:r>
              <w:rPr>
                <w:i/>
                <w:iCs/>
              </w:rPr>
              <w:t>.</w:t>
            </w:r>
            <w:r>
              <w:rPr/>
              <w:t xml:space="preserve"> arXiv preprint arXiv:2502.02188.</w:t>
            </w:r>
          </w:p>
          <w:p>
            <w:pPr>
              <w:pStyle w:val="Compact"/>
              <w:ind w:firstLineChars="0" w:firstLine="0" w:startChars="104" w:endChars="83"/>
              <w:rPr>
                <w:b/>
                <w:bCs/>
              </w:rPr>
            </w:pPr>
            <w:r>
              <w:rPr>
                <w:b/>
                <w:bCs/>
              </w:rPr>
              <w:t xml:space="preserve">[19] </w:t>
            </w:r>
            <w:r>
              <w:rPr/>
              <w:t>Chen, Z., Zhao, J., &amp; Xu, X. (2023). A Survey on Deep Learning for Log-Based Anomaly Detection and Failure Prediction</w:t>
            </w:r>
            <w:r>
              <w:rPr>
                <w:i/>
                <w:iCs/>
              </w:rPr>
              <w:t>.</w:t>
            </w:r>
            <w:r>
              <w:rPr/>
              <w:t xml:space="preserve"> ACM Computing Surveys,</w:t>
            </w:r>
            <w:r>
              <w:rPr>
                <w:i/>
                <w:iCs/>
              </w:rPr>
              <w:t xml:space="preserve"> 55</w:t>
            </w:r>
            <w:r>
              <w:rPr/>
              <w:t>(12), 1–38.</w:t>
            </w:r>
          </w:p>
          <w:p>
            <w:pPr>
              <w:pStyle w:val="Compact"/>
              <w:spacing w:before="36" w:after="36"/>
              <w:ind w:firstLineChars="0" w:firstLine="0" w:startChars="104" w:endChars="83"/>
              <w:rPr>
                <w:lang w:val="ru-RU"/>
              </w:rPr>
            </w:pPr>
            <w:r>
              <w:rPr>
                <w:b/>
                <w:bCs/>
              </w:rPr>
              <w:t xml:space="preserve">[20] </w:t>
            </w:r>
            <w:r>
              <w:rPr/>
              <w:t>Wu, T., &amp; Chen, R. (2025). Hybrid CNN–Transformer Architecture for Log-Based Failure Forecasting in Edge and Cloud Systems. IEEE Transactions on Network and Service Management (Early Access).</w:t>
            </w:r>
          </w:p>
        </w:tc>
      </w:tr>
      <w:tr>
        <w:trPr>
          <w:trHeight w:val="889" w:hRule="atLeast"/>
        </w:trPr>
        <w:tc>
          <w:tcPr>
            <w:tcW w:w="1715" w:type="dxa"/>
            <w:tcBorders>
              <w:top w:val="single" w:sz="4" w:space="0" w:color="000000"/>
              <w:start w:val="single" w:sz="4" w:space="0" w:color="000000"/>
              <w:bottom w:val="single" w:sz="4" w:space="0" w:color="000000"/>
              <w:end w:val="single" w:sz="8" w:space="0" w:color="000000"/>
            </w:tcBorders>
            <w:vAlign w:val="center"/>
          </w:tcPr>
          <w:p>
            <w:pPr>
              <w:pStyle w:val="Compact"/>
              <w:spacing w:before="36" w:after="36"/>
              <w:rPr/>
            </w:pPr>
            <w:r>
              <w:rPr/>
              <w:t>备注</w:t>
            </w:r>
            <w:r>
              <w:rPr>
                <w:lang w:val="ru-RU"/>
              </w:rPr>
              <w:br/>
            </w:r>
            <w:r>
              <w:rPr/>
              <w:t>Reservation</w:t>
            </w:r>
          </w:p>
        </w:tc>
        <w:tc>
          <w:tcPr>
            <w:tcW w:w="7496" w:type="dxa"/>
            <w:gridSpan w:val="5"/>
            <w:tcBorders>
              <w:top w:val="single" w:sz="4" w:space="0" w:color="000000"/>
              <w:start w:val="single" w:sz="8" w:space="0" w:color="000000"/>
              <w:bottom w:val="single" w:sz="4" w:space="0" w:color="000000"/>
              <w:end w:val="single" w:sz="4" w:space="0" w:color="000000"/>
            </w:tcBorders>
          </w:tcPr>
          <w:p>
            <w:pPr>
              <w:pStyle w:val="Normal"/>
              <w:tabs>
                <w:tab w:val="clear" w:pos="420"/>
                <w:tab w:val="left" w:pos="3369" w:leader="none"/>
              </w:tabs>
              <w:snapToGrid w:val="false"/>
              <w:spacing w:lineRule="exact" w:line="240"/>
              <w:jc w:val="start"/>
              <w:rPr>
                <w:rFonts w:ascii="Times New Roman" w:hAnsi="Times New Roman" w:cs="Times New Roman"/>
                <w:sz w:val="24"/>
                <w:lang w:val="ru-RU"/>
              </w:rPr>
            </w:pPr>
            <w:r>
              <w:rPr>
                <w:rFonts w:cs="Times New Roman" w:ascii="Times New Roman" w:hAnsi="Times New Roman"/>
                <w:sz w:val="24"/>
                <w:lang w:val="ru-RU"/>
              </w:rPr>
            </w:r>
          </w:p>
        </w:tc>
      </w:tr>
    </w:tbl>
    <w:p>
      <w:pPr>
        <w:pStyle w:val="Normal"/>
        <w:spacing w:lineRule="auto" w:line="360"/>
        <w:jc w:val="start"/>
        <w:rPr>
          <w:lang w:val="ru-RU"/>
        </w:rPr>
      </w:pPr>
      <w:r>
        <w:rPr>
          <w:lang w:val="ru-RU"/>
        </w:rPr>
      </w:r>
    </w:p>
    <w:sectPr>
      <w:footerReference w:type="default" r:id="rId4"/>
      <w:footerReference w:type="first" r:id="rId5"/>
      <w:type w:val="nextPage"/>
      <w:pgSz w:w="11906" w:h="16838"/>
      <w:pgMar w:left="1361" w:right="1134" w:gutter="0" w:header="0" w:top="1247" w:footer="992" w:bottom="1247"/>
      <w:pgNumType w:start="0" w:fmt="decimal"/>
      <w:formProt w:val="false"/>
      <w:titlePg/>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cc" w:characterSet="windows-1251"/>
    <w:family w:val="roman"/>
    <w:pitch w:val="variable"/>
  </w:font>
  <w:font w:name="Calibri">
    <w:charset w:val="cc" w:characterSet="windows-1251"/>
    <w:family w:val="swiss"/>
    <w:pitch w:val="variable"/>
  </w:font>
  <w:font w:name="SimSun">
    <w:altName w:val="宋体"/>
    <w:charset w:val="86"/>
    <w:family w:val="auto"/>
    <w:pitch w:val="variable"/>
  </w:font>
  <w:font w:name="Aptos Display">
    <w:charset w:val="00" w:characterSet="windows-1252"/>
    <w:family w:val="swiss"/>
    <w:pitch w:val="variable"/>
  </w:font>
  <w:font w:name="Courier New">
    <w:charset w:val="cc" w:characterSet="windows-1251"/>
    <w:family w:val="modern"/>
    <w:pitch w:val="default"/>
  </w:font>
  <w:font w:name="Wingdings">
    <w:charset w:val="02"/>
    <w:family w:val="auto"/>
    <w:pitch w:val="variable"/>
  </w:font>
  <w:font w:name="Times New Roman">
    <w:charset w:val="cc" w:characterSet="windows-1251"/>
    <w:family w:val="roman"/>
    <w:pitch w:val="variable"/>
  </w:font>
  <w:font w:name="Liberation Sans">
    <w:altName w:val="Arial"/>
    <w:charset w:val="cc" w:characterSet="windows-125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5" behindDoc="0" locked="0" layoutInCell="0" allowOverlap="1">
              <wp:simplePos x="0" y="0"/>
              <wp:positionH relativeFrom="margin">
                <wp:align>center</wp:align>
              </wp:positionH>
              <wp:positionV relativeFrom="paragraph">
                <wp:posOffset>635</wp:posOffset>
              </wp:positionV>
              <wp:extent cx="189865" cy="131445"/>
              <wp:effectExtent l="0" t="0" r="0" b="0"/>
              <wp:wrapSquare wrapText="bothSides"/>
              <wp:docPr id="9" name="Врезка1"/>
              <a:graphic xmlns:a="http://schemas.openxmlformats.org/drawingml/2006/main">
                <a:graphicData uri="http://schemas.microsoft.com/office/word/2010/wordprocessingShape">
                  <wps:wsp>
                    <wps:cNvSpPr txBox="1"/>
                    <wps:spPr>
                      <a:xfrm>
                        <a:off x="0" y="0"/>
                        <a:ext cx="189865" cy="131445"/>
                      </a:xfrm>
                      <a:prstGeom prst="rect"/>
                      <a:solidFill>
                        <a:srgbClr val="FFFFFF">
                          <a:alpha val="0"/>
                        </a:srgbClr>
                      </a:solidFill>
                    </wps:spPr>
                    <wps:txbx>
                      <w:txbxContent>
                        <w:p>
                          <w:pPr>
                            <w:pStyle w:val="Footer"/>
                            <w:rPr>
                              <w:rStyle w:val="PageNumber"/>
                            </w:rPr>
                          </w:pPr>
                          <w:r>
                            <w:rPr>
                              <w:rStyle w:val="PageNumber"/>
                              <w:rFonts w:hint="eastAsia"/>
                            </w:rPr>
                            <w:t>-</w:t>
                          </w:r>
                          <w:r>
                            <w:rPr/>
                            <w:fldChar w:fldCharType="begin"/>
                          </w:r>
                          <w:r>
                            <w:rPr/>
                            <w:instrText xml:space="preserve"> PAGE </w:instrText>
                          </w:r>
                          <w:r>
                            <w:rPr/>
                            <w:fldChar w:fldCharType="separate"/>
                          </w:r>
                          <w:r>
                            <w:rPr/>
                            <w:t>12</w:t>
                          </w:r>
                          <w:r>
                            <w:rPr/>
                            <w:fldChar w:fldCharType="end"/>
                          </w:r>
                          <w:r>
                            <w:rPr>
                              <w:rStyle w:val="PageNumber"/>
                              <w:rFonts w:hint="eastAsia"/>
                            </w:rPr>
                            <w:t>-</w:t>
                          </w:r>
                        </w:p>
                      </w:txbxContent>
                    </wps:txbx>
                    <wps:bodyPr anchor="t" lIns="0" tIns="0" rIns="0" bIns="0">
                      <a:noAutofit/>
                    </wps:bodyPr>
                  </wps:wsp>
                </a:graphicData>
              </a:graphic>
            </wp:anchor>
          </w:drawing>
        </mc:Choice>
        <mc:Fallback>
          <w:pict>
            <v:rect fillcolor="#FFFFFF" style="position:absolute;rotation:-0;width:14.95pt;height:10.35pt;mso-wrap-distance-left:0pt;mso-wrap-distance-right:0pt;mso-wrap-distance-top:0pt;mso-wrap-distance-bottom:0pt;margin-top:0.05pt;mso-position-vertical-relative:text;margin-left:227.8pt;mso-position-horizontal:center;mso-position-horizontal-relative:margin">
              <v:fill opacity="0f"/>
              <v:textbox inset="0in,0in,0in,0in">
                <w:txbxContent>
                  <w:p>
                    <w:pPr>
                      <w:pStyle w:val="Footer"/>
                      <w:rPr>
                        <w:rStyle w:val="PageNumber"/>
                      </w:rPr>
                    </w:pPr>
                    <w:r>
                      <w:rPr>
                        <w:rStyle w:val="PageNumber"/>
                        <w:rFonts w:hint="eastAsia"/>
                      </w:rPr>
                      <w:t>-</w:t>
                    </w:r>
                    <w:r>
                      <w:rPr/>
                      <w:fldChar w:fldCharType="begin"/>
                    </w:r>
                    <w:r>
                      <w:rPr/>
                      <w:instrText xml:space="preserve"> PAGE </w:instrText>
                    </w:r>
                    <w:r>
                      <w:rPr/>
                      <w:fldChar w:fldCharType="separate"/>
                    </w:r>
                    <w:r>
                      <w:rPr/>
                      <w:t>12</w:t>
                    </w:r>
                    <w:r>
                      <w:rPr/>
                      <w:fldChar w:fldCharType="end"/>
                    </w:r>
                    <w:r>
                      <w:rPr>
                        <w:rStyle w:val="PageNumber"/>
                        <w:rFonts w:hint="eastAsia"/>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decimal"/>
      <w:lvlText w:val="%1."/>
      <w:lvlJc w:val="start"/>
      <w:pPr>
        <w:tabs>
          <w:tab w:val="num" w:pos="0"/>
        </w:tabs>
        <w:ind w:start="938" w:hanging="360"/>
      </w:pPr>
    </w:lvl>
  </w:abstractNum>
  <w:abstractNum w:abstractNumId="3">
    <w:lvl w:ilvl="0">
      <w:start w:val="1"/>
      <w:numFmt w:val="bullet"/>
      <w:lvlText w:val=""/>
      <w:lvlJc w:val="start"/>
      <w:pPr>
        <w:tabs>
          <w:tab w:val="num" w:pos="0"/>
        </w:tabs>
        <w:ind w:start="938" w:hanging="360"/>
      </w:pPr>
      <w:rPr>
        <w:rFonts w:ascii="Symbol" w:hAnsi="Symbol" w:cs="Symbol" w:hint="default"/>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2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SC" w:cs="Arial"/>
        <w:sz w:val="24"/>
        <w:szCs w:val="24"/>
        <w:lang w:val="ru-RU"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SimSun;宋体" w:cs="Times New Roman"/>
      <w:color w:val="auto"/>
      <w:kern w:val="2"/>
      <w:sz w:val="21"/>
      <w:szCs w:val="22"/>
      <w:lang w:val="en-US" w:bidi="ar-SA" w:eastAsia="zh-CN"/>
    </w:rPr>
  </w:style>
  <w:style w:type="paragraph" w:styleId="Heading2">
    <w:name w:val="heading 2"/>
    <w:basedOn w:val="Normal"/>
    <w:next w:val="BodyText"/>
    <w:qFormat/>
    <w:pPr>
      <w:numPr>
        <w:ilvl w:val="1"/>
        <w:numId w:val="1"/>
      </w:numPr>
      <w:spacing w:before="280" w:after="280"/>
      <w:jc w:val="start"/>
      <w:outlineLvl w:val="1"/>
    </w:pPr>
    <w:rPr>
      <w:rFonts w:ascii="SimSun;宋体" w:hAnsi="SimSun;宋体" w:cs="SimSun;宋体" w:hint="eastAsia"/>
      <w:b/>
      <w:bCs/>
      <w:i/>
      <w:iCs/>
      <w:kern w:val="0"/>
      <w:sz w:val="36"/>
      <w:szCs w:val="36"/>
    </w:rPr>
  </w:style>
  <w:style w:type="paragraph" w:styleId="Heading3">
    <w:name w:val="heading 3"/>
    <w:basedOn w:val="Normal"/>
    <w:next w:val="Normal"/>
    <w:qFormat/>
    <w:pPr>
      <w:keepNext w:val="true"/>
      <w:numPr>
        <w:ilvl w:val="2"/>
        <w:numId w:val="1"/>
      </w:numPr>
      <w:spacing w:before="240" w:after="60"/>
      <w:outlineLvl w:val="2"/>
    </w:pPr>
    <w:rPr>
      <w:rFonts w:ascii="Aptos Display" w:hAnsi="Aptos Display" w:eastAsia="Times New Roman" w:cs="Times New Roman"/>
      <w:b/>
      <w:bCs/>
      <w:sz w:val="26"/>
      <w:szCs w:val="26"/>
    </w:rPr>
  </w:style>
  <w:style w:type="character" w:styleId="WW8Num1z0">
    <w:name w:val="WW8Num1z0"/>
    <w:qFormat/>
    <w:rPr>
      <w:rFonts w:ascii="Symbol" w:hAnsi="Symbol" w:cs="Symbol"/>
      <w:sz w:val="20"/>
    </w:rPr>
  </w:style>
  <w:style w:type="character" w:styleId="WW8Num2z0">
    <w:name w:val="WW8Num2z0"/>
    <w:qFormat/>
    <w:rPr>
      <w:rFonts w:ascii="Symbol" w:hAnsi="Symbol" w:cs="Symbol"/>
      <w:sz w:val="20"/>
    </w:rPr>
  </w:style>
  <w:style w:type="character" w:styleId="WW8Num2z1">
    <w:name w:val="WW8Num2z1"/>
    <w:qFormat/>
    <w:rPr>
      <w:rFonts w:ascii="Courier New" w:hAnsi="Courier New" w:cs="Courier New"/>
      <w:sz w:val="20"/>
    </w:rPr>
  </w:style>
  <w:style w:type="character" w:styleId="WW8Num2z2">
    <w:name w:val="WW8Num2z2"/>
    <w:qFormat/>
    <w:rPr>
      <w:rFonts w:ascii="Wingdings" w:hAnsi="Wingdings" w:cs="Wingdings"/>
      <w:sz w:val="20"/>
    </w:rPr>
  </w:style>
  <w:style w:type="character" w:styleId="WW8Num3z0">
    <w:name w:val="WW8Num3z0"/>
    <w:qFormat/>
    <w:rPr>
      <w:rFonts w:ascii="Symbol" w:hAnsi="Symbol" w:cs="Symbol"/>
      <w:sz w:val="20"/>
    </w:rPr>
  </w:style>
  <w:style w:type="character" w:styleId="WW8Num6z0">
    <w:name w:val="WW8Num6z0"/>
    <w:qFormat/>
    <w:rPr>
      <w:rFonts w:ascii="Symbol" w:hAnsi="Symbol" w:cs="Symbol"/>
      <w:sz w:val="20"/>
    </w:rPr>
  </w:style>
  <w:style w:type="character" w:styleId="WW8Num7z0">
    <w:name w:val="WW8Num7z0"/>
    <w:qFormat/>
    <w:rPr>
      <w:rFonts w:ascii="Symbol" w:hAnsi="Symbol" w:cs="Symbol"/>
      <w:sz w:val="20"/>
    </w:rPr>
  </w:style>
  <w:style w:type="character" w:styleId="WW8Num8z0">
    <w:name w:val="WW8Num8z0"/>
    <w:qFormat/>
    <w:rPr>
      <w:rFonts w:ascii="Symbol" w:hAnsi="Symbol" w:cs="Symbol"/>
    </w:rPr>
  </w:style>
  <w:style w:type="character" w:styleId="WW8Num8z1">
    <w:name w:val="WW8Num8z1"/>
    <w:qFormat/>
    <w:rPr>
      <w:rFonts w:ascii="Courier New" w:hAnsi="Courier New" w:cs="Courier New"/>
    </w:rPr>
  </w:style>
  <w:style w:type="character" w:styleId="WW8Num8z2">
    <w:name w:val="WW8Num8z2"/>
    <w:qFormat/>
    <w:rPr>
      <w:rFonts w:ascii="Wingdings" w:hAnsi="Wingdings" w:cs="Wingdings"/>
    </w:rPr>
  </w:style>
  <w:style w:type="character" w:styleId="WW8Num9z0">
    <w:name w:val="WW8Num9z0"/>
    <w:qFormat/>
    <w:rPr>
      <w:rFonts w:ascii="Symbol" w:hAnsi="Symbol" w:cs="Symbol"/>
    </w:rPr>
  </w:style>
  <w:style w:type="character" w:styleId="WW8Num9z1">
    <w:name w:val="WW8Num9z1"/>
    <w:qFormat/>
    <w:rPr>
      <w:rFonts w:ascii="Courier New" w:hAnsi="Courier New" w:cs="Courier New"/>
    </w:rPr>
  </w:style>
  <w:style w:type="character" w:styleId="WW8Num9z2">
    <w:name w:val="WW8Num9z2"/>
    <w:qFormat/>
    <w:rPr>
      <w:rFonts w:ascii="Wingdings" w:hAnsi="Wingdings" w:cs="Wingdings"/>
    </w:rPr>
  </w:style>
  <w:style w:type="character" w:styleId="DefaultParagraphFont">
    <w:name w:val="Default Paragraph Font"/>
    <w:qFormat/>
    <w:rPr/>
  </w:style>
  <w:style w:type="character" w:styleId="PageNumber">
    <w:name w:val="page number"/>
    <w:basedOn w:val="DefaultParagraphFont"/>
    <w:rPr/>
  </w:style>
  <w:style w:type="character" w:styleId="Char">
    <w:name w:val="页脚 Char"/>
    <w:qFormat/>
    <w:rPr>
      <w:rFonts w:ascii="Times New Roman" w:hAnsi="Times New Roman" w:eastAsia="SimSun;宋体" w:cs="Times New Roman"/>
      <w:sz w:val="18"/>
      <w:szCs w:val="18"/>
    </w:rPr>
  </w:style>
  <w:style w:type="character" w:styleId="Char1">
    <w:name w:val="正文文本缩进 Char"/>
    <w:qFormat/>
    <w:rPr>
      <w:rFonts w:ascii="Times New Roman" w:hAnsi="Times New Roman" w:eastAsia="SimSun;宋体" w:cs="Times New Roman"/>
      <w:sz w:val="24"/>
      <w:szCs w:val="24"/>
    </w:rPr>
  </w:style>
  <w:style w:type="character" w:styleId="Heading2Char">
    <w:name w:val="Heading 2 Char"/>
    <w:qFormat/>
    <w:rPr>
      <w:rFonts w:ascii="SimSun;宋体" w:hAnsi="SimSun;宋体" w:cs="SimSun;宋体"/>
      <w:b/>
      <w:bCs/>
      <w:i/>
      <w:iCs/>
      <w:sz w:val="36"/>
      <w:szCs w:val="36"/>
      <w:lang w:val="en-US"/>
    </w:rPr>
  </w:style>
  <w:style w:type="character" w:styleId="BodyTextChar">
    <w:name w:val="Body Text Char"/>
    <w:qFormat/>
    <w:rPr>
      <w:kern w:val="2"/>
      <w:sz w:val="21"/>
      <w:szCs w:val="22"/>
      <w:lang w:val="en-US"/>
    </w:rPr>
  </w:style>
  <w:style w:type="character" w:styleId="Heading3Char">
    <w:name w:val="Heading 3 Char"/>
    <w:qFormat/>
    <w:rPr>
      <w:rFonts w:ascii="Aptos Display" w:hAnsi="Aptos Display" w:eastAsia="Times New Roman" w:cs="Times New Roman"/>
      <w:b/>
      <w:bCs/>
      <w:kern w:val="2"/>
      <w:sz w:val="26"/>
      <w:szCs w:val="26"/>
      <w:lang w:val="en-US"/>
    </w:rPr>
  </w:style>
  <w:style w:type="character" w:styleId="Hyperlink">
    <w:name w:val="Hyperlink"/>
    <w:rPr>
      <w:color w:val="467886"/>
      <w:u w:val="single"/>
    </w:rPr>
  </w:style>
  <w:style w:type="character" w:styleId="UnresolvedMention">
    <w:name w:val="Unresolved Mention"/>
    <w:qFormat/>
    <w:rPr>
      <w:color w:val="605E5C"/>
      <w:shd w:fill="E1DFDD" w:val="clear"/>
    </w:rPr>
  </w:style>
  <w:style w:type="character" w:styleId="FollowedHyperlink">
    <w:name w:val="FollowedHyperlink"/>
    <w:rPr>
      <w:color w:val="96607D"/>
      <w:u w:val="single"/>
    </w:rPr>
  </w:style>
  <w:style w:type="paragraph" w:styleId="Style12">
    <w:name w:val="Заголовок"/>
    <w:basedOn w:val="Normal"/>
    <w:next w:val="BodyText"/>
    <w:qFormat/>
    <w:pPr>
      <w:keepNext w:val="true"/>
      <w:spacing w:before="240" w:after="120"/>
    </w:pPr>
    <w:rPr>
      <w:rFonts w:ascii="Liberation Sans" w:hAnsi="Liberation Sans" w:eastAsia="Noto Sans SC" w:cs="Arial"/>
      <w:sz w:val="28"/>
      <w:szCs w:val="28"/>
    </w:rPr>
  </w:style>
  <w:style w:type="paragraph" w:styleId="BodyText">
    <w:name w:val="Body Text"/>
    <w:basedOn w:val="Normal"/>
    <w:pPr>
      <w:spacing w:before="0" w:after="12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Style13">
    <w:name w:val="Указатель"/>
    <w:basedOn w:val="Normal"/>
    <w:qFormat/>
    <w:pPr>
      <w:suppressLineNumbers/>
    </w:pPr>
    <w:rPr>
      <w:rFonts w:cs="Arial"/>
    </w:rPr>
  </w:style>
  <w:style w:type="paragraph" w:styleId="Style14">
    <w:name w:val="Колонтитулы"/>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rFonts w:ascii="Times New Roman" w:hAnsi="Times New Roman" w:eastAsia="SimSun;宋体" w:cs="Times New Roman"/>
      <w:sz w:val="18"/>
      <w:szCs w:val="18"/>
    </w:rPr>
  </w:style>
  <w:style w:type="paragraph" w:styleId="BodyTextIndent">
    <w:name w:val="Body Text Indent"/>
    <w:basedOn w:val="Normal"/>
    <w:pPr>
      <w:spacing w:lineRule="auto" w:line="360"/>
      <w:ind w:firstLineChars="200" w:startChars="0" w:start="0" w:endChars="0" w:end="0"/>
    </w:pPr>
    <w:rPr>
      <w:rFonts w:ascii="Times New Roman" w:hAnsi="Times New Roman" w:eastAsia="SimSun;宋体" w:cs="Times New Roman"/>
      <w:sz w:val="24"/>
      <w:szCs w:val="24"/>
    </w:rPr>
  </w:style>
  <w:style w:type="paragraph" w:styleId="Compact">
    <w:name w:val="Compact"/>
    <w:basedOn w:val="BodyText"/>
    <w:qFormat/>
    <w:pPr>
      <w:spacing w:before="36" w:after="36"/>
    </w:pPr>
    <w:rPr>
      <w:rFonts w:ascii="Times New Roman" w:hAnsi="Times New Roman" w:cs="Times New Roman"/>
    </w:rPr>
  </w:style>
  <w:style w:type="paragraph" w:styleId="Style15">
    <w:name w:val="Содержимое таблицы"/>
    <w:basedOn w:val="Normal"/>
    <w:qFormat/>
    <w:pPr>
      <w:widowControl w:val="false"/>
      <w:suppressLineNumbers/>
    </w:pPr>
    <w:rPr/>
  </w:style>
  <w:style w:type="paragraph" w:styleId="Style16">
    <w:name w:val="Заголовок таблицы"/>
    <w:basedOn w:val="Style15"/>
    <w:qFormat/>
    <w:pPr>
      <w:suppressLineNumbers/>
      <w:jc w:val="center"/>
    </w:pPr>
    <w:rPr>
      <w:b/>
      <w:bCs/>
    </w:rPr>
  </w:style>
  <w:style w:type="paragraph" w:styleId="Style17">
    <w:name w:val="Содержимое врезки"/>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ttps://github.com/logpai/loghub?utm_source=chatgpt.com" TargetMode="Externa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14276</TotalTime>
  <Application>LibreOffice/26.2.3.2$Windows_X86_64 LibreOffice_project/70e089b17412e4cb7773e41413306b17a2328c34</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2015-10-28T15:49:00Z</dcterms:created>
  <dc:creator>gpr</dc:creator>
  <dc:description/>
  <cp:keywords/>
  <dc:language>ru-RU</dc:language>
  <cp:lastModifiedBy>Admin</cp:lastModifiedBy>
  <dcterms:modified xsi:type="dcterms:W3CDTF">2025-11-14T11:51:00Z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2052-11.1.0.8205</vt:lpwstr>
  </property>
  <property fmtid="{D5CDD505-2E9C-101B-9397-08002B2CF9AE}" pid="3" name="KSORubyTemplateID">
    <vt:lpwstr>6</vt:lpwstr>
  </property>
</Properties>
</file>