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Editor,</w:t>
      </w:r>
    </w:p>
    <w:p>
      <w:r>
        <w:t>We are pleased to submit our manuscript, "</w:t>
      </w:r>
      <w:r>
        <w:rPr>
          <w:b/>
        </w:rPr>
        <w:t>The Fidelity–Utility Paradox in Surrogate-Based Reinforcement Learning: A Role-Separated Hybrid Methodology in an HVAC Control Case Study</w:t>
      </w:r>
      <w:r>
        <w:t>", for consideration in Results in Engineering.</w:t>
      </w:r>
    </w:p>
    <w:p>
      <w:r>
        <w:t>Deep reinforcement-learning HVAC controllers are usually trained on fast neural surrogates under an assumption so common it is rarely stated: that a more accurate surrogate is a better training environment. Our manuscript tests this assumption directly on the BOPTEST bestest_air benchmark and reports a verified negative result, the fidelity–utility paradox: the surrogate with the lower predictive error can be the worse environment for policy-gradient training. A calibrated grey-box twin (24 h rollout RMSE 0.644 °C) trains an unusable controller, while a weaker black-box surrogate (1.557 °C) trains a usable one. Crucially, we close the obvious confound with a matched-configuration control experiment: retraining the same black-box architecture at the finer control resolution makes it strictly more accurate yet collapses downstream control, isolating the surrogate's coarse per-step increment (temporal coarseness), not its model class, as the driver. We then show one engineering resolution: a role-separating hybrid (black-box rollout dynamics plus a frozen physical twin as a model-disagreement reward censor) that achieves sub-5 % comfort violation at ~85× live simulator throughput, and a component-level transferability boundary on three hydronic testcases (the inverse-calibration pipeline transfers; the frozen policy does not transfer uniformly).</w:t>
      </w:r>
    </w:p>
    <w:p>
      <w:r>
        <w:t>We believe the work fits Results in Engineering well: it is a rigorous, application-grounded engineering result whose value lies in correcting a working assumption that current surrogate-building protocols optimise for, and in providing actionable design guidance (evaluate surrogates by downstream control utility, not predictive accuracy alone). The manuscript is organised as a self-contained main text carrying the scientific argument and key evidence, with the full parameterisation, diagnostics, and per-artifact provenance placed in the accompanying supplementary material.</w:t>
      </w:r>
    </w:p>
    <w:p>
      <w:r>
        <w:t>A methodological feature we wish to highlight is the verifiability of the evidence chain. The transferability hypotheses and their pass/fail thresholds were pre-specified before the corresponding runs, and the supplementary material provides content-to-artefact provenance maps that trace every reported number, figure, and table back to its source. A complete reproducibility package (the code, configurations, trained controller checkpoints, and the per-figure provenance maps that regenerate all results without a live simulator) is available to the editor and reviewers on reasonable request; the full project codebase is not publicly released at this stage. The use of a generative-AI writing assistant is disclosed in the manuscript in accordance with Elsevier policy; all experiments, data, and scientific claims are the authors' own.</w:t>
      </w:r>
    </w:p>
    <w:p>
      <w:r>
        <w:t>This manuscript is original, has not been published previously, and is not under consideration by any other journal. All authors have approved the submission and declare no competing interests. This research was funded by the Committee of Science of the Ministry of Science and Higher Education of the Republic of Kazakhstan (Grant No. AP23488794).</w:t>
      </w:r>
    </w:p>
    <w:p>
      <w:r>
        <w:t>Thank you for your consideration. We look forward to the reviewers' feedback.</w:t>
      </w:r>
    </w:p>
    <w:p>
      <w:r>
        <w:t>Sincerely,</w:t>
      </w:r>
    </w:p>
    <w:p>
      <w:r>
        <w:t>Almaz Sapargali (corresponding author)</w:t>
      </w:r>
    </w:p>
    <w:p>
      <w:r>
        <w:t>LLP Digit Alem, Almaty, Kazakhstan; Al-Farabi Kazakh National University, Almaty, Kazakhstan</w:t>
      </w:r>
    </w:p>
    <w:p>
      <w:r>
        <w:t>almaz.sapargali2001@gmail.com · ORCID: 0009-0003-1521-7149</w:t>
      </w:r>
    </w:p>
    <w:p>
      <w:r>
        <w:t>On behalf of all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