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Highlights</w:t>
      </w:r>
    </w:p>
    <w:p>
      <w:r>
        <w:rPr>
          <w:i/>
          <w:sz w:val="20"/>
        </w:rPr>
        <w:t>The Fidelity–Utility Paradox in Surrogate-Based Reinforcement Learning: A Role-Separated Hybrid Methodology in an HVAC Control Case Study</w:t>
      </w:r>
    </w:p>
    <w:p/>
    <w:p>
      <w:pPr>
        <w:pStyle w:val="ListBullet"/>
      </w:pPr>
      <w:r>
        <w:t>A more accurate building surrogate can be a worse RL training environment.</w:t>
      </w:r>
    </w:p>
    <w:p>
      <w:pPr>
        <w:pStyle w:val="ListBullet"/>
      </w:pPr>
      <w:r>
        <w:t>Coarse per-step surrogate dynamics, not model class or smoothness, make it usable.</w:t>
      </w:r>
    </w:p>
    <w:p>
      <w:pPr>
        <w:pStyle w:val="ListBullet"/>
      </w:pPr>
      <w:r>
        <w:t>A hybrid (black-box rollouts + frozen-twin reward censor) recovers control.</w:t>
      </w:r>
    </w:p>
    <w:p>
      <w:pPr>
        <w:pStyle w:val="ListBullet"/>
      </w:pPr>
      <w:r>
        <w:t>The optimal model-disagreement censor weight is controller-family specific.</w:t>
      </w:r>
    </w:p>
    <w:p>
      <w:pPr>
        <w:pStyle w:val="ListBullet"/>
      </w:pPr>
      <w:r>
        <w:t>Calibration transfers across testcases; the frozen policy mostly does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