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Block 3 Complete Results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Pre-registered transferability of the v3+v3.5 hybrid recipe to three BOPTEST hydronic-family testcases (bestest_hydronic_heat_pump, bestest_hydronic, singlezone_commercial_hydronic) under three pre-registered recalibration regimes (none / partial / full).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All numbers cross-checked against project artifacts (CSV/JSON/YAML) and audit anchors on 2026-05-28.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§1.  Methodology, pre-registration, and reading order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§1.1  Reading order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Block 1 established the surrogate-level claim: the v3 control-oriented surrogate and the calibrated v3.5 physical twin offer complementary strengths. Block 2 established the controller-level claim on bestest</w:t>
      </w:r>
      <w:r>
        <w:rPr>
          <w:rFonts w:ascii="Arial" w:cs="Arial" w:eastAsia="Arial" w:hAnsi="Arial"/>
          <w:sz w:val="20"/>
          <w:szCs w:val="20"/>
        </w:rPr>
        <w:t xml:space="preserve">air: the hybrid recipe (v3 dynamics + v3.5 disagreement reward-shaping) produces the strongest controller, with controller-family-specific λ values fixed at λ</w:t>
      </w:r>
      <w:r>
        <w:rPr>
          <w:rFonts w:ascii="Arial" w:cs="Arial" w:eastAsia="Arial" w:hAnsi="Arial"/>
          <w:sz w:val="20"/>
          <w:szCs w:val="20"/>
        </w:rPr>
        <w:t xml:space="preserve">temp = 0.10, λ</w:t>
      </w:r>
      <w:r>
        <w:rPr>
          <w:rFonts w:ascii="Arial" w:cs="Arial" w:eastAsia="Arial" w:hAnsi="Arial"/>
          <w:sz w:val="20"/>
          <w:szCs w:val="20"/>
        </w:rPr>
        <w:t xml:space="preserve">pwr = 5×10⁻⁵ for thermostatic PPO. **Block 3 asks: does this recipe transfer to BOPTEST testcases other than bestest</w:t>
      </w:r>
      <w:r>
        <w:rPr>
          <w:rFonts w:ascii="Arial" w:cs="Arial" w:eastAsia="Arial" w:hAnsi="Arial"/>
          <w:sz w:val="20"/>
          <w:szCs w:val="20"/>
        </w:rPr>
        <w:t xml:space="preserve">air?**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Block 3 narrative follows the pre-registration / outcome / hypothesis closure structure: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§2 Pre-registration protocol — manifest, testcases, regimes, controllers, audit anchors.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§3 Actuator-interface adaptation — three per-testcase adapter configs.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§4 Transfer matrix — the headline result across testcase × regime × KPI.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§5 Primary testcase (bestest_hydronic_heat_pump) — detailed per-regime breakdown.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§6 Secondary testcase (bestest_hydronic) — replication of the primary pattern.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§7 Stretch testcase (singlezone_commercial_hydronic) — pre-registered predictions and surprises.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§8 C_zon consistency analysis — the hydronic-family uniform-mass hypothesis.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§9 Hypothesis closure — H1_strong / H2_medium / H3_weak (surrogate, controller).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§10 Pre-registered predictions vs observed outcomes — Popperian audit trail.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§11 Synthesis and Block 4 implications.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§1.2  Pre-registration anchors (verified via git log)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Block 3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pre-registered</w:t>
      </w:r>
      <w:r>
        <w:rPr>
          <w:rFonts w:ascii="Arial" w:cs="Arial" w:eastAsia="Arial" w:hAnsi="Arial"/>
          <w:sz w:val="20"/>
          <w:szCs w:val="20"/>
        </w:rPr>
        <w:t xml:space="preserve">: the manifest `configs/block3</w:t>
      </w:r>
      <w:r>
        <w:rPr>
          <w:rFonts w:ascii="Arial" w:cs="Arial" w:eastAsia="Arial" w:hAnsi="Arial"/>
          <w:sz w:val="20"/>
          <w:szCs w:val="20"/>
        </w:rPr>
        <w:t xml:space="preserve">testcase</w:t>
      </w:r>
      <w:r>
        <w:rPr>
          <w:rFonts w:ascii="Arial" w:cs="Arial" w:eastAsia="Arial" w:hAnsi="Arial"/>
          <w:sz w:val="20"/>
          <w:szCs w:val="20"/>
        </w:rPr>
        <w:t xml:space="preserve">manifest.yaml` (4 KB pre-registration + 38 KB results append-only blocks) was committed BEFORE any non-bestest</w:t>
      </w:r>
      <w:r>
        <w:rPr>
          <w:rFonts w:ascii="Arial" w:cs="Arial" w:eastAsia="Arial" w:hAnsi="Arial"/>
          <w:sz w:val="20"/>
          <w:szCs w:val="20"/>
        </w:rPr>
        <w:t xml:space="preserve">air BOPTEST run was executed. Pre-registration logged on **2026-05-18**; protocol identifier **block3</w:t>
      </w:r>
      <w:r>
        <w:rPr>
          <w:rFonts w:ascii="Arial" w:cs="Arial" w:eastAsia="Arial" w:hAnsi="Arial"/>
          <w:sz w:val="20"/>
          <w:szCs w:val="20"/>
        </w:rPr>
        <w:t xml:space="preserve">transferability_v1**. The full audit chain (commit messages verbatim from `git log --oneline`):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**93df9b3** — pre-registration: seed45/46 falsification predictions for practical canonical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**62dc859** — post-N5 result: action-saturation hypothesis falsified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**1861e48** — Block 3 pre-registration: transferability testcase manifest  ← Block 3 pre-registration manifest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**2f9d596** — Block 3 audit: record pre-registration commit SHA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**eb7091e** — Block 3 pre-registration: hydronic heat-pump actuator adapter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**46fbaa9** — Block 3 pre-registration: bestest_hydronic direct supply adapter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**645626e** — Block 3 pre-registration: stretch testcase predictions and commercial hydronic adapter  ← stretch predictions PRE-registered before runs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**7ada793** — Block 3 audit: record close commit SHA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**cb7025f** — Block 3 interpretation: component-level transferability and threshold-pass caveat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pre-registration block in the manifest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bit-identical</w:t>
      </w:r>
      <w:r>
        <w:rPr>
          <w:rFonts w:ascii="Arial" w:cs="Arial" w:eastAsia="Arial" w:hAnsi="Arial"/>
          <w:sz w:val="20"/>
          <w:szCs w:val="20"/>
        </w:rPr>
        <w:t xml:space="preserve"> between its first commit (1861e48) and the close (7ada793) — only the result-appendix sections are appended. Auditors verify against the parent commit's diff. This protects the falsifiability of Block 3's hypotheses: any number reported below was predictable but not predicted before the run.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§1.3  Claim boundary (manifest scope.deliberately_NOT_claimed)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Block 3 deliberately does NOT claim: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universal building generalisation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cross-climate generalisation (single weather file source)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transfer to fundamentally different HVAC topologies (e.g., VRF, radiant)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continual learning across multiple buildings without forgetting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intended claim is narrower: </w:t>
      </w:r>
      <w:r>
        <w:rPr>
          <w:rFonts w:ascii="Arial" w:cs="Arial" w:eastAsia="Arial" w:hAnsi="Arial"/>
          <w:sz w:val="20"/>
          <w:szCs w:val="20"/>
        </w:rPr>
        <w:t xml:space="preserve">the hybrid recipe transfers to closely related BOPTEST testcases under explicitly stated recalibration conditions and controller-interface compatibility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§1.4  Testcase selection (pre-registered)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Three single-zone hydronic testcases were pre-selected to span an increasing difficulty gradient relative to bestest_air. Selection criteria (fixed before inspecting any candidate response):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(a) single-zone or single-zone-like envelope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(b) heating-capable HVAC (cooling optional)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(c) actuator interface compatible with direct supply-temperature command OR overridable with documented mapping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(d) at least one structural difference from bestest_air (actuator, source, envelope size, or climate) so transfer is non-trivial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1 — Pre-registered testcase selection. </w:t>
      </w:r>
      <w:r>
        <w:rPr>
          <w:rFonts w:ascii="Arial" w:cs="Arial" w:eastAsia="Arial" w:hAnsi="Arial"/>
          <w:sz w:val="18"/>
          <w:szCs w:val="18"/>
        </w:rPr>
        <w:t xml:space="preserve"> From configs/block3_testcase_manifest.yaml testcase_candidates block.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80"/>
        <w:gridCol w:w="3800"/>
        <w:gridCol w:w="1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Testcase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Structural difference vs bestest_air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Adapter 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bestest_hydronic_heat_pump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Hydronic loop driven by a heat pump (not air supply).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hydronic_t_supply_to_setpoint_v1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SECONDARY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bestest_hydronic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Hydronic distribution with boiler/radiator heat source instead of heat pump.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hydronic_direct_supply_setpoint_adapter_v1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STRETCH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singlezone_commercial_hydronic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Substantially larger commercial zone volume; C_zon expected order-of-magnitude different a priori.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commercial_hydronic_supply_valve_adapter_v1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§1.5  Recalibration regimes (pre-registered)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Three regimes characterise the transferability gradient from "frozen-everything" to "fully re-calibrated surrogate, frozen controller". The controller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always frozen</w:t>
      </w:r>
      <w:r>
        <w:rPr>
          <w:rFonts w:ascii="Arial" w:cs="Arial" w:eastAsia="Arial" w:hAnsi="Arial"/>
          <w:sz w:val="20"/>
          <w:szCs w:val="20"/>
        </w:rPr>
        <w:t xml:space="preserve"> by manifest scope; this isolates the transferability of the calibration pipeline itself.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2 — Recalibration regimes. </w:t>
      </w:r>
      <w:r>
        <w:rPr>
          <w:rFonts w:ascii="Arial" w:cs="Arial" w:eastAsia="Arial" w:hAnsi="Arial"/>
          <w:sz w:val="18"/>
          <w:szCs w:val="18"/>
        </w:rPr>
        <w:t xml:space="preserve"> From configs/block3_testcase_manifest.yaml recalibration_regimes block. Excluded by manifest: controller re-fine-tune on new testcase.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3640"/>
        <w:gridCol w:w="3120"/>
        <w:gridCol w:w="1720"/>
      </w:tblGrid>
      <w:tr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Regime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Surrogate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Controller action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Compute (min/testcase)</w:t>
            </w:r>
          </w:p>
        </w:tc>
      </w:tr>
      <w:tr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frozen from bestest_air canonical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frozen from Block 2 canonical (no fine-tune on new testcase)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~30</w:t>
            </w:r>
          </w:p>
        </w:tc>
      </w:tr>
      <w:tr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Stage C only; Stage A and Stage B frozen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frozen from Block 2 canonical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~90</w:t>
            </w:r>
          </w:p>
        </w:tc>
      </w:tr>
      <w:tr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Stage A + Stage B + Stage C from scratch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frozen from Block 2 canonical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~240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§1.6  Controller families and pass threshold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thermostatic</w:t>
      </w:r>
      <w:r>
        <w:rPr>
          <w:rFonts w:ascii="Arial" w:cs="Arial" w:eastAsia="Arial" w:hAnsi="Arial"/>
          <w:sz w:val="20"/>
          <w:szCs w:val="20"/>
        </w:rPr>
        <w:t xml:space="preserve">hybrid family is the principal Block 3 controller: frozen checkpoint `models/ppo</w:t>
      </w:r>
      <w:r>
        <w:rPr>
          <w:rFonts w:ascii="Arial" w:cs="Arial" w:eastAsia="Arial" w:hAnsi="Arial"/>
          <w:sz w:val="20"/>
          <w:szCs w:val="20"/>
        </w:rPr>
        <w:t xml:space="preserve">thermostatic</w:t>
      </w:r>
      <w:r>
        <w:rPr>
          <w:rFonts w:ascii="Arial" w:cs="Arial" w:eastAsia="Arial" w:hAnsi="Arial"/>
          <w:sz w:val="20"/>
          <w:szCs w:val="20"/>
        </w:rPr>
        <w:t xml:space="preserve">hybrid</w:t>
      </w:r>
      <w:r>
        <w:rPr>
          <w:rFonts w:ascii="Arial" w:cs="Arial" w:eastAsia="Arial" w:hAnsi="Arial"/>
          <w:sz w:val="20"/>
          <w:szCs w:val="20"/>
        </w:rPr>
        <w:t xml:space="preserve">v3</w:t>
      </w:r>
      <w:r>
        <w:rPr>
          <w:rFonts w:ascii="Arial" w:cs="Arial" w:eastAsia="Arial" w:hAnsi="Arial"/>
          <w:sz w:val="20"/>
          <w:szCs w:val="20"/>
        </w:rPr>
        <w:t xml:space="preserve">v35</w:t>
      </w:r>
      <w:r>
        <w:rPr>
          <w:rFonts w:ascii="Arial" w:cs="Arial" w:eastAsia="Arial" w:hAnsi="Arial"/>
          <w:sz w:val="20"/>
          <w:szCs w:val="20"/>
        </w:rPr>
        <w:t xml:space="preserve">l010.zip` (Block 2 canonical hybrid</w:t>
      </w:r>
      <w:r>
        <w:rPr>
          <w:rFonts w:ascii="Arial" w:cs="Arial" w:eastAsia="Arial" w:hAnsi="Arial"/>
          <w:sz w:val="20"/>
          <w:szCs w:val="20"/>
        </w:rPr>
        <w:t xml:space="preserve">l010, λ</w:t>
      </w:r>
      <w:r>
        <w:rPr>
          <w:rFonts w:ascii="Arial" w:cs="Arial" w:eastAsia="Arial" w:hAnsi="Arial"/>
          <w:sz w:val="20"/>
          <w:szCs w:val="20"/>
        </w:rPr>
        <w:t xml:space="preserve">temp = 0.1, λ</w:t>
      </w:r>
      <w:r>
        <w:rPr>
          <w:rFonts w:ascii="Arial" w:cs="Arial" w:eastAsia="Arial" w:hAnsi="Arial"/>
          <w:sz w:val="20"/>
          <w:szCs w:val="20"/>
        </w:rPr>
        <w:t xml:space="preserve">pwr = 5e-5) with no fine-tuning on the new testcase. The pass threshold is **m</w:t>
      </w:r>
      <w:r>
        <w:rPr>
          <w:rFonts w:ascii="Arial" w:cs="Arial" w:eastAsia="Arial" w:hAnsi="Arial"/>
          <w:sz w:val="20"/>
          <w:szCs w:val="20"/>
        </w:rPr>
        <w:t xml:space="preserve">s</w:t>
      </w:r>
      <w:r>
        <w:rPr>
          <w:rFonts w:ascii="Arial" w:cs="Arial" w:eastAsia="Arial" w:hAnsi="Arial"/>
          <w:sz w:val="20"/>
          <w:szCs w:val="20"/>
        </w:rPr>
        <w:t xml:space="preserve">RL ≤ 1.25 × m</w:t>
      </w:r>
      <w:r>
        <w:rPr>
          <w:rFonts w:ascii="Arial" w:cs="Arial" w:eastAsia="Arial" w:hAnsi="Arial"/>
          <w:sz w:val="20"/>
          <w:szCs w:val="20"/>
        </w:rPr>
        <w:t xml:space="preserve">s</w:t>
      </w:r>
      <w:r>
        <w:rPr>
          <w:rFonts w:ascii="Arial" w:cs="Arial" w:eastAsia="Arial" w:hAnsi="Arial"/>
          <w:sz w:val="20"/>
          <w:szCs w:val="20"/>
        </w:rPr>
        <w:t xml:space="preserve">PI** for the testcase's BOPTEST built-in PI controller; threshold is computed per-testcase, not global, because PI's m</w:t>
      </w:r>
      <w:r>
        <w:rPr>
          <w:rFonts w:ascii="Arial" w:cs="Arial" w:eastAsia="Arial" w:hAnsi="Arial"/>
          <w:sz w:val="20"/>
          <w:szCs w:val="20"/>
        </w:rPr>
        <w:t xml:space="preserve">s varies by testcase. The threshold value 1.25 was pre-registered in the manifest, not chosen post hoc to match results.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§2.  Actuator-interface adaptation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bestest</w:t>
      </w:r>
      <w:r>
        <w:rPr>
          <w:rFonts w:ascii="Arial" w:cs="Arial" w:eastAsia="Arial" w:hAnsi="Arial"/>
          <w:sz w:val="20"/>
          <w:szCs w:val="20"/>
        </w:rPr>
        <w:t xml:space="preserve">air exposes a **direct supply-temperature** actuation interface (the agent commands an air supply setpoint in 18–35 °C). The three hydronic testcases expose **different actuator types**: the heat pump testcase has a heat-pump setpoint-and-enable interface; the residential hydronic testcase has a boiler/radiator direct supply-setpoint interface; and the commercial hydronic testcase has a supply-valve interface. Without adaptation, the bestest</w:t>
      </w:r>
      <w:r>
        <w:rPr>
          <w:rFonts w:ascii="Arial" w:cs="Arial" w:eastAsia="Arial" w:hAnsi="Arial"/>
          <w:sz w:val="20"/>
          <w:szCs w:val="20"/>
        </w:rPr>
        <w:t xml:space="preserve">air-trained policy's action output would land on undefined BOPTEST actuator signals, and the comparison would not be a transfer test — it would be a programming error.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Each testcase gets a per-testcase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actuator adapter config</w:t>
      </w:r>
      <w:r>
        <w:rPr>
          <w:rFonts w:ascii="Arial" w:cs="Arial" w:eastAsia="Arial" w:hAnsi="Arial"/>
          <w:sz w:val="20"/>
          <w:szCs w:val="20"/>
        </w:rPr>
        <w:t xml:space="preserve"> that maps the policy's continuous t_supply action onto the testcase's actuator interface. These configs are pre-registered separately (anchors eb7091e / 46fbaa9 / 645626e) so the mapping cannot be tuned post-hoc.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**bestest_hydronic_heat_pump**: adapter `hydronic_t_supply_to_setpoint_v1` (config: configs/block3_actuator_mapping_bestest_hydronic_heat_pump.yaml)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**bestest_hydronic**: adapter `hydronic_direct_supply_setpoint_adapter_v1`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**singlezone_commercial_hydronic**: adapter `commercial_hydronic_supply_valve_adapter_v1`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§3.  Block 3 transfer matrix — the headline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transfer matrix is the single-table summary of Block 3 across the three testcases. Read row-by-row, each row tells the controller-side story (mode=none and mode=full verdicts; m</w:t>
      </w:r>
      <w:r>
        <w:rPr>
          <w:rFonts w:ascii="Arial" w:cs="Arial" w:eastAsia="Arial" w:hAnsi="Arial"/>
          <w:sz w:val="20"/>
          <w:szCs w:val="20"/>
        </w:rPr>
        <w:t xml:space="preserve">s</w:t>
      </w:r>
      <w:r>
        <w:rPr>
          <w:rFonts w:ascii="Arial" w:cs="Arial" w:eastAsia="Arial" w:hAnsi="Arial"/>
          <w:sz w:val="20"/>
          <w:szCs w:val="20"/>
        </w:rPr>
        <w:t xml:space="preserve">RL vs m</w:t>
      </w:r>
      <w:r>
        <w:rPr>
          <w:rFonts w:ascii="Arial" w:cs="Arial" w:eastAsia="Arial" w:hAnsi="Arial"/>
          <w:sz w:val="20"/>
          <w:szCs w:val="20"/>
        </w:rPr>
        <w:t xml:space="preserve">s</w:t>
      </w:r>
      <w:r>
        <w:rPr>
          <w:rFonts w:ascii="Arial" w:cs="Arial" w:eastAsia="Arial" w:hAnsi="Arial"/>
          <w:sz w:val="20"/>
          <w:szCs w:val="20"/>
        </w:rPr>
        <w:t xml:space="preserve">PI; energy delta) and the surrogate-side story (full Stage A/B/C verdict; raw vs full RMSE</w:t>
      </w:r>
      <w:r>
        <w:rPr>
          <w:rFonts w:ascii="Arial" w:cs="Arial" w:eastAsia="Arial" w:hAnsi="Arial"/>
          <w:sz w:val="20"/>
          <w:szCs w:val="20"/>
        </w:rPr>
        <w:t xml:space="preserve">T; C</w:t>
      </w:r>
      <w:r>
        <w:rPr>
          <w:rFonts w:ascii="Arial" w:cs="Arial" w:eastAsia="Arial" w:hAnsi="Arial"/>
          <w:sz w:val="20"/>
          <w:szCs w:val="20"/>
        </w:rPr>
        <w:t xml:space="preserve">zon ratio vs bestest_air).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3 — Block 3 transfer matrix. </w:t>
      </w:r>
      <w:r>
        <w:rPr>
          <w:rFonts w:ascii="Arial" w:cs="Arial" w:eastAsia="Arial" w:hAnsi="Arial"/>
          <w:sz w:val="18"/>
          <w:szCs w:val="18"/>
        </w:rPr>
        <w:t xml:space="preserve"> Source: reports/block3_transfer_matrix.csv. Green = PASS; red = FAIL; yellow = threshold/conditional. Pass threshold per row = 1.25 × m_s_PI for that testcase.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80"/>
        <w:gridCol w:w="760"/>
        <w:gridCol w:w="760"/>
        <w:gridCol w:w="560"/>
        <w:gridCol w:w="560"/>
        <w:gridCol w:w="760"/>
        <w:gridCol w:w="760"/>
        <w:gridCol w:w="880"/>
        <w:gridCol w:w="760"/>
        <w:gridCol w:w="760"/>
        <w:gridCol w:w="640"/>
        <w:gridCol w:w="6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Testcase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Adapter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mode=none ctrl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mode=full ctrl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m_s RL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m_s PI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 threshold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Energy Δ% vs PI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Surrogate (full)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Raw RMSE_T °C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Full RMSE_T °C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RMSE % gain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C_zon ratio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bestest_hydronic_heat_pump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hydronic_t_supply_to_setpoint_v1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0.665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0.464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0.579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-7.27%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1.421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0.565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60.21%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1.892×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bestest_hydronic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hydronic_direct_supply_setpoint_adapter_v1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0.976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0.938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-5.84%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2.666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0.335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87.44%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1.954×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singlezone_commercial_hydronic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commercial_hydronic_supply_valve_adapter_v1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0.431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0.628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0.785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+35.33%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1.952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0.238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87.81%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1.909×</w:t>
            </w:r>
          </w:p>
        </w:tc>
      </w:tr>
    </w:tbl>
    <w:p>
      <w:pPr>
        <w:spacing w:after="80" w:before="160"/>
        <w:jc w:val="center"/>
      </w:pPr>
      <w:r>
        <w:drawing>
          <wp:inline distT="0" distB="0" distL="0" distR="0">
            <wp:extent cx="5669280" cy="3000000"/>
            <wp:effectExtent t="0" r="0" b="0" l="0"/>
            <wp:docPr id="1" name="main_fig5_block3_transfer_verdict_heatmap.png" descr="Figure 1. Block 3 transfer verdict heatmap (m_s_RL vs threshold, colour-coded by verdict)." title="main_fig5_block3_transfer_verdict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sz w:val="18"/>
          <w:szCs w:val="18"/>
        </w:rPr>
        <w:t xml:space="preserve">Figure 1. Block 3 transfer verdict heatmap across three testcases × {mode=none, mode=full} for the thermostatic</w:t>
      </w:r>
      <w:r>
        <w:rPr>
          <w:rFonts w:ascii="Arial" w:cs="Arial" w:eastAsia="Arial" w:hAnsi="Arial"/>
          <w:sz w:val="18"/>
          <w:szCs w:val="18"/>
        </w:rPr>
        <w:t xml:space="preserve">hybrid controller and the corresponding surrogate. Cell colour encodes the pass-threshold verdict against the pre-registered 1.25 × m</w:t>
      </w:r>
      <w:r>
        <w:rPr>
          <w:rFonts w:ascii="Arial" w:cs="Arial" w:eastAsia="Arial" w:hAnsi="Arial"/>
          <w:sz w:val="18"/>
          <w:szCs w:val="18"/>
        </w:rPr>
        <w:t xml:space="preserve">s</w:t>
      </w:r>
      <w:r>
        <w:rPr>
          <w:rFonts w:ascii="Arial" w:cs="Arial" w:eastAsia="Arial" w:hAnsi="Arial"/>
          <w:sz w:val="18"/>
          <w:szCs w:val="18"/>
        </w:rPr>
        <w:t xml:space="preserve">PI bound._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§4.  Primary testcase — bestest_hydronic_heat_pump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Predicted: easiest of the three</w:t>
      </w:r>
      <w:r>
        <w:rPr>
          <w:rFonts w:ascii="Arial" w:cs="Arial" w:eastAsia="Arial" w:hAnsi="Arial"/>
          <w:sz w:val="20"/>
          <w:szCs w:val="20"/>
        </w:rPr>
        <w:t xml:space="preserve"> (closest neighbour to bestest</w:t>
      </w:r>
      <w:r>
        <w:rPr>
          <w:rFonts w:ascii="Arial" w:cs="Arial" w:eastAsia="Arial" w:hAnsi="Arial"/>
          <w:sz w:val="20"/>
          <w:szCs w:val="20"/>
        </w:rPr>
        <w:t xml:space="preserve">air; same envelope class but with hydronic actuator + heat pump). PI yearly baseline: m</w:t>
      </w:r>
      <w:r>
        <w:rPr>
          <w:rFonts w:ascii="Arial" w:cs="Arial" w:eastAsia="Arial" w:hAnsi="Arial"/>
          <w:sz w:val="20"/>
          <w:szCs w:val="20"/>
        </w:rPr>
        <w:t xml:space="preserve">s = 0.464; violation = 34.7%; energy = 361.9 kWh. Pass threshold: m</w:t>
      </w:r>
      <w:r>
        <w:rPr>
          <w:rFonts w:ascii="Arial" w:cs="Arial" w:eastAsia="Arial" w:hAnsi="Arial"/>
          <w:sz w:val="20"/>
          <w:szCs w:val="20"/>
        </w:rPr>
        <w:t xml:space="preserve">s</w:t>
      </w:r>
      <w:r>
        <w:rPr>
          <w:rFonts w:ascii="Arial" w:cs="Arial" w:eastAsia="Arial" w:hAnsi="Arial"/>
          <w:sz w:val="20"/>
          <w:szCs w:val="20"/>
        </w:rPr>
        <w:t xml:space="preserve">RL ≤ 0.580 (= 1.25 × m</w:t>
      </w:r>
      <w:r>
        <w:rPr>
          <w:rFonts w:ascii="Arial" w:cs="Arial" w:eastAsia="Arial" w:hAnsi="Arial"/>
          <w:sz w:val="20"/>
          <w:szCs w:val="20"/>
        </w:rPr>
        <w:t xml:space="preserve">s</w:t>
      </w:r>
      <w:r>
        <w:rPr>
          <w:rFonts w:ascii="Arial" w:cs="Arial" w:eastAsia="Arial" w:hAnsi="Arial"/>
          <w:sz w:val="20"/>
          <w:szCs w:val="20"/>
        </w:rPr>
        <w:t xml:space="preserve">PI).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Mode=none (frozen recipe): m</w:t>
      </w:r>
      <w:r>
        <w:rPr>
          <w:rFonts w:ascii="Arial" w:cs="Arial" w:eastAsia="Arial" w:hAnsi="Arial"/>
          <w:sz w:val="20"/>
          <w:szCs w:val="20"/>
        </w:rPr>
        <w:t xml:space="preserve">s = 0.665 (1.43× PI), violation = 50.0%, energy = 335.6 kWh (saves 7.3% over PI's 361.9 kWh, but fails comfort). **Controller verdict: FAIL** (m</w:t>
      </w:r>
      <w:r>
        <w:rPr>
          <w:rFonts w:ascii="Arial" w:cs="Arial" w:eastAsia="Arial" w:hAnsi="Arial"/>
          <w:sz w:val="20"/>
          <w:szCs w:val="20"/>
        </w:rPr>
        <w:t xml:space="preserve">s</w:t>
      </w:r>
      <w:r>
        <w:rPr>
          <w:rFonts w:ascii="Arial" w:cs="Arial" w:eastAsia="Arial" w:hAnsi="Arial"/>
          <w:sz w:val="20"/>
          <w:szCs w:val="20"/>
        </w:rPr>
        <w:t xml:space="preserve">RL = 0.665 &gt; 0.580). The frozen bestest</w:t>
      </w:r>
      <w:r>
        <w:rPr>
          <w:rFonts w:ascii="Arial" w:cs="Arial" w:eastAsia="Arial" w:hAnsi="Arial"/>
          <w:sz w:val="20"/>
          <w:szCs w:val="20"/>
        </w:rPr>
        <w:t xml:space="preserve">air controller does NOT transfer comfort-safely to the heat-pump testcase.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Partial regimes give surrogate-side signal but cannot rescue the controller.</w:t>
      </w:r>
      <w:r>
        <w:rPr>
          <w:rFonts w:ascii="Arial" w:cs="Arial" w:eastAsia="Arial" w:hAnsi="Arial"/>
          <w:sz w:val="20"/>
          <w:szCs w:val="20"/>
        </w:rPr>
        <w:t xml:space="preserve"> Three partial variants were tried in the surrogate-side falsification probe (Stage C top-5% excitation, Stage C all-rows power-head-only, Stage C all-rows heads-only); they vary in surrogate fidelity gain but all leave the live controller KPI unchanged (because the controller is frozen by manifest scope).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4 — Primary testcase per-regime detail (controller frozen across all rows). </w:t>
      </w:r>
      <w:r>
        <w:rPr>
          <w:rFonts w:ascii="Arial" w:cs="Arial" w:eastAsia="Arial" w:hAnsi="Arial"/>
          <w:sz w:val="18"/>
          <w:szCs w:val="18"/>
        </w:rPr>
        <w:t xml:space="preserve"> Source: reports/block3_bestest_hydronic_heat_pump_transfer_summary.csv. m_s does not vary across rows because controller is frozen; what varies is surrogate fidelity.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0"/>
        <w:gridCol w:w="1480"/>
        <w:gridCol w:w="880"/>
        <w:gridCol w:w="2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Regime / artifact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RMSE_T °C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 MAE W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 baseline (yearly)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0.464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mode=none (frozen)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0.665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FAIL_CONTROL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partial: Stage C top-5%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2336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0.665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FAIL_CONTROL_DIAGNOSTIC_SURROGATE_FAIL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partial: Stage C all-rows / power-head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0.977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1765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0.665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FAIL_CONTROL_PARTIAL_POWER_SUCCESS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partial: Stage C all-rows / heads-only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0.781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1768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0.665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FAIL_CONTROL_CONDITIONAL_PASS_SURROGATE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full: Stage A/B/C all-rows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0.565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1767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0.665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FAIL_CONTROL_PASS_SURROGATE_FULL</w:t>
            </w:r>
          </w:p>
        </w:tc>
      </w:tr>
    </w:tbl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Full Stage A/B/C re-calibration</w:t>
      </w:r>
      <w:r>
        <w:rPr>
          <w:rFonts w:ascii="Arial" w:cs="Arial" w:eastAsia="Arial" w:hAnsi="Arial"/>
          <w:sz w:val="20"/>
          <w:szCs w:val="20"/>
        </w:rPr>
        <w:t xml:space="preserve">: RMSE</w:t>
      </w:r>
      <w:r>
        <w:rPr>
          <w:rFonts w:ascii="Arial" w:cs="Arial" w:eastAsia="Arial" w:hAnsi="Arial"/>
          <w:sz w:val="20"/>
          <w:szCs w:val="20"/>
        </w:rPr>
        <w:t xml:space="preserve">T improves from 0.565 °C to baseline-on-this-testcase, a 60.2% reduction; power MAE improves by 39.5%. Re-identified C</w:t>
      </w:r>
      <w:r>
        <w:rPr>
          <w:rFonts w:ascii="Arial" w:cs="Arial" w:eastAsia="Arial" w:hAnsi="Arial"/>
          <w:sz w:val="20"/>
          <w:szCs w:val="20"/>
        </w:rPr>
        <w:t xml:space="preserve">zon = 835 kJ/K,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1.892×</w:t>
      </w:r>
      <w:r>
        <w:rPr>
          <w:rFonts w:ascii="Arial" w:cs="Arial" w:eastAsia="Arial" w:hAnsi="Arial"/>
          <w:sz w:val="20"/>
          <w:szCs w:val="20"/>
        </w:rPr>
        <w:t xml:space="preserve"> the bestest_air value (4.413×10⁵ J/K). Surrogate verdict: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</w:t>
      </w:r>
      <w:r>
        <w:rPr>
          <w:rFonts w:ascii="Arial" w:cs="Arial" w:eastAsia="Arial" w:hAnsi="Arial"/>
          <w:sz w:val="20"/>
          <w:szCs w:val="20"/>
        </w:rPr>
        <w:t xml:space="preserve">. Controller verdict: still FAIL (controller is frozen).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§5.  Secondary testcase — bestest_hydronic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Predicted: mid-difficulty</w:t>
      </w:r>
      <w:r>
        <w:rPr>
          <w:rFonts w:ascii="Arial" w:cs="Arial" w:eastAsia="Arial" w:hAnsi="Arial"/>
          <w:sz w:val="20"/>
          <w:szCs w:val="20"/>
        </w:rPr>
        <w:t xml:space="preserve"> (hydronic distribution with boiler/radiator source instead of heat pump). PI yearly: m</w:t>
      </w:r>
      <w:r>
        <w:rPr>
          <w:rFonts w:ascii="Arial" w:cs="Arial" w:eastAsia="Arial" w:hAnsi="Arial"/>
          <w:sz w:val="20"/>
          <w:szCs w:val="20"/>
        </w:rPr>
        <w:t xml:space="preserve">s = 0.750; violation = 44.9%; energy = 231.4 kWh. Pass threshold: m</w:t>
      </w:r>
      <w:r>
        <w:rPr>
          <w:rFonts w:ascii="Arial" w:cs="Arial" w:eastAsia="Arial" w:hAnsi="Arial"/>
          <w:sz w:val="20"/>
          <w:szCs w:val="20"/>
        </w:rPr>
        <w:t xml:space="preserve">s_RL ≤ 0.938.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Mode=none: m</w:t>
      </w:r>
      <w:r>
        <w:rPr>
          <w:rFonts w:ascii="Arial" w:cs="Arial" w:eastAsia="Arial" w:hAnsi="Arial"/>
          <w:sz w:val="20"/>
          <w:szCs w:val="20"/>
        </w:rPr>
        <w:t xml:space="preserve">s = 0.976 (1.30× PI), violation = 68.0%, energy = 217.9 kWh. **Controller verdict: FAIL** — m</w:t>
      </w:r>
      <w:r>
        <w:rPr>
          <w:rFonts w:ascii="Arial" w:cs="Arial" w:eastAsia="Arial" w:hAnsi="Arial"/>
          <w:sz w:val="20"/>
          <w:szCs w:val="20"/>
        </w:rPr>
        <w:t xml:space="preserve">s exceeds the pre-registered 1.25× PI threshold; the secondary testcase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replicates the primary FAIL pattern</w:t>
      </w:r>
      <w:r>
        <w:rPr>
          <w:rFonts w:ascii="Arial" w:cs="Arial" w:eastAsia="Arial" w:hAnsi="Arial"/>
          <w:sz w:val="20"/>
          <w:szCs w:val="20"/>
        </w:rPr>
        <w:t xml:space="preserve">, confirming that the failure is not specific to heat-pump actuators.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Full Stage A/B/C</w:t>
      </w:r>
      <w:r>
        <w:rPr>
          <w:rFonts w:ascii="Arial" w:cs="Arial" w:eastAsia="Arial" w:hAnsi="Arial"/>
          <w:sz w:val="20"/>
          <w:szCs w:val="20"/>
        </w:rPr>
        <w:t xml:space="preserve">: RMSE</w:t>
      </w:r>
      <w:r>
        <w:rPr>
          <w:rFonts w:ascii="Arial" w:cs="Arial" w:eastAsia="Arial" w:hAnsi="Arial"/>
          <w:sz w:val="20"/>
          <w:szCs w:val="20"/>
        </w:rPr>
        <w:t xml:space="preserve">T improves by **87.4%** (2.67 → 0.335 °C), power MAE by 89.2%. C</w:t>
      </w:r>
      <w:r>
        <w:rPr>
          <w:rFonts w:ascii="Arial" w:cs="Arial" w:eastAsia="Arial" w:hAnsi="Arial"/>
          <w:sz w:val="20"/>
          <w:szCs w:val="20"/>
        </w:rPr>
        <w:t xml:space="preserve">zon = 862 kJ/K =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1.954×</w:t>
      </w:r>
      <w:r>
        <w:rPr>
          <w:rFonts w:ascii="Arial" w:cs="Arial" w:eastAsia="Arial" w:hAnsi="Arial"/>
          <w:sz w:val="20"/>
          <w:szCs w:val="20"/>
        </w:rPr>
        <w:t xml:space="preserve"> bestest_air. Surrogate verdict: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</w:t>
      </w:r>
      <w:r>
        <w:rPr>
          <w:rFonts w:ascii="Arial" w:cs="Arial" w:eastAsia="Arial" w:hAnsi="Arial"/>
          <w:sz w:val="20"/>
          <w:szCs w:val="20"/>
        </w:rPr>
        <w:t xml:space="preserve">; controller verdict: still FAIL. The N=2 evidence at this point: controller-FAIL + surrogate-PASS pattern replicates.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§6.  Stretch testcase — singlezone_commercial_hydronic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Predicted: hardest of the three</w:t>
      </w:r>
      <w:r>
        <w:rPr>
          <w:rFonts w:ascii="Arial" w:cs="Arial" w:eastAsia="Arial" w:hAnsi="Arial"/>
          <w:sz w:val="20"/>
          <w:szCs w:val="20"/>
        </w:rPr>
        <w:t xml:space="preserve"> (commercial zone volume an order of magnitude larger than bestest</w:t>
      </w:r>
      <w:r>
        <w:rPr>
          <w:rFonts w:ascii="Arial" w:cs="Arial" w:eastAsia="Arial" w:hAnsi="Arial"/>
          <w:sz w:val="20"/>
          <w:szCs w:val="20"/>
        </w:rPr>
        <w:t xml:space="preserve">air; C</w:t>
      </w:r>
      <w:r>
        <w:rPr>
          <w:rFonts w:ascii="Arial" w:cs="Arial" w:eastAsia="Arial" w:hAnsi="Arial"/>
          <w:sz w:val="20"/>
          <w:szCs w:val="20"/>
        </w:rPr>
        <w:t xml:space="preserve">zon a priori expected to scale with volume → hypothesis B = scale-dependent C_zon, a-priori probability 0.50). The stretch testcase exists specifically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probe the falsification boundary</w:t>
      </w:r>
      <w:r>
        <w:rPr>
          <w:rFonts w:ascii="Arial" w:cs="Arial" w:eastAsia="Arial" w:hAnsi="Arial"/>
          <w:sz w:val="20"/>
          <w:szCs w:val="20"/>
        </w:rPr>
        <w:t xml:space="preserve"> — to find where the hybrid recipe fails.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PI yearly: m</w:t>
      </w:r>
      <w:r>
        <w:rPr>
          <w:rFonts w:ascii="Arial" w:cs="Arial" w:eastAsia="Arial" w:hAnsi="Arial"/>
          <w:sz w:val="20"/>
          <w:szCs w:val="20"/>
        </w:rPr>
        <w:t xml:space="preserve">s = 0.628; violation = 51.5%; energy = 13523.1 kWh (note the larger absolute energy of a commercial zone). Pass threshold: m</w:t>
      </w:r>
      <w:r>
        <w:rPr>
          <w:rFonts w:ascii="Arial" w:cs="Arial" w:eastAsia="Arial" w:hAnsi="Arial"/>
          <w:sz w:val="20"/>
          <w:szCs w:val="20"/>
        </w:rPr>
        <w:t xml:space="preserve">s_RL ≤ 0.785.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Mode=none: m_s = 0.431 (0.69× PI — i.e., the RL agent's comfort is *better* than PI's).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Controller verdict: PASS</w:t>
      </w:r>
      <w:r>
        <w:rPr>
          <w:rFonts w:ascii="Arial" w:cs="Arial" w:eastAsia="Arial" w:hAnsi="Arial"/>
          <w:sz w:val="20"/>
          <w:szCs w:val="20"/>
        </w:rPr>
        <w:t xml:space="preserve"> — but with two important caveats: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**Energy: +35.3% over PI.** The RL agent achieves better comfort but consumes 18,301 kWh vs PI's 13,523 kWh. Following the manifest's pre-registered interpretation, this is a **threshold-pass, not a deployment-ready pass**: the m_s safety bound is satisfied but the energy footprint is not deployment-ready.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**This outcome falsifies a pre-registered prediction.** Pre-registered (`645626e`) expectation for mode=none controller verdict was **FAIL** with a-priori probability **0.80**, on the rationale that larger building dynamics would expose more controller misalignment. The observed PASS-with-energy-penalty refutes this prediction. The manifest's hypothesis-resolution paragraph (committed at audit anchor `7ada793`) reports this as the expected falsifiability behaviour.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Full Stage A/B/C</w:t>
      </w:r>
      <w:r>
        <w:rPr>
          <w:rFonts w:ascii="Arial" w:cs="Arial" w:eastAsia="Arial" w:hAnsi="Arial"/>
          <w:sz w:val="20"/>
          <w:szCs w:val="20"/>
        </w:rPr>
        <w:t xml:space="preserve">: RMSE</w:t>
      </w:r>
      <w:r>
        <w:rPr>
          <w:rFonts w:ascii="Arial" w:cs="Arial" w:eastAsia="Arial" w:hAnsi="Arial"/>
          <w:sz w:val="20"/>
          <w:szCs w:val="20"/>
        </w:rPr>
        <w:t xml:space="preserve">T improves by **87.8%** (1.95 → 0.238 °C). C</w:t>
      </w:r>
      <w:r>
        <w:rPr>
          <w:rFonts w:ascii="Arial" w:cs="Arial" w:eastAsia="Arial" w:hAnsi="Arial"/>
          <w:sz w:val="20"/>
          <w:szCs w:val="20"/>
        </w:rPr>
        <w:t xml:space="preserve">zon = 843 kJ/K =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1.909×</w:t>
      </w:r>
      <w:r>
        <w:rPr>
          <w:rFonts w:ascii="Arial" w:cs="Arial" w:eastAsia="Arial" w:hAnsi="Arial"/>
          <w:sz w:val="20"/>
          <w:szCs w:val="20"/>
        </w:rPr>
        <w:t xml:space="preserve"> bestest_air. Surrogate verdict: PASS.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The C_zon result is a major Popperian surprise.</w:t>
      </w:r>
      <w:r>
        <w:rPr>
          <w:rFonts w:ascii="Arial" w:cs="Arial" w:eastAsia="Arial" w:hAnsi="Arial"/>
          <w:sz w:val="20"/>
          <w:szCs w:val="20"/>
        </w:rPr>
        <w:t xml:space="preserve"> A-priori, the manifest assigned probability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0.50</w:t>
      </w:r>
      <w:r>
        <w:rPr>
          <w:rFonts w:ascii="Arial" w:cs="Arial" w:eastAsia="Arial" w:hAnsi="Arial"/>
          <w:sz w:val="20"/>
          <w:szCs w:val="20"/>
        </w:rPr>
        <w:t xml:space="preserve"> to hypothesis B (commercial-scale C</w:t>
      </w:r>
      <w:r>
        <w:rPr>
          <w:rFonts w:ascii="Arial" w:cs="Arial" w:eastAsia="Arial" w:hAnsi="Arial"/>
          <w:sz w:val="20"/>
          <w:szCs w:val="20"/>
        </w:rPr>
        <w:t xml:space="preserve">zon 3–10× larger) and only **0.35** to hypothesis A (uniform hydronic-family 1.7–2.2× larger). The observed C</w:t>
      </w:r>
      <w:r>
        <w:rPr>
          <w:rFonts w:ascii="Arial" w:cs="Arial" w:eastAsia="Arial" w:hAnsi="Arial"/>
          <w:sz w:val="20"/>
          <w:szCs w:val="20"/>
        </w:rPr>
        <w:t xml:space="preserve">zon ratio = 1.909× falls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inside the lower-probability hypothesis A range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falsifying</w:t>
      </w:r>
      <w:r>
        <w:rPr>
          <w:rFonts w:ascii="Arial" w:cs="Arial" w:eastAsia="Arial" w:hAnsi="Arial"/>
          <w:sz w:val="20"/>
          <w:szCs w:val="20"/>
        </w:rPr>
        <w:t xml:space="preserve"> hypothesis B. The hydronic-family C</w:t>
      </w:r>
      <w:r>
        <w:rPr>
          <w:rFonts w:ascii="Arial" w:cs="Arial" w:eastAsia="Arial" w:hAnsi="Arial"/>
          <w:sz w:val="20"/>
          <w:szCs w:val="20"/>
        </w:rPr>
        <w:t xml:space="preserve">zon appears to be a property of the heating system type, not of the zone volume. This is reported in §8 as the C</w:t>
      </w:r>
      <w:r>
        <w:rPr>
          <w:rFonts w:ascii="Arial" w:cs="Arial" w:eastAsia="Arial" w:hAnsi="Arial"/>
          <w:sz w:val="20"/>
          <w:szCs w:val="20"/>
        </w:rPr>
        <w:t xml:space="preserve">zon consistency analysis.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§7.  C_zon consistency — the hydronic-family uniform-mass hypothesis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5 — C_zon re-identification across N=4 testcases (bestest_air baseline + 3 hydronic). </w:t>
      </w:r>
      <w:r>
        <w:rPr>
          <w:rFonts w:ascii="Arial" w:cs="Arial" w:eastAsia="Arial" w:hAnsi="Arial"/>
          <w:sz w:val="18"/>
          <w:szCs w:val="18"/>
        </w:rPr>
        <w:t xml:space="preserve"> Sources: reports/block3_transfer_matrix.csv c_zon_ratio_vs_bestest_air column; Block 1 §2.2 for bestest_air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Testcase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C_zon (J/K)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 vs bestest_air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bestest_air (Block 1 §2.2)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4.413e+5 J/K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1.000 × (baseline)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bestest_hydronic_heat_pump (PRIMARY)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8.347e+5 J/K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1.892 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bestest_hydronic (SECONDARY)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8.622e+5 J/K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1.954 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singlezone_commercial_hydronic (STRETCH)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8.425e+5 J/K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1.909 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Hydronic-family mean ± std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846 kJ/K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1.918 ± 0.032 (range 1.89 – 1.95)</w:t>
            </w:r>
          </w:p>
        </w:tc>
      </w:tr>
    </w:tbl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Across the three hydronic testcases, C</w:t>
      </w:r>
      <w:r>
        <w:rPr>
          <w:rFonts w:ascii="Arial" w:cs="Arial" w:eastAsia="Arial" w:hAnsi="Arial"/>
          <w:sz w:val="20"/>
          <w:szCs w:val="20"/>
        </w:rPr>
        <w:t xml:space="preserve">zon re-identification by Stage A/B/C falls within a tight **1.89 – 1.95** range — mean 1.918 ± 0.032 × bestest</w:t>
      </w:r>
      <w:r>
        <w:rPr>
          <w:rFonts w:ascii="Arial" w:cs="Arial" w:eastAsia="Arial" w:hAnsi="Arial"/>
          <w:sz w:val="20"/>
          <w:szCs w:val="20"/>
        </w:rPr>
        <w:t xml:space="preserve">air. This is the strongest single physical finding of Block 3: the calibrated thermal capacitance of the hydronic-family single-zone testcases is approximately uniform, and is approximately twice the bestest_air air-zone thermal capacitance.</w:t>
      </w:r>
    </w:p>
    <w:p>
      <w:pPr>
        <w:spacing w:after="80" w:before="160"/>
        <w:jc w:val="center"/>
      </w:pPr>
      <w:r>
        <w:drawing>
          <wp:inline distT="0" distB="0" distL="0" distR="0">
            <wp:extent cx="5669280" cy="3000000"/>
            <wp:effectExtent t="0" r="0" b="0" l="0"/>
            <wp:docPr id="1" name="main_fig6_block3_czon_consistency.png" descr="Figure 2. C_zon consistency across hydronic testcases." title="main_fig6_block3_czon_consist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sz w:val="18"/>
          <w:szCs w:val="18"/>
        </w:rPr>
        <w:t xml:space="preserve">Figure 2. C</w:t>
      </w:r>
      <w:r>
        <w:rPr>
          <w:rFonts w:ascii="Arial" w:cs="Arial" w:eastAsia="Arial" w:hAnsi="Arial"/>
          <w:sz w:val="18"/>
          <w:szCs w:val="18"/>
        </w:rPr>
        <w:t xml:space="preserve">zon re-identified by full Stage A/B/C on each hydronic testcase, normalised by the bestest</w:t>
      </w:r>
      <w:r>
        <w:rPr>
          <w:rFonts w:ascii="Arial" w:cs="Arial" w:eastAsia="Arial" w:hAnsi="Arial"/>
          <w:sz w:val="18"/>
          <w:szCs w:val="18"/>
        </w:rPr>
        <w:t xml:space="preserve">air baseline. The three hydronic ratios cluster within ±2% of 1.92×, despite testcase 3 having an order-of-magnitude larger zone volume. Pre-registered hypothesis B (volume-dependent C</w:t>
      </w:r>
      <w:r>
        <w:rPr>
          <w:rFonts w:ascii="Arial" w:cs="Arial" w:eastAsia="Arial" w:hAnsi="Arial"/>
          <w:sz w:val="18"/>
          <w:szCs w:val="18"/>
        </w:rPr>
        <w:t xml:space="preserve">zon, a-priori 0.50) is falsified; hypothesis A (uniform hydronic-family, a-priori 0.35) is confirmed._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Why this matters scientifically</w:t>
      </w:r>
      <w:r>
        <w:rPr>
          <w:rFonts w:ascii="Arial" w:cs="Arial" w:eastAsia="Arial" w:hAnsi="Arial"/>
          <w:sz w:val="20"/>
          <w:szCs w:val="20"/>
        </w:rPr>
        <w:t xml:space="preserve">: the inverse calibration framework re-identifies a physically meaningful parameter that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transferable</w:t>
      </w:r>
      <w:r>
        <w:rPr>
          <w:rFonts w:ascii="Arial" w:cs="Arial" w:eastAsia="Arial" w:hAnsi="Arial"/>
          <w:sz w:val="20"/>
          <w:szCs w:val="20"/>
        </w:rPr>
        <w:t xml:space="preserve"> across the hydronic family without scaling with the obvious zone-size proxy. This generalises the calibration component of the v3.5 surrogate beyond a single building.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§8.  Hypothesis closure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manifest pre-registered four hypotheses with explicit operational definitions. Block 3 closes all four with the verdicts below; the evidence column references the row(s) of the transfer matrix that drive each verdict.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6 — Hypothesis closure. </w:t>
      </w:r>
      <w:r>
        <w:rPr>
          <w:rFonts w:ascii="Arial" w:cs="Arial" w:eastAsia="Arial" w:hAnsi="Arial"/>
          <w:sz w:val="18"/>
          <w:szCs w:val="18"/>
        </w:rPr>
        <w:t xml:space="preserve"> Source: configs/block3_testcase_manifest.yaml `aggregated_results.hypothesis_status_final` block (appended after Block 3 close — audit anchor 7ada793).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208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Hypothesis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Claim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H1_strong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Frozen-recipe deployment at mode=none produces deployment-ready transfer on hydronic family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FALSIFIED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Frozen deployment FAILS pre-registered 1.25× PI safety threshold on N=2 of N=3 (primary + secondary). Stretch is a THRESHOLD PASS only — m_s_RL = 0.431 ≤ 0.785 — but uses 35.3% more energy than PI, so not deployment-ready.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H2_medium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 Stage C recalibration is sufficient to recover controller transfer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FALSIFIED_BY_STRUCTURAL_DEFINITION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 regime recalibrates only surrogate Stage C; the controller is frozen by manifest scope. Therefore live controller KPI cannot change vs mode=none unless controller fine-tuning is added (explicitly excluded by scope.deliberately_NOT_claimed).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H3_weak (surrogate side)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Stage A/B/C recalibration produces a usable surrogate on the new testcase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SUPPORTED on N=3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60.2% (primary) / 87.4% (secondary) / 87.8% (stretch) RMSE_T improvement under full recalibration. C_zon re-identified consistently in 1.89–1.95× range vs bestest_air. Inverse surrogate-calibration component transfers.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H3_weak (controller side)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Frozen controller transfers given a valid actuator adapter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FALSIFIED with regime-dependent failure modes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 transfer is not universally reliable under the frozen-method scope. Residential hydronic (primary + secondary) fails comfort; commercial stretch passes safety but at large energy cost.</w:t>
            </w:r>
          </w:p>
        </w:tc>
      </w:tr>
    </w:tbl>
    <w:p>
      <w:pPr>
        <w:spacing w:after="120" w:before="16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Headline reading</w:t>
      </w:r>
      <w:r>
        <w:rPr>
          <w:rFonts w:ascii="Arial" w:cs="Arial" w:eastAsia="Arial" w:hAnsi="Arial"/>
          <w:sz w:val="20"/>
          <w:szCs w:val="20"/>
        </w:rPr>
        <w:t xml:space="preserve">: the surrogate-side (inverse calibration) of the v3.5 pipeline transfers to the hydronic family with strong RMSE</w:t>
      </w:r>
      <w:r>
        <w:rPr>
          <w:rFonts w:ascii="Arial" w:cs="Arial" w:eastAsia="Arial" w:hAnsi="Arial"/>
          <w:sz w:val="20"/>
          <w:szCs w:val="20"/>
        </w:rPr>
        <w:t xml:space="preserve">T improvements (60–88%) and a near-uniform C</w:t>
      </w:r>
      <w:r>
        <w:rPr>
          <w:rFonts w:ascii="Arial" w:cs="Arial" w:eastAsia="Arial" w:hAnsi="Arial"/>
          <w:sz w:val="20"/>
          <w:szCs w:val="20"/>
        </w:rPr>
        <w:t xml:space="preserve">zon re-identification. The controller-side (frozen bestest_air policy through a per-testcase actuator adapter)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universally</w:t>
      </w:r>
      <w:r>
        <w:rPr>
          <w:rFonts w:ascii="Arial" w:cs="Arial" w:eastAsia="Arial" w:hAnsi="Arial"/>
          <w:sz w:val="20"/>
          <w:szCs w:val="20"/>
        </w:rPr>
        <w:t xml:space="preserve"> deployment-ready: it fails comfort on residential hydronic cases and passes only conditionally on the commercial case (with a +35% energy penalty).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§9.  Pre-registered predictions vs observed outcomes — Popperian audit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stretch testcase carried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specific numerical pre-registered predictions</w:t>
      </w:r>
      <w:r>
        <w:rPr>
          <w:rFonts w:ascii="Arial" w:cs="Arial" w:eastAsia="Arial" w:hAnsi="Arial"/>
          <w:sz w:val="20"/>
          <w:szCs w:val="20"/>
        </w:rPr>
        <w:t xml:space="preserve"> with a-priori probabilities (audit anchor 645626e, logged 2026-05-19, before any singlezone</w:t>
      </w:r>
      <w:r>
        <w:rPr>
          <w:rFonts w:ascii="Arial" w:cs="Arial" w:eastAsia="Arial" w:hAnsi="Arial"/>
          <w:sz w:val="20"/>
          <w:szCs w:val="20"/>
        </w:rPr>
        <w:t xml:space="preserve">commercial</w:t>
      </w:r>
      <w:r>
        <w:rPr>
          <w:rFonts w:ascii="Arial" w:cs="Arial" w:eastAsia="Arial" w:hAnsi="Arial"/>
          <w:sz w:val="20"/>
          <w:szCs w:val="20"/>
        </w:rPr>
        <w:t xml:space="preserve">hydronic BOPTEST episode ran). Reporting the predicted-vs-observed mapping is the central Popperian discipline of Block 3: if the predictions had all been confirmed, that would be a much weaker result than mixed confirmation + falsification.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7 — Stretch testcase pre-registered predictions vs observed outcomes. </w:t>
      </w:r>
      <w:r>
        <w:rPr>
          <w:rFonts w:ascii="Arial" w:cs="Arial" w:eastAsia="Arial" w:hAnsi="Arial"/>
          <w:sz w:val="18"/>
          <w:szCs w:val="18"/>
        </w:rPr>
        <w:t xml:space="preserve"> Source: configs/block3_testcase_manifest.yaml `stretch_testcase_predictions` block.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80"/>
        <w:gridCol w:w="1880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Pre-registered expectation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A-priori probability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outcome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mode=none controller verdict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mode=full surrogate RMSE % gain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[50, 90] 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87.81 %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C_zon hypothesis A (uniform hydronic)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[1.7, 2.2] ×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1.909 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C_zon hypothesis B (scale-dependent)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[3, 10] ×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1.909 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C_zon hypothesis C (pipeline failure)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Stage A/B/C fails to converge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Stage A/B/C converged in all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FALSIFIED</w:t>
            </w:r>
          </w:p>
        </w:tc>
      </w:tr>
    </w:tbl>
    <w:p>
      <w:pPr>
        <w:spacing w:after="120" w:before="16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Two surprises were registered.</w:t>
      </w:r>
      <w:r>
        <w:rPr>
          <w:rFonts w:ascii="Arial" w:cs="Arial" w:eastAsia="Arial" w:hAnsi="Arial"/>
          <w:sz w:val="20"/>
          <w:szCs w:val="20"/>
        </w:rPr>
        <w:t xml:space="preserve"> (1) The pre-registered mode=none controller FAIL prediction (a-priori 0.80) was falsified: the stretch testcase PASSED on comfort safety. This is mitigated by the +35% energy penalty, but it does refute the literal prediction. (2) The pre-registered C</w:t>
      </w:r>
      <w:r>
        <w:rPr>
          <w:rFonts w:ascii="Arial" w:cs="Arial" w:eastAsia="Arial" w:hAnsi="Arial"/>
          <w:sz w:val="20"/>
          <w:szCs w:val="20"/>
        </w:rPr>
        <w:t xml:space="preserve">zon scale-dependent hypothesis B (a-priori 0.50) was falsified in favour of the lower-probability uniform hypothesis A (a-priori 0.35). **Two predictions were confirmed.** (3) Full-recalibration surrogate RMSE improvement landed inside the pre-registered [50, 90]% range. (4) C</w:t>
      </w:r>
      <w:r>
        <w:rPr>
          <w:rFonts w:ascii="Arial" w:cs="Arial" w:eastAsia="Arial" w:hAnsi="Arial"/>
          <w:sz w:val="20"/>
          <w:szCs w:val="20"/>
        </w:rPr>
        <w:t xml:space="preserve">zon hypothesis A range [1.7, 2.2]× contained the observed 1.909×.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Falsifiable physics</w:t>
      </w:r>
      <w:r>
        <w:rPr>
          <w:rFonts w:ascii="Arial" w:cs="Arial" w:eastAsia="Arial" w:hAnsi="Arial"/>
          <w:sz w:val="20"/>
          <w:szCs w:val="20"/>
        </w:rPr>
        <w:t xml:space="preserve">: both surprises shifted us toward hypotheses we had a-priori assigned lower probability. This is the desired direction of scientific progress: pre-registered alternatives were genuinely competing, and the evidence settled them without post-hoc rationalisation.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§10.  Synthesis and Block 4 implications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§10.1  What Block 3 establishes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**Surrogate-side transferability of v3.5 inverse calibration is supported on N=3** — Stage A/B/C produces 60–88% RMSE_T improvement on each new testcase, with consistent C_zon re-identification within a tight band.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**Hydronic-family uniform C_zon hypothesis is supported** (1.89–1.95× bestest_air, mean 1.92×, σ=0.032). The C_zon does not scale with zone volume in the tested range.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**Controller-side frozen transfer is falsified on N=3** — residential hydronic fails comfort; commercial stretch fails energy threshold (despite passing safety). Frozen-method transfer is not deployment-ready.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**Pre-registered claim boundary holds** — Block 3 deliberately did not claim universal building generalisation or continual learning. The negative controller-side result is exactly the kind of result the manifest was designed to surface honestly.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§10.2  Block 4 implications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honest reading after Block 3 close points to four concrete future-work items, each falsifiable in its own right: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**Controller fine-tuning on target testcase**: Block 3 deliberately froze controllers. Block 4 can ask whether 100k-step BOPTEST live-finetune (as in Block 2 MORL §1.7) recovers comfort on the residential hydronic cases.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**Hybrid-family-specific λ values**: the bestest_air-optimal λ_temp = 0.10 may not be optimal for the hydronic actuator regime. A small λ sweep on the heat-pump testcase would parallel Block 2 §5 (HDRL sweep).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**Extended N for C_zon uniformity**: N=3 hydronic suggests uniform C_zon × 1.92, but a wider sample (heat-pump + boiler-radiator + valve + radiant + VRF) would establish whether the uniformity is hydronic-family or HVAC-family-wide.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**Energy-aware reward augmentation for the stretch regime**: the commercial testcase's +35% energy penalty suggests adding an energy term whose weight depends on the building scale, or a constraint-style energy ceiling, would shift the threshold-pass into a deployment-ready pass.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606060"/>
          <w:sz w:val="16"/>
          <w:szCs w:val="16"/>
        </w:rPr>
        <w:t xml:space="preserve">Block 3 Complete Results — cross-checked 2026-05-28 against configs/block3_testcase_manifest.yaml, configs/block3_actuator_mapping_*.yaml, reports/block3_transfer_matrix.csv, reports/block3_*_transfer_summary.csv, reports/block3_hydronic_family_n2_summary.csv, outputs/block3_*/pi_baseline_15min_yearly/pi_yearly_summary.csv, outputs/block3_*/thermostatic_hybrid_l010_adapter_none/, and git log audit anchors 1861e48, 2f9d596, eb7091e, 46fbaa9, 645626e, 7ada793, cb7025f.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Block 3 Complete Results —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be7e72e99178707c8ed8c6847f6c6b686bd52a4.png"/><Relationship Id="rId9" Type="http://schemas.openxmlformats.org/officeDocument/2006/relationships/image" Target="media/a00086e668272d7789234ceccaf6c621e3cd16d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2026-05-28T17:49:41.647Z</dcterms:created>
  <dcterms:modified xsi:type="dcterms:W3CDTF">2026-05-28T17:49:41.648Z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