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Львівський національний університет імені Івана Франка</w:t>
      </w:r>
    </w:p>
    <w:p>
      <w:pPr>
        <w:jc w:val="center"/>
      </w:pPr>
      <w:r>
        <w:t>Кафедра математичної статистики і диференціальних рівнянь</w:t>
      </w:r>
    </w:p>
    <w:p/>
    <w:p>
      <w:pPr>
        <w:pStyle w:val="Title"/>
      </w:pPr>
      <w:r>
        <w:t>КОНЦЕПЦІЯ ТА ПЛАН</w:t>
        <w:br/>
        <w:t>ДИПЛОМНОЇ РОБОТИ</w:t>
      </w:r>
    </w:p>
    <w:p>
      <w:pPr>
        <w:pStyle w:val="Subtitle"/>
      </w:pPr>
      <w:r>
        <w:t>Статистичний аналіз надзвичайних ситуацій в Україні та розроблення вебсистеми оцінювання їх частоти й ризику виникнення</w:t>
      </w:r>
    </w:p>
    <w:p>
      <w:r>
        <w:t>Робочий документ для обговорення з науковим керівником</w:t>
      </w:r>
    </w:p>
    <w:p>
      <w:r>
        <w:t>Основа: курсова робота «Статистика надзвичайних ситуацій в Австралії та Новій Зеландії».</w:t>
      </w:r>
    </w:p>
    <w:p>
      <w:r>
        <w:t>Автор попередньої курсової роботи: Лінник Максим.</w:t>
        <w:br/>
        <w:t>Науковий керівник у курсовій: доц. Базилевич І. Б.</w:t>
      </w:r>
    </w:p>
    <w:p>
      <w:r>
        <w:t>Дата підготовки: 29 вересня 2026 року.</w:t>
        <w:br/>
        <w:t>Статус: проєкт концепції; період дослідження, склад даних і остаточна тема уточнюються після аудиту джерел.</w:t>
      </w:r>
    </w:p>
    <w:p>
      <w:r>
        <w:t>Документ описує заплановану роботу. Наведені моделі, функції сайту та структура даних є пропозицією, а не результатами вже виконаних експериментів.</w:t>
      </w:r>
    </w:p>
    <w:p>
      <w:r>
        <w:br w:type="page"/>
      </w:r>
    </w:p>
    <w:p>
      <w:pPr>
        <w:pStyle w:val="Heading1"/>
      </w:pPr>
      <w:r>
        <w:t>Навігація</w:t>
      </w:r>
    </w:p>
    <w:p>
      <w:r>
        <w:t>1. Концепція та мета роботи</w:t>
      </w:r>
    </w:p>
    <w:p>
      <w:r>
        <w:t>2. Зв’язок із попередньою курсовою</w:t>
      </w:r>
    </w:p>
    <w:p>
      <w:r>
        <w:t>3. Джерела та обсяг даних</w:t>
      </w:r>
    </w:p>
    <w:p>
      <w:r>
        <w:t>4. Функції вебкалькулятора</w:t>
      </w:r>
    </w:p>
    <w:p>
      <w:r>
        <w:t>5. Архітектура системи</w:t>
      </w:r>
    </w:p>
    <w:p>
      <w:r>
        <w:t>6. Очищення та нормалізація даних</w:t>
      </w:r>
    </w:p>
    <w:p>
      <w:r>
        <w:t>7. Математичні методи та перевірка моделей</w:t>
      </w:r>
    </w:p>
    <w:p>
      <w:r>
        <w:t>8. Орієнтовний зміст дипломної</w:t>
      </w:r>
    </w:p>
    <w:p>
      <w:r>
        <w:t>9. План виконання</w:t>
      </w:r>
    </w:p>
    <w:p>
      <w:r>
        <w:t>10. Очікувані результати та критерії готовності</w:t>
      </w:r>
    </w:p>
    <w:p>
      <w:r>
        <w:t>11. Джерела інформації</w:t>
      </w:r>
    </w:p>
    <w:p>
      <w:r>
        <w:t>Розділи оформлено стилями заголовків Word; для переходу між ними можна використати область навігації.</w:t>
      </w:r>
    </w:p>
    <w:p>
      <w:pPr>
        <w:pStyle w:val="Heading1"/>
      </w:pPr>
      <w:r>
        <w:t>1. Концепція та мета роботи</w:t>
      </w:r>
    </w:p>
    <w:p>
      <w:r>
        <w:t>Робоча тема: «Статистичний аналіз надзвичайних ситуацій в Україні та розроблення вебсистеми оцінювання їх частоти й ризику виникнення».</w:t>
      </w:r>
    </w:p>
    <w:p>
      <w:r>
        <w:t>Мета — сформувати перевірений набір даних про надзвичайні ситуації в Україні, дослідити часові та регіональні закономірності, порівняти статистичні моделі й реалізувати доступ до результатів через вебзастосунок.</w:t>
      </w:r>
    </w:p>
    <w:p>
      <w:r>
        <w:t>Об’єкт дослідження — зареєстровані надзвичайні ситуації та катастрофи на території України в межах доступного періоду спостереження. Предмет — методи підготовки даних, статистичного аналізу, моделювання частоти подій та представлення оцінок у вебсистемі.</w:t>
      </w:r>
    </w:p>
    <w:p>
      <w:pPr>
        <w:pStyle w:val="ListBullet"/>
      </w:pPr>
      <w:r>
        <w:t>Сформувати набір даних із простежуваним походженням та описаними обмеженнями.</w:t>
      </w:r>
    </w:p>
    <w:p>
      <w:pPr>
        <w:pStyle w:val="ListBullet"/>
      </w:pPr>
      <w:r>
        <w:t>Дослідити структуру подій, динаміку, сезонність і територіальні відмінності.</w:t>
      </w:r>
    </w:p>
    <w:p>
      <w:pPr>
        <w:pStyle w:val="ListBullet"/>
      </w:pPr>
      <w:r>
        <w:t>Порівняти базові та складніші статистичні моделі на відкладених часових періодах.</w:t>
      </w:r>
    </w:p>
    <w:p>
      <w:pPr>
        <w:pStyle w:val="ListBullet"/>
      </w:pPr>
      <w:r>
        <w:t>Розробити вебсистему на React і Python із каталогом, графіками, картою та калькулятором.</w:t>
      </w:r>
    </w:p>
    <w:p>
      <w:pPr>
        <w:pStyle w:val="ListBullet"/>
      </w:pPr>
      <w:r>
        <w:t>Забезпечити відтворення обробки даних, навчання моделей і запуску програми.</w:t>
      </w:r>
    </w:p>
    <w:p>
      <w:r>
        <w:t>Основний дослідницький внесок — визначити, які оцінки можна обґрунтовано отримати з наявних українських даних і наскільки вони надійні. Новизну не слід заявляти як доведену до завершення огляду літератури та експериментів.</w:t>
      </w:r>
    </w:p>
    <w:p>
      <w:pPr>
        <w:pStyle w:val="Heading1"/>
      </w:pPr>
      <w:r>
        <w:t>2. Зв’язок із попередньою курсовою</w:t>
      </w:r>
    </w:p>
    <w:p>
      <w:r>
        <w:t>У документі «Курсова ЛНУ.docx» досліджуються Австралія та Нова Зеландія на основі EM-DAT. Описано очищення даних, тренди, сезонність, STL-декомпозицію, статистичні тести та ARIMA. На момент підготовки плану в робочій папці був документ курсової; окремих файлів датасету та Jupyter Notebook не було.</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Основа курсової</w:t>
            </w:r>
          </w:p>
        </w:tc>
        <w:tc>
          <w:tcPr>
            <w:tcW w:type="dxa" w:w="4734"/>
          </w:tcPr>
          <w:p>
            <w:r>
              <w:t>Розвиток у дипломній</w:t>
            </w:r>
          </w:p>
        </w:tc>
      </w:tr>
      <w:tr>
        <w:tc>
          <w:tcPr>
            <w:tcW w:type="dxa" w:w="4734"/>
          </w:tcPr>
          <w:p>
            <w:pPr>
              <w:spacing w:after="80"/>
            </w:pPr>
            <w:r>
              <w:rPr>
                <w:sz w:val="20"/>
              </w:rPr>
              <w:t>EM-DAT, Австралія та Нова Зеландія</w:t>
            </w:r>
          </w:p>
        </w:tc>
        <w:tc>
          <w:tcPr>
            <w:tcW w:type="dxa" w:w="4734"/>
          </w:tcPr>
          <w:p>
            <w:pPr>
              <w:spacing w:after="80"/>
            </w:pPr>
            <w:r>
              <w:rPr>
                <w:sz w:val="20"/>
              </w:rPr>
              <w:t>Україна; аудит EM-DAT і зіставлення з ДСНС</w:t>
            </w:r>
          </w:p>
        </w:tc>
      </w:tr>
      <w:tr>
        <w:tc>
          <w:tcPr>
            <w:tcW w:type="dxa" w:w="4734"/>
          </w:tcPr>
          <w:p>
            <w:pPr>
              <w:spacing w:after="80"/>
            </w:pPr>
            <w:r>
              <w:rPr>
                <w:sz w:val="20"/>
              </w:rPr>
              <w:t>Опис очищення готового набору</w:t>
            </w:r>
          </w:p>
        </w:tc>
        <w:tc>
          <w:tcPr>
            <w:tcW w:type="dxa" w:w="4734"/>
          </w:tcPr>
          <w:p>
            <w:pPr>
              <w:spacing w:after="80"/>
            </w:pPr>
            <w:r>
              <w:rPr>
                <w:sz w:val="20"/>
              </w:rPr>
              <w:t>Відтворюваний процес обробки від оригіналів до аналітичних таблиць</w:t>
            </w:r>
          </w:p>
        </w:tc>
      </w:tr>
      <w:tr>
        <w:tc>
          <w:tcPr>
            <w:tcW w:type="dxa" w:w="4734"/>
          </w:tcPr>
          <w:p>
            <w:pPr>
              <w:spacing w:after="80"/>
            </w:pPr>
            <w:r>
              <w:rPr>
                <w:sz w:val="20"/>
              </w:rPr>
              <w:t>Тренди, сезонність, ARIMA</w:t>
            </w:r>
          </w:p>
        </w:tc>
        <w:tc>
          <w:tcPr>
            <w:tcW w:type="dxa" w:w="4734"/>
          </w:tcPr>
          <w:p>
            <w:pPr>
              <w:spacing w:after="80"/>
            </w:pPr>
            <w:r>
              <w:rPr>
                <w:sz w:val="20"/>
              </w:rPr>
              <w:t>Порівняння моделей та перевірка на майбутніх відносно навчання періодах</w:t>
            </w:r>
          </w:p>
        </w:tc>
      </w:tr>
      <w:tr>
        <w:tc>
          <w:tcPr>
            <w:tcW w:type="dxa" w:w="4734"/>
          </w:tcPr>
          <w:p>
            <w:pPr>
              <w:spacing w:after="80"/>
            </w:pPr>
            <w:r>
              <w:rPr>
                <w:sz w:val="20"/>
              </w:rPr>
              <w:t>Графіки у дослідницькому середовищі</w:t>
            </w:r>
          </w:p>
        </w:tc>
        <w:tc>
          <w:tcPr>
            <w:tcW w:type="dxa" w:w="4734"/>
          </w:tcPr>
          <w:p>
            <w:pPr>
              <w:spacing w:after="80"/>
            </w:pPr>
            <w:r>
              <w:rPr>
                <w:sz w:val="20"/>
              </w:rPr>
              <w:t>Інтерактивний вебінтерфейс і калькулятор</w:t>
            </w:r>
          </w:p>
        </w:tc>
      </w:tr>
      <w:tr>
        <w:tc>
          <w:tcPr>
            <w:tcW w:type="dxa" w:w="4734"/>
          </w:tcPr>
          <w:p>
            <w:pPr>
              <w:spacing w:after="80"/>
            </w:pPr>
            <w:r>
              <w:rPr>
                <w:sz w:val="20"/>
              </w:rPr>
              <w:t>Опис можливого практичного застосування</w:t>
            </w:r>
          </w:p>
        </w:tc>
        <w:tc>
          <w:tcPr>
            <w:tcW w:type="dxa" w:w="4734"/>
          </w:tcPr>
          <w:p>
            <w:pPr>
              <w:spacing w:after="80"/>
            </w:pPr>
            <w:r>
              <w:rPr>
                <w:sz w:val="20"/>
              </w:rPr>
              <w:t>Працюючий програмний продукт із перевіреними розрахунками</w:t>
            </w:r>
          </w:p>
        </w:tc>
      </w:tr>
    </w:tbl>
    <w:p/>
    <w:p>
      <w:r>
        <w:t>Висновки щодо сезонності та трендів Австралії й Нової Зеландії не переносяться на Україну автоматично. Усі висновки потрібно отримати заново. Близьке до нуля середнє залишків не доводить якості моделі; R² тренду не підтверджує точності прогнозу. STL застосовується лише за обґрунтованого періоду сезонності.</w:t>
      </w:r>
    </w:p>
    <w:p>
      <w:pPr>
        <w:pStyle w:val="Heading1"/>
      </w:pPr>
      <w:r>
        <w:t>3. Джерела та обсяг даних</w:t>
      </w:r>
    </w:p>
    <w:p>
      <w:r>
        <w:t>Наявність одного великого й повного набору всіх НС в Україні з 1950 року наразі не підтверджена. Початковий рік, кількість записів та доступна регіональність визначаються після завантаження й аудиту даних.</w:t>
      </w:r>
    </w:p>
    <w:tbl>
      <w:tblPr>
        <w:tblStyle w:val="LightShading-Accent1"/>
        <w:tblW w:type="auto" w:w="0"/>
        <w:tblLook w:firstColumn="1" w:firstRow="1" w:lastColumn="0" w:lastRow="0" w:noHBand="0" w:noVBand="1" w:val="04A0"/>
      </w:tblPr>
      <w:tblGrid>
        <w:gridCol w:w="3156"/>
        <w:gridCol w:w="3156"/>
        <w:gridCol w:w="3156"/>
      </w:tblGrid>
      <w:tr>
        <w:trPr>
          <w:tblHeader/>
        </w:trPr>
        <w:tc>
          <w:tcPr>
            <w:tcW w:type="dxa" w:w="3156"/>
          </w:tcPr>
          <w:p>
            <w:r>
              <w:t>Джерело</w:t>
            </w:r>
          </w:p>
        </w:tc>
        <w:tc>
          <w:tcPr>
            <w:tcW w:type="dxa" w:w="3156"/>
          </w:tcPr>
          <w:p>
            <w:r>
              <w:t>Дані та призначення</w:t>
            </w:r>
          </w:p>
        </w:tc>
        <w:tc>
          <w:tcPr>
            <w:tcW w:type="dxa" w:w="3156"/>
          </w:tcPr>
          <w:p>
            <w:r>
              <w:t>Обмеження</w:t>
            </w:r>
          </w:p>
        </w:tc>
      </w:tr>
      <w:tr>
        <w:tc>
          <w:tcPr>
            <w:tcW w:type="dxa" w:w="3156"/>
          </w:tcPr>
          <w:p>
            <w:pPr>
              <w:spacing w:after="80"/>
            </w:pPr>
            <w:r>
              <w:rPr>
                <w:sz w:val="20"/>
              </w:rPr>
              <w:t>EM-DAT [1–3]</w:t>
            </w:r>
          </w:p>
        </w:tc>
        <w:tc>
          <w:tcPr>
            <w:tcW w:type="dxa" w:w="3156"/>
          </w:tcPr>
          <w:p>
            <w:pPr>
              <w:spacing w:after="80"/>
            </w:pPr>
            <w:r>
              <w:rPr>
                <w:sz w:val="20"/>
              </w:rPr>
              <w:t>Великі природні й техногенні катастрофи, людські втрати, постраждалі та збитки. Основний каталог подій.</w:t>
            </w:r>
          </w:p>
        </w:tc>
        <w:tc>
          <w:tcPr>
            <w:tcW w:type="dxa" w:w="3156"/>
          </w:tcPr>
          <w:p>
            <w:pPr>
              <w:spacing w:after="80"/>
            </w:pPr>
            <w:r>
              <w:rPr>
                <w:sz w:val="20"/>
              </w:rPr>
              <w:t>Охоплює великі катастрофи за критеріями включення; не є повним реєстром усіх локальних інцидентів.</w:t>
            </w:r>
          </w:p>
        </w:tc>
      </w:tr>
      <w:tr>
        <w:tc>
          <w:tcPr>
            <w:tcW w:type="dxa" w:w="3156"/>
          </w:tcPr>
          <w:p>
            <w:pPr>
              <w:spacing w:after="80"/>
            </w:pPr>
            <w:r>
              <w:rPr>
                <w:sz w:val="20"/>
              </w:rPr>
              <w:t>ДСНС [4]</w:t>
            </w:r>
          </w:p>
        </w:tc>
        <w:tc>
          <w:tcPr>
            <w:tcW w:type="dxa" w:w="3156"/>
          </w:tcPr>
          <w:p>
            <w:pPr>
              <w:spacing w:after="80"/>
            </w:pPr>
            <w:r>
              <w:rPr>
                <w:sz w:val="20"/>
              </w:rPr>
              <w:t>Офіційні звіти про кількість НС, види та наслідки. Перевірка українських підсумків.</w:t>
            </w:r>
          </w:p>
        </w:tc>
        <w:tc>
          <w:tcPr>
            <w:tcW w:type="dxa" w:w="3156"/>
          </w:tcPr>
          <w:p>
            <w:pPr>
              <w:spacing w:after="80"/>
            </w:pPr>
            <w:r>
              <w:rPr>
                <w:sz w:val="20"/>
              </w:rPr>
              <w:t>Доступність суцільного історичного ряду й деталізація потребують перевірки; частина даних — агрегати у PDF.</w:t>
            </w:r>
          </w:p>
        </w:tc>
      </w:tr>
      <w:tr>
        <w:tc>
          <w:tcPr>
            <w:tcW w:type="dxa" w:w="3156"/>
          </w:tcPr>
          <w:p>
            <w:pPr>
              <w:spacing w:after="80"/>
            </w:pPr>
            <w:r>
              <w:rPr>
                <w:sz w:val="20"/>
              </w:rPr>
              <w:t>NASA FIRMS [5]</w:t>
            </w:r>
          </w:p>
        </w:tc>
        <w:tc>
          <w:tcPr>
            <w:tcW w:type="dxa" w:w="3156"/>
          </w:tcPr>
          <w:p>
            <w:pPr>
              <w:spacing w:after="80"/>
            </w:pPr>
            <w:r>
              <w:rPr>
                <w:sz w:val="20"/>
              </w:rPr>
              <w:t>Супутникові виявлення вогню та теплових аномалій; додатковий модуль пожеж. MODIS — з 2000 року, VIIRS — з 2012 року.</w:t>
            </w:r>
          </w:p>
        </w:tc>
        <w:tc>
          <w:tcPr>
            <w:tcW w:type="dxa" w:w="3156"/>
          </w:tcPr>
          <w:p>
            <w:pPr>
              <w:spacing w:after="80"/>
            </w:pPr>
            <w:r>
              <w:rPr>
                <w:sz w:val="20"/>
              </w:rPr>
              <w:t>Виявлення не дорівнює окремій пожежі чи офіційній НС; можливі повторні спостереження.</w:t>
            </w:r>
          </w:p>
        </w:tc>
      </w:tr>
      <w:tr>
        <w:tc>
          <w:tcPr>
            <w:tcW w:type="dxa" w:w="3156"/>
          </w:tcPr>
          <w:p>
            <w:pPr>
              <w:spacing w:after="80"/>
            </w:pPr>
            <w:r>
              <w:rPr>
                <w:sz w:val="20"/>
              </w:rPr>
              <w:t>ERA5 / Copernicus [6]</w:t>
            </w:r>
          </w:p>
        </w:tc>
        <w:tc>
          <w:tcPr>
            <w:tcW w:type="dxa" w:w="3156"/>
          </w:tcPr>
          <w:p>
            <w:pPr>
              <w:spacing w:after="80"/>
            </w:pPr>
            <w:r>
              <w:rPr>
                <w:sz w:val="20"/>
              </w:rPr>
              <w:t>Погодинні поля погоди з 1940 року; погодні чинники природних небезпек.</w:t>
            </w:r>
          </w:p>
        </w:tc>
        <w:tc>
          <w:tcPr>
            <w:tcW w:type="dxa" w:w="3156"/>
          </w:tcPr>
          <w:p>
            <w:pPr>
              <w:spacing w:after="80"/>
            </w:pPr>
            <w:r>
              <w:rPr>
                <w:sz w:val="20"/>
              </w:rPr>
              <w:t>Реаналіз поєднує спостереження та моделювання; не є каталогом катастроф.</w:t>
            </w:r>
          </w:p>
        </w:tc>
      </w:tr>
    </w:tbl>
    <w:p/>
    <w:p>
      <w:r>
        <w:t>EM-DAT надає публічну таблицю після реєстрації для некомерційного використання за умовами джерела; також доступний архів для відтворюваних досліджень [2]. Перед публікацією даних у репозиторії чи на сайті потрібно перевірити умови повторного поширення.</w:t>
      </w:r>
    </w:p>
    <w:p>
      <w:r>
        <w:t>Як конкретне офіційне джерело підтверджено звіт ДСНС за 2024 рік із порівнянням показників за 2023–2024 роки [4]. Це не підтверджує наявності повного історичного ряду за всі попередні роки.</w:t>
      </w:r>
    </w:p>
    <w:p>
      <w:r>
        <w:t>Рекомендований основний обсяг: EM-DAT + ДСНС. Якщо потрібна велика кількість детальних спостережень, додати окреме дослідження пожеж на FIRMS із погодними чинниками ERA5. Велику кількість погодних або супутникових спостережень не можна представляти як таку саму кількість незалежних надзвичайних ситуацій.</w:t>
      </w:r>
    </w:p>
    <w:p>
      <w:r>
        <w:t>Не варто одночасно будувати окремі прогностичні моделі пожеж, повеней, епідемій і промислових аварій: для них потрібні різні дані та пояснювальні змінні. Остаточний перелік типів подій визначається аудитом.</w:t>
      </w:r>
    </w:p>
    <w:p>
      <w:pPr>
        <w:pStyle w:val="Heading1"/>
      </w:pPr>
      <w:r>
        <w:t>4. Функції вебкалькулятора</w:t>
      </w:r>
    </w:p>
    <w:p>
      <w:r>
        <w:t>Перша версія — калькулятор частоти зареєстрованих НС та ймовірності хоча б однієї події за вибраний горизонт. Результати стосуються подій, які відповідають критеріям вибраного джерела.</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Вхід користувача</w:t>
            </w:r>
          </w:p>
        </w:tc>
        <w:tc>
          <w:tcPr>
            <w:tcW w:type="dxa" w:w="4734"/>
          </w:tcPr>
          <w:p>
            <w:r>
              <w:t>Результат системи</w:t>
            </w:r>
          </w:p>
        </w:tc>
      </w:tr>
      <w:tr>
        <w:tc>
          <w:tcPr>
            <w:tcW w:type="dxa" w:w="4734"/>
          </w:tcPr>
          <w:p>
            <w:pPr>
              <w:spacing w:after="80"/>
            </w:pPr>
            <w:r>
              <w:rPr>
                <w:sz w:val="20"/>
              </w:rPr>
              <w:t>Територія: Україна або область за достатньої деталізації</w:t>
            </w:r>
          </w:p>
        </w:tc>
        <w:tc>
          <w:tcPr>
            <w:tcW w:type="dxa" w:w="4734"/>
          </w:tcPr>
          <w:p>
            <w:pPr>
              <w:spacing w:after="80"/>
            </w:pPr>
            <w:r>
              <w:rPr>
                <w:sz w:val="20"/>
              </w:rPr>
              <w:t>Кількість подій і повнота вибірки</w:t>
            </w:r>
          </w:p>
        </w:tc>
      </w:tr>
      <w:tr>
        <w:tc>
          <w:tcPr>
            <w:tcW w:type="dxa" w:w="4734"/>
          </w:tcPr>
          <w:p>
            <w:pPr>
              <w:spacing w:after="80"/>
            </w:pPr>
            <w:r>
              <w:rPr>
                <w:sz w:val="20"/>
              </w:rPr>
              <w:t>Тип надзвичайної ситуації</w:t>
            </w:r>
          </w:p>
        </w:tc>
        <w:tc>
          <w:tcPr>
            <w:tcW w:type="dxa" w:w="4734"/>
          </w:tcPr>
          <w:p>
            <w:pPr>
              <w:spacing w:after="80"/>
            </w:pPr>
            <w:r>
              <w:rPr>
                <w:sz w:val="20"/>
              </w:rPr>
              <w:t>Середня історична частота</w:t>
            </w:r>
          </w:p>
        </w:tc>
      </w:tr>
      <w:tr>
        <w:tc>
          <w:tcPr>
            <w:tcW w:type="dxa" w:w="4734"/>
          </w:tcPr>
          <w:p>
            <w:pPr>
              <w:spacing w:after="80"/>
            </w:pPr>
            <w:r>
              <w:rPr>
                <w:sz w:val="20"/>
              </w:rPr>
              <w:t>Історичний період оцінювання</w:t>
            </w:r>
          </w:p>
        </w:tc>
        <w:tc>
          <w:tcPr>
            <w:tcW w:type="dxa" w:w="4734"/>
          </w:tcPr>
          <w:p>
            <w:pPr>
              <w:spacing w:after="80"/>
            </w:pPr>
            <w:r>
              <w:rPr>
                <w:sz w:val="20"/>
              </w:rPr>
              <w:t>Очікувана кількість подій за заданий горизонт</w:t>
            </w:r>
          </w:p>
        </w:tc>
      </w:tr>
      <w:tr>
        <w:tc>
          <w:tcPr>
            <w:tcW w:type="dxa" w:w="4734"/>
          </w:tcPr>
          <w:p>
            <w:pPr>
              <w:spacing w:after="80"/>
            </w:pPr>
            <w:r>
              <w:rPr>
                <w:sz w:val="20"/>
              </w:rPr>
              <w:t>Горизонт розрахунку, наприклад один рік</w:t>
            </w:r>
          </w:p>
        </w:tc>
        <w:tc>
          <w:tcPr>
            <w:tcW w:type="dxa" w:w="4734"/>
          </w:tcPr>
          <w:p>
            <w:pPr>
              <w:spacing w:after="80"/>
            </w:pPr>
            <w:r>
              <w:rPr>
                <w:sz w:val="20"/>
              </w:rPr>
              <w:t>Ймовірність хоча б однієї події, інтервал невизначеності, джерела та обмеження</w:t>
            </w:r>
          </w:p>
        </w:tc>
      </w:tr>
    </w:tbl>
    <w:p/>
    <w:p>
      <w:r>
        <w:t>Базовий розрахунок за пуассонівською моделлю:</w:t>
      </w:r>
    </w:p>
    <w:p>
      <w:r>
        <w:t>λ̂ = N / T;     E[Nₕ] = λ̂h;     P(Nₕ ≥ 1) = 1 − exp(−λ̂h).</w:t>
      </w:r>
    </w:p>
    <w:p>
      <w:r>
        <w:t>Тут N — кількість зареєстрованих подій; T — тривалість спостереження в роках; h — горизонт у роках; λ̂ — оцінена середня кількість подій за рік. Формула передбачає сталу інтенсивність та відповідність пуассонівській моделі. Ці припущення потрібно перевіряти.</w:t>
      </w:r>
    </w:p>
    <w:p>
      <w:r>
        <w:t>За сезонності або надмірної дисперсії слід порівнювати альтернативні моделі. Якщо даних недостатньо, інтерфейс повідомляє причину відсутності надійної оцінки. Результат на EM-DAT не подається як імовірність будь-якої локальної аварії.</w:t>
      </w:r>
    </w:p>
    <w:p>
      <w:r>
        <w:t>Прогноз збитків і кількості загиблих — додаткова можливість лише після перевірки повноти відповідних полів. Оперативне прогнозування конкретного місця й часу катастрофи не входить до запропонованої першої версії.</w:t>
      </w:r>
    </w:p>
    <w:p>
      <w:pPr>
        <w:pStyle w:val="Heading1"/>
      </w:pPr>
      <w:r>
        <w:t>5. Архітектура системи</w:t>
      </w:r>
    </w:p>
    <w:p>
      <w:r>
        <w:t>Пропонується один Python backend, React frontend і реляційна база даних. Завантаження великих файлів, очищення та навчання моделей виконуються окремо від запиту користувача до калькулятора.</w:t>
      </w:r>
    </w:p>
    <w:p>
      <w:pPr>
        <w:pStyle w:val="Heading2"/>
      </w:pPr>
      <w:r>
        <w:t>5.1. Потік даних</w:t>
      </w:r>
    </w:p>
    <w:p>
      <w:pPr>
        <w:spacing w:after="60"/>
        <w:jc w:val="center"/>
      </w:pPr>
      <w:r>
        <w:t>EM-DAT + ДСНС; додатково FIRMS + ERA5</w:t>
      </w:r>
    </w:p>
    <w:p>
      <w:pPr>
        <w:spacing w:after="60"/>
        <w:jc w:val="center"/>
      </w:pPr>
      <w:r>
        <w:t>↓</w:t>
      </w:r>
    </w:p>
    <w:p>
      <w:pPr>
        <w:spacing w:after="60"/>
        <w:jc w:val="center"/>
      </w:pPr>
      <w:r>
        <w:t>Оригінальні файли, метадані джерел і версії</w:t>
      </w:r>
    </w:p>
    <w:p>
      <w:pPr>
        <w:spacing w:after="60"/>
        <w:jc w:val="center"/>
      </w:pPr>
      <w:r>
        <w:t>↓</w:t>
      </w:r>
    </w:p>
    <w:p>
      <w:pPr>
        <w:spacing w:after="60"/>
        <w:jc w:val="center"/>
      </w:pPr>
      <w:r>
        <w:t>Python: очищення, узгодження, перевірки якості</w:t>
      </w:r>
    </w:p>
    <w:p>
      <w:pPr>
        <w:spacing w:after="60"/>
        <w:jc w:val="center"/>
      </w:pPr>
      <w:r>
        <w:t>↓</w:t>
      </w:r>
    </w:p>
    <w:p>
      <w:pPr>
        <w:spacing w:after="60"/>
        <w:jc w:val="center"/>
      </w:pPr>
      <w:r>
        <w:t>PostgreSQL: події та агрегати / Parquet: великі масиви спостережень</w:t>
      </w:r>
    </w:p>
    <w:p>
      <w:pPr>
        <w:spacing w:after="60"/>
        <w:jc w:val="center"/>
      </w:pPr>
      <w:r>
        <w:t>↓</w:t>
      </w:r>
    </w:p>
    <w:p>
      <w:pPr>
        <w:spacing w:after="60"/>
        <w:jc w:val="center"/>
      </w:pPr>
      <w:r>
        <w:t>Статистичний аналіз → збережені моделі, параметри та метрики</w:t>
      </w:r>
    </w:p>
    <w:p>
      <w:pPr>
        <w:spacing w:after="60"/>
        <w:jc w:val="center"/>
      </w:pPr>
      <w:r>
        <w:t>↓</w:t>
      </w:r>
    </w:p>
    <w:p>
      <w:pPr>
        <w:spacing w:after="60"/>
        <w:jc w:val="center"/>
      </w:pPr>
      <w:r>
        <w:t>FastAPI: вибірки, статистика та розрахунки</w:t>
      </w:r>
    </w:p>
    <w:p>
      <w:pPr>
        <w:spacing w:after="60"/>
        <w:jc w:val="center"/>
      </w:pPr>
      <w:r>
        <w:t>↓</w:t>
      </w:r>
    </w:p>
    <w:p>
      <w:pPr>
        <w:spacing w:after="60"/>
        <w:jc w:val="center"/>
      </w:pPr>
      <w:r>
        <w:t>React: огляд, каталог, карта, калькулятор, методика</w:t>
      </w:r>
    </w:p>
    <w:p>
      <w:pPr>
        <w:pStyle w:val="Heading2"/>
      </w:pPr>
      <w:r>
        <w:t>5.2. Технологічний стек</w:t>
      </w:r>
    </w:p>
    <w:tbl>
      <w:tblPr>
        <w:tblStyle w:val="LightShading-Accent1"/>
        <w:tblW w:type="auto" w:w="0"/>
        <w:tblLook w:firstColumn="1" w:firstRow="1" w:lastColumn="0" w:lastRow="0" w:noHBand="0" w:noVBand="1" w:val="04A0"/>
      </w:tblPr>
      <w:tblGrid>
        <w:gridCol w:w="3156"/>
        <w:gridCol w:w="3156"/>
        <w:gridCol w:w="3156"/>
      </w:tblGrid>
      <w:tr>
        <w:trPr>
          <w:tblHeader/>
        </w:trPr>
        <w:tc>
          <w:tcPr>
            <w:tcW w:type="dxa" w:w="3156"/>
          </w:tcPr>
          <w:p>
            <w:r>
              <w:t>Компонент</w:t>
            </w:r>
          </w:p>
        </w:tc>
        <w:tc>
          <w:tcPr>
            <w:tcW w:type="dxa" w:w="3156"/>
          </w:tcPr>
          <w:p>
            <w:r>
              <w:t>Інструменти</w:t>
            </w:r>
          </w:p>
        </w:tc>
        <w:tc>
          <w:tcPr>
            <w:tcW w:type="dxa" w:w="3156"/>
          </w:tcPr>
          <w:p>
            <w:r>
              <w:t>Призначення</w:t>
            </w:r>
          </w:p>
        </w:tc>
      </w:tr>
      <w:tr>
        <w:tc>
          <w:tcPr>
            <w:tcW w:type="dxa" w:w="3156"/>
          </w:tcPr>
          <w:p>
            <w:pPr>
              <w:spacing w:after="80"/>
            </w:pPr>
            <w:r>
              <w:rPr>
                <w:sz w:val="20"/>
              </w:rPr>
              <w:t>Frontend</w:t>
            </w:r>
          </w:p>
        </w:tc>
        <w:tc>
          <w:tcPr>
            <w:tcW w:type="dxa" w:w="3156"/>
          </w:tcPr>
          <w:p>
            <w:pPr>
              <w:spacing w:after="80"/>
            </w:pPr>
            <w:r>
              <w:rPr>
                <w:sz w:val="20"/>
              </w:rPr>
              <w:t>React, TypeScript, Vite</w:t>
            </w:r>
          </w:p>
        </w:tc>
        <w:tc>
          <w:tcPr>
            <w:tcW w:type="dxa" w:w="3156"/>
          </w:tcPr>
          <w:p>
            <w:pPr>
              <w:spacing w:after="80"/>
            </w:pPr>
            <w:r>
              <w:rPr>
                <w:sz w:val="20"/>
              </w:rPr>
              <w:t>Інтерфейс і фільтри</w:t>
            </w:r>
          </w:p>
        </w:tc>
      </w:tr>
      <w:tr>
        <w:tc>
          <w:tcPr>
            <w:tcW w:type="dxa" w:w="3156"/>
          </w:tcPr>
          <w:p>
            <w:pPr>
              <w:spacing w:after="80"/>
            </w:pPr>
            <w:r>
              <w:rPr>
                <w:sz w:val="20"/>
              </w:rPr>
              <w:t>Візуалізація</w:t>
            </w:r>
          </w:p>
        </w:tc>
        <w:tc>
          <w:tcPr>
            <w:tcW w:type="dxa" w:w="3156"/>
          </w:tcPr>
          <w:p>
            <w:pPr>
              <w:spacing w:after="80"/>
            </w:pPr>
            <w:r>
              <w:rPr>
                <w:sz w:val="20"/>
              </w:rPr>
              <w:t>Recharts, Leaflet</w:t>
            </w:r>
          </w:p>
        </w:tc>
        <w:tc>
          <w:tcPr>
            <w:tcW w:type="dxa" w:w="3156"/>
          </w:tcPr>
          <w:p>
            <w:pPr>
              <w:spacing w:after="80"/>
            </w:pPr>
            <w:r>
              <w:rPr>
                <w:sz w:val="20"/>
              </w:rPr>
              <w:t>Графіки та карта</w:t>
            </w:r>
          </w:p>
        </w:tc>
      </w:tr>
      <w:tr>
        <w:tc>
          <w:tcPr>
            <w:tcW w:type="dxa" w:w="3156"/>
          </w:tcPr>
          <w:p>
            <w:pPr>
              <w:spacing w:after="80"/>
            </w:pPr>
            <w:r>
              <w:rPr>
                <w:sz w:val="20"/>
              </w:rPr>
              <w:t>Backend</w:t>
            </w:r>
          </w:p>
        </w:tc>
        <w:tc>
          <w:tcPr>
            <w:tcW w:type="dxa" w:w="3156"/>
          </w:tcPr>
          <w:p>
            <w:pPr>
              <w:spacing w:after="80"/>
            </w:pPr>
            <w:r>
              <w:rPr>
                <w:sz w:val="20"/>
              </w:rPr>
              <w:t>Python, FastAPI</w:t>
            </w:r>
          </w:p>
        </w:tc>
        <w:tc>
          <w:tcPr>
            <w:tcW w:type="dxa" w:w="3156"/>
          </w:tcPr>
          <w:p>
            <w:pPr>
              <w:spacing w:after="80"/>
            </w:pPr>
            <w:r>
              <w:rPr>
                <w:sz w:val="20"/>
              </w:rPr>
              <w:t>API, валідація параметрів, розрахунки</w:t>
            </w:r>
          </w:p>
        </w:tc>
      </w:tr>
      <w:tr>
        <w:tc>
          <w:tcPr>
            <w:tcW w:type="dxa" w:w="3156"/>
          </w:tcPr>
          <w:p>
            <w:pPr>
              <w:spacing w:after="80"/>
            </w:pPr>
            <w:r>
              <w:rPr>
                <w:sz w:val="20"/>
              </w:rPr>
              <w:t>База даних</w:t>
            </w:r>
          </w:p>
        </w:tc>
        <w:tc>
          <w:tcPr>
            <w:tcW w:type="dxa" w:w="3156"/>
          </w:tcPr>
          <w:p>
            <w:pPr>
              <w:spacing w:after="80"/>
            </w:pPr>
            <w:r>
              <w:rPr>
                <w:sz w:val="20"/>
              </w:rPr>
              <w:t>PostgreSQL</w:t>
            </w:r>
          </w:p>
        </w:tc>
        <w:tc>
          <w:tcPr>
            <w:tcW w:type="dxa" w:w="3156"/>
          </w:tcPr>
          <w:p>
            <w:pPr>
              <w:spacing w:after="80"/>
            </w:pPr>
            <w:r>
              <w:rPr>
                <w:sz w:val="20"/>
              </w:rPr>
              <w:t>Події, довідники, агрегати</w:t>
            </w:r>
          </w:p>
        </w:tc>
      </w:tr>
      <w:tr>
        <w:tc>
          <w:tcPr>
            <w:tcW w:type="dxa" w:w="3156"/>
          </w:tcPr>
          <w:p>
            <w:pPr>
              <w:spacing w:after="80"/>
            </w:pPr>
            <w:r>
              <w:rPr>
                <w:sz w:val="20"/>
              </w:rPr>
              <w:t>Обробка</w:t>
            </w:r>
          </w:p>
        </w:tc>
        <w:tc>
          <w:tcPr>
            <w:tcW w:type="dxa" w:w="3156"/>
          </w:tcPr>
          <w:p>
            <w:pPr>
              <w:spacing w:after="80"/>
            </w:pPr>
            <w:r>
              <w:rPr>
                <w:sz w:val="20"/>
              </w:rPr>
              <w:t>pandas, NumPy, Parquet</w:t>
            </w:r>
          </w:p>
        </w:tc>
        <w:tc>
          <w:tcPr>
            <w:tcW w:type="dxa" w:w="3156"/>
          </w:tcPr>
          <w:p>
            <w:pPr>
              <w:spacing w:after="80"/>
            </w:pPr>
            <w:r>
              <w:rPr>
                <w:sz w:val="20"/>
              </w:rPr>
              <w:t>Очищення та зберігання аналітичних даних</w:t>
            </w:r>
          </w:p>
        </w:tc>
      </w:tr>
      <w:tr>
        <w:tc>
          <w:tcPr>
            <w:tcW w:type="dxa" w:w="3156"/>
          </w:tcPr>
          <w:p>
            <w:pPr>
              <w:spacing w:after="80"/>
            </w:pPr>
            <w:r>
              <w:rPr>
                <w:sz w:val="20"/>
              </w:rPr>
              <w:t>Моделі</w:t>
            </w:r>
          </w:p>
        </w:tc>
        <w:tc>
          <w:tcPr>
            <w:tcW w:type="dxa" w:w="3156"/>
          </w:tcPr>
          <w:p>
            <w:pPr>
              <w:spacing w:after="80"/>
            </w:pPr>
            <w:r>
              <w:rPr>
                <w:sz w:val="20"/>
              </w:rPr>
              <w:t>SciPy, statsmodels, scikit-learn</w:t>
            </w:r>
          </w:p>
        </w:tc>
        <w:tc>
          <w:tcPr>
            <w:tcW w:type="dxa" w:w="3156"/>
          </w:tcPr>
          <w:p>
            <w:pPr>
              <w:spacing w:after="80"/>
            </w:pPr>
            <w:r>
              <w:rPr>
                <w:sz w:val="20"/>
              </w:rPr>
              <w:t>Статистика та оцінювання</w:t>
            </w:r>
          </w:p>
        </w:tc>
      </w:tr>
      <w:tr>
        <w:tc>
          <w:tcPr>
            <w:tcW w:type="dxa" w:w="3156"/>
          </w:tcPr>
          <w:p>
            <w:pPr>
              <w:spacing w:after="80"/>
            </w:pPr>
            <w:r>
              <w:rPr>
                <w:sz w:val="20"/>
              </w:rPr>
              <w:t>Експерименти</w:t>
            </w:r>
          </w:p>
        </w:tc>
        <w:tc>
          <w:tcPr>
            <w:tcW w:type="dxa" w:w="3156"/>
          </w:tcPr>
          <w:p>
            <w:pPr>
              <w:spacing w:after="80"/>
            </w:pPr>
            <w:r>
              <w:rPr>
                <w:sz w:val="20"/>
              </w:rPr>
              <w:t>Jupyter Notebook</w:t>
            </w:r>
          </w:p>
        </w:tc>
        <w:tc>
          <w:tcPr>
            <w:tcW w:type="dxa" w:w="3156"/>
          </w:tcPr>
          <w:p>
            <w:pPr>
              <w:spacing w:after="80"/>
            </w:pPr>
            <w:r>
              <w:rPr>
                <w:sz w:val="20"/>
              </w:rPr>
              <w:t>Відтворювані дослідження</w:t>
            </w:r>
          </w:p>
        </w:tc>
      </w:tr>
      <w:tr>
        <w:tc>
          <w:tcPr>
            <w:tcW w:type="dxa" w:w="3156"/>
          </w:tcPr>
          <w:p>
            <w:pPr>
              <w:spacing w:after="80"/>
            </w:pPr>
            <w:r>
              <w:rPr>
                <w:sz w:val="20"/>
              </w:rPr>
              <w:t>Розгортання</w:t>
            </w:r>
          </w:p>
        </w:tc>
        <w:tc>
          <w:tcPr>
            <w:tcW w:type="dxa" w:w="3156"/>
          </w:tcPr>
          <w:p>
            <w:pPr>
              <w:spacing w:after="80"/>
            </w:pPr>
            <w:r>
              <w:rPr>
                <w:sz w:val="20"/>
              </w:rPr>
              <w:t>Docker Compose</w:t>
            </w:r>
          </w:p>
        </w:tc>
        <w:tc>
          <w:tcPr>
            <w:tcW w:type="dxa" w:w="3156"/>
          </w:tcPr>
          <w:p>
            <w:pPr>
              <w:spacing w:after="80"/>
            </w:pPr>
            <w:r>
              <w:rPr>
                <w:sz w:val="20"/>
              </w:rPr>
              <w:t>Узгоджений запуск компонентів</w:t>
            </w:r>
          </w:p>
        </w:tc>
      </w:tr>
    </w:tbl>
    <w:p/>
    <w:p>
      <w:pPr>
        <w:pStyle w:val="Heading2"/>
      </w:pPr>
      <w:r>
        <w:t>5.3. Основні сутності бази даних</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Сутність</w:t>
            </w:r>
          </w:p>
        </w:tc>
        <w:tc>
          <w:tcPr>
            <w:tcW w:type="dxa" w:w="4734"/>
          </w:tcPr>
          <w:p>
            <w:r>
              <w:t>Призначення</w:t>
            </w:r>
          </w:p>
        </w:tc>
      </w:tr>
      <w:tr>
        <w:tc>
          <w:tcPr>
            <w:tcW w:type="dxa" w:w="4734"/>
          </w:tcPr>
          <w:p>
            <w:pPr>
              <w:spacing w:after="80"/>
            </w:pPr>
            <w:r>
              <w:rPr>
                <w:sz w:val="20"/>
              </w:rPr>
              <w:t>sources, dataset_versions</w:t>
            </w:r>
          </w:p>
        </w:tc>
        <w:tc>
          <w:tcPr>
            <w:tcW w:type="dxa" w:w="4734"/>
          </w:tcPr>
          <w:p>
            <w:pPr>
              <w:spacing w:after="80"/>
            </w:pPr>
            <w:r>
              <w:rPr>
                <w:sz w:val="20"/>
              </w:rPr>
              <w:t>Походження, дата отримання, контрольна сума та версія даних</w:t>
            </w:r>
          </w:p>
        </w:tc>
      </w:tr>
      <w:tr>
        <w:tc>
          <w:tcPr>
            <w:tcW w:type="dxa" w:w="4734"/>
          </w:tcPr>
          <w:p>
            <w:pPr>
              <w:spacing w:after="80"/>
            </w:pPr>
            <w:r>
              <w:rPr>
                <w:sz w:val="20"/>
              </w:rPr>
              <w:t>events, event_sources</w:t>
            </w:r>
          </w:p>
        </w:tc>
        <w:tc>
          <w:tcPr>
            <w:tcW w:type="dxa" w:w="4734"/>
          </w:tcPr>
          <w:p>
            <w:pPr>
              <w:spacing w:after="80"/>
            </w:pPr>
            <w:r>
              <w:rPr>
                <w:sz w:val="20"/>
              </w:rPr>
              <w:t>Події та зв’язки з оригінальними записами джерел</w:t>
            </w:r>
          </w:p>
        </w:tc>
      </w:tr>
      <w:tr>
        <w:tc>
          <w:tcPr>
            <w:tcW w:type="dxa" w:w="4734"/>
          </w:tcPr>
          <w:p>
            <w:pPr>
              <w:spacing w:after="80"/>
            </w:pPr>
            <w:r>
              <w:rPr>
                <w:sz w:val="20"/>
              </w:rPr>
              <w:t>regions, event_regions</w:t>
            </w:r>
          </w:p>
        </w:tc>
        <w:tc>
          <w:tcPr>
            <w:tcW w:type="dxa" w:w="4734"/>
          </w:tcPr>
          <w:p>
            <w:pPr>
              <w:spacing w:after="80"/>
            </w:pPr>
            <w:r>
              <w:rPr>
                <w:sz w:val="20"/>
              </w:rPr>
              <w:t>Території й події, що охоплюють кілька областей</w:t>
            </w:r>
          </w:p>
        </w:tc>
      </w:tr>
      <w:tr>
        <w:tc>
          <w:tcPr>
            <w:tcW w:type="dxa" w:w="4734"/>
          </w:tcPr>
          <w:p>
            <w:pPr>
              <w:spacing w:after="80"/>
            </w:pPr>
            <w:r>
              <w:rPr>
                <w:sz w:val="20"/>
              </w:rPr>
              <w:t>disaster_types</w:t>
            </w:r>
          </w:p>
        </w:tc>
        <w:tc>
          <w:tcPr>
            <w:tcW w:type="dxa" w:w="4734"/>
          </w:tcPr>
          <w:p>
            <w:pPr>
              <w:spacing w:after="80"/>
            </w:pPr>
            <w:r>
              <w:rPr>
                <w:sz w:val="20"/>
              </w:rPr>
              <w:t>Узгоджений класифікатор типів подій</w:t>
            </w:r>
          </w:p>
        </w:tc>
      </w:tr>
      <w:tr>
        <w:tc>
          <w:tcPr>
            <w:tcW w:type="dxa" w:w="4734"/>
          </w:tcPr>
          <w:p>
            <w:pPr>
              <w:spacing w:after="80"/>
            </w:pPr>
            <w:r>
              <w:rPr>
                <w:sz w:val="20"/>
              </w:rPr>
              <w:t>reported_statistics</w:t>
            </w:r>
          </w:p>
        </w:tc>
        <w:tc>
          <w:tcPr>
            <w:tcW w:type="dxa" w:w="4734"/>
          </w:tcPr>
          <w:p>
            <w:pPr>
              <w:spacing w:after="80"/>
            </w:pPr>
            <w:r>
              <w:rPr>
                <w:sz w:val="20"/>
              </w:rPr>
              <w:t>Готові підсумки зі звітів, із періодом і територією</w:t>
            </w:r>
          </w:p>
        </w:tc>
      </w:tr>
      <w:tr>
        <w:tc>
          <w:tcPr>
            <w:tcW w:type="dxa" w:w="4734"/>
          </w:tcPr>
          <w:p>
            <w:pPr>
              <w:spacing w:after="80"/>
            </w:pPr>
            <w:r>
              <w:rPr>
                <w:sz w:val="20"/>
              </w:rPr>
              <w:t>model_runs</w:t>
            </w:r>
          </w:p>
        </w:tc>
        <w:tc>
          <w:tcPr>
            <w:tcW w:type="dxa" w:w="4734"/>
          </w:tcPr>
          <w:p>
            <w:pPr>
              <w:spacing w:after="80"/>
            </w:pPr>
            <w:r>
              <w:rPr>
                <w:sz w:val="20"/>
              </w:rPr>
              <w:t>Версія моделі, навчальний період, параметри та метрики</w:t>
            </w:r>
          </w:p>
        </w:tc>
      </w:tr>
    </w:tbl>
    <w:p/>
    <w:p>
      <w:r>
        <w:t>Зведені показники ДСНС зберігаються окремо від окремих подій. Їх не додають до кількості записів EM-DAT. Зв’язок події з кількома областями також не повинен збільшувати загальноукраїнську кількість подій.</w:t>
      </w:r>
    </w:p>
    <w:p>
      <w:pPr>
        <w:pStyle w:val="Heading2"/>
      </w:pPr>
      <w:r>
        <w:t>5.4. Сторінки вебзастосунку</w:t>
      </w:r>
    </w:p>
    <w:p>
      <w:pPr>
        <w:pStyle w:val="ListBullet"/>
      </w:pPr>
      <w:r>
        <w:t>Огляд: основні показники, динаміка та структура НС.</w:t>
      </w:r>
    </w:p>
    <w:p>
      <w:pPr>
        <w:pStyle w:val="ListBullet"/>
      </w:pPr>
      <w:r>
        <w:t>Каталог: пошук, фільтрація подій, картка події та джерела.</w:t>
      </w:r>
    </w:p>
    <w:p>
      <w:pPr>
        <w:pStyle w:val="ListBullet"/>
      </w:pPr>
      <w:r>
        <w:t>Карта: доступна регіональна статистика з позначенням відсутніх даних.</w:t>
      </w:r>
    </w:p>
    <w:p>
      <w:pPr>
        <w:pStyle w:val="ListBullet"/>
      </w:pPr>
      <w:r>
        <w:t>Калькулятор: параметри, оцінки, інтервали та пояснення.</w:t>
      </w:r>
    </w:p>
    <w:p>
      <w:pPr>
        <w:pStyle w:val="ListBullet"/>
      </w:pPr>
      <w:r>
        <w:t>Методика й дані: визначення, якість даних, версії та результати перевірки моделей.</w:t>
      </w:r>
    </w:p>
    <w:p>
      <w:pPr>
        <w:pStyle w:val="Heading1"/>
      </w:pPr>
      <w:r>
        <w:t>6. Очищення та нормалізація даних</w:t>
      </w:r>
    </w:p>
    <w:p>
      <w:r>
        <w:t>Потрібно розрізняти приведення даних до узгодженої структури, нормалізацію схеми бази даних і математичне масштабування ознак для моделей.</w:t>
      </w:r>
    </w:p>
    <w:p>
      <w:r>
        <w:t>1. Збереження оригіналів. Зберігати файл, URL, дату отримання, версію та контрольну суму; не перезаписувати сирі дані очищеною версією.</w:t>
      </w:r>
    </w:p>
    <w:p>
      <w:r>
        <w:t>2. Узгодження структури. Привести назви полів, формати дат, числові типи та одиниці вимірювання до спільного формату. Для збитків зберігати валюту, масштаб одиниць і відомості про коригування на інфляцію.</w:t>
      </w:r>
    </w:p>
    <w:p>
      <w:r>
        <w:t>3. Узгодження категорій. Створити таблицю відповідності класифікацій EM-DAT і ДСНС. Неоднозначні відповідності явно позначати.</w:t>
      </w:r>
    </w:p>
    <w:p>
      <w:r>
        <w:t>4. Перевірка територій. Не переносити автоматично всі події СРСР до України; використовувати підтверджену географію. Фіксувати версію територіального поділу.</w:t>
      </w:r>
    </w:p>
    <w:p>
      <w:r>
        <w:t>5. Виявлення дублікатів. Зіставляти дати, території, типи й джерела; зберігати походження об’єднаних записів та журнал неоднозначних випадків.</w:t>
      </w:r>
    </w:p>
    <w:p>
      <w:r>
        <w:t>6. Обробка пропусків. Невідомі збитки чи кількість загиблих не замінювати нулями. Не вигадувати день і місяць, якщо відомий лише рік.</w:t>
      </w:r>
    </w:p>
    <w:p>
      <w:r>
        <w:t>7. Перевірка аномалій. Перевіряти підозрілі значення за джерелами. Великі катастрофи можуть бути справжніми крайніми спостереженнями, а не помилками.</w:t>
      </w:r>
    </w:p>
    <w:p>
      <w:r>
        <w:t>8. Побудова часових рядів. Відрізняти підтверджений нуль від відсутності звітності. Агрегувати лише до рівня, який підтримують джерела.</w:t>
      </w:r>
    </w:p>
    <w:p>
      <w:r>
        <w:t>9. Підготовка ознак. Навчати масштабування та заповнення пропусків лише на тренувальних даних. Для прогнозу використовувати тільки інформацію, доступну на момент розрахунку.</w:t>
      </w:r>
    </w:p>
    <w:p>
      <w:r>
        <w:t>10. Звіт якості. Показати покриття років і територій, частки пропусків, дублікати, неоднозначності та кількість записів до і після обробки.</w:t>
      </w:r>
    </w:p>
    <w:p>
      <w:r>
        <w:t>Неповний 2026 рік відображати окремо та не порівнювати без коригування з повними роками. Періоди до й після 2014 та 2022 років перевіряти на структурні зміни й відмінності в доступності спостережень. Обмеження звітності можуть створювати зміщення в оцінках [3].</w:t>
      </w:r>
    </w:p>
    <w:p>
      <w:pPr>
        <w:pStyle w:val="Heading1"/>
      </w:pPr>
      <w:r>
        <w:t>7. Математичні методи та перевірка моделей</w:t>
      </w:r>
    </w:p>
    <w:tbl>
      <w:tblPr>
        <w:tblStyle w:val="LightShading-Accent1"/>
        <w:tblW w:type="auto" w:w="0"/>
        <w:tblLook w:firstColumn="1" w:firstRow="1" w:lastColumn="0" w:lastRow="0" w:noHBand="0" w:noVBand="1" w:val="04A0"/>
      </w:tblPr>
      <w:tblGrid>
        <w:gridCol w:w="4734"/>
        <w:gridCol w:w="4734"/>
      </w:tblGrid>
      <w:tr>
        <w:trPr>
          <w:tblHeader/>
        </w:trPr>
        <w:tc>
          <w:tcPr>
            <w:tcW w:type="dxa" w:w="4734"/>
          </w:tcPr>
          <w:p>
            <w:r>
              <w:t>Метод / модель</w:t>
            </w:r>
          </w:p>
        </w:tc>
        <w:tc>
          <w:tcPr>
            <w:tcW w:type="dxa" w:w="4734"/>
          </w:tcPr>
          <w:p>
            <w:r>
              <w:t>Роль</w:t>
            </w:r>
          </w:p>
        </w:tc>
      </w:tr>
      <w:tr>
        <w:tc>
          <w:tcPr>
            <w:tcW w:type="dxa" w:w="4734"/>
          </w:tcPr>
          <w:p>
            <w:pPr>
              <w:spacing w:after="80"/>
            </w:pPr>
            <w:r>
              <w:rPr>
                <w:sz w:val="20"/>
              </w:rPr>
              <w:t>Описова статистика</w:t>
            </w:r>
          </w:p>
        </w:tc>
        <w:tc>
          <w:tcPr>
            <w:tcW w:type="dxa" w:w="4734"/>
          </w:tcPr>
          <w:p>
            <w:pPr>
              <w:spacing w:after="80"/>
            </w:pPr>
            <w:r>
              <w:rPr>
                <w:sz w:val="20"/>
              </w:rPr>
              <w:t>Розподіли, частоти, наслідки, порівняння періодів</w:t>
            </w:r>
          </w:p>
        </w:tc>
      </w:tr>
      <w:tr>
        <w:tc>
          <w:tcPr>
            <w:tcW w:type="dxa" w:w="4734"/>
          </w:tcPr>
          <w:p>
            <w:pPr>
              <w:spacing w:after="80"/>
            </w:pPr>
            <w:r>
              <w:rPr>
                <w:sz w:val="20"/>
              </w:rPr>
              <w:t>Тренди, сезонність, автокореляція</w:t>
            </w:r>
          </w:p>
        </w:tc>
        <w:tc>
          <w:tcPr>
            <w:tcW w:type="dxa" w:w="4734"/>
          </w:tcPr>
          <w:p>
            <w:pPr>
              <w:spacing w:after="80"/>
            </w:pPr>
            <w:r>
              <w:rPr>
                <w:sz w:val="20"/>
              </w:rPr>
              <w:t>Дослідження структури часових рядів</w:t>
            </w:r>
          </w:p>
        </w:tc>
      </w:tr>
      <w:tr>
        <w:tc>
          <w:tcPr>
            <w:tcW w:type="dxa" w:w="4734"/>
          </w:tcPr>
          <w:p>
            <w:pPr>
              <w:spacing w:after="80"/>
            </w:pPr>
            <w:r>
              <w:rPr>
                <w:sz w:val="20"/>
              </w:rPr>
              <w:t>Історична середня / сезонний наївний прогноз</w:t>
            </w:r>
          </w:p>
        </w:tc>
        <w:tc>
          <w:tcPr>
            <w:tcW w:type="dxa" w:w="4734"/>
          </w:tcPr>
          <w:p>
            <w:pPr>
              <w:spacing w:after="80"/>
            </w:pPr>
            <w:r>
              <w:rPr>
                <w:sz w:val="20"/>
              </w:rPr>
              <w:t>Базовий рівень для порівняння</w:t>
            </w:r>
          </w:p>
        </w:tc>
      </w:tr>
      <w:tr>
        <w:tc>
          <w:tcPr>
            <w:tcW w:type="dxa" w:w="4734"/>
          </w:tcPr>
          <w:p>
            <w:pPr>
              <w:spacing w:after="80"/>
            </w:pPr>
            <w:r>
              <w:rPr>
                <w:sz w:val="20"/>
              </w:rPr>
              <w:t>Пуассонівська модель</w:t>
            </w:r>
          </w:p>
        </w:tc>
        <w:tc>
          <w:tcPr>
            <w:tcW w:type="dxa" w:w="4734"/>
          </w:tcPr>
          <w:p>
            <w:pPr>
              <w:spacing w:after="80"/>
            </w:pPr>
            <w:r>
              <w:rPr>
                <w:sz w:val="20"/>
              </w:rPr>
              <w:t>Частота подій і ймовірнісні оцінки</w:t>
            </w:r>
          </w:p>
        </w:tc>
      </w:tr>
      <w:tr>
        <w:tc>
          <w:tcPr>
            <w:tcW w:type="dxa" w:w="4734"/>
          </w:tcPr>
          <w:p>
            <w:pPr>
              <w:spacing w:after="80"/>
            </w:pPr>
            <w:r>
              <w:rPr>
                <w:sz w:val="20"/>
              </w:rPr>
              <w:t>Негативно-біноміальна модель</w:t>
            </w:r>
          </w:p>
        </w:tc>
        <w:tc>
          <w:tcPr>
            <w:tcW w:type="dxa" w:w="4734"/>
          </w:tcPr>
          <w:p>
            <w:pPr>
              <w:spacing w:after="80"/>
            </w:pPr>
            <w:r>
              <w:rPr>
                <w:sz w:val="20"/>
              </w:rPr>
              <w:t>Моделювання за дисперсії, більшої за середнє</w:t>
            </w:r>
          </w:p>
        </w:tc>
      </w:tr>
      <w:tr>
        <w:tc>
          <w:tcPr>
            <w:tcW w:type="dxa" w:w="4734"/>
          </w:tcPr>
          <w:p>
            <w:pPr>
              <w:spacing w:after="80"/>
            </w:pPr>
            <w:r>
              <w:rPr>
                <w:sz w:val="20"/>
              </w:rPr>
              <w:t>ARIMA / SARIMA</w:t>
            </w:r>
          </w:p>
        </w:tc>
        <w:tc>
          <w:tcPr>
            <w:tcW w:type="dxa" w:w="4734"/>
          </w:tcPr>
          <w:p>
            <w:pPr>
              <w:spacing w:after="80"/>
            </w:pPr>
            <w:r>
              <w:rPr>
                <w:sz w:val="20"/>
              </w:rPr>
              <w:t>Продовження курсової за достатньої довжини регулярного ряду</w:t>
            </w:r>
          </w:p>
        </w:tc>
      </w:tr>
    </w:tbl>
    <w:p/>
    <w:p>
      <w:r>
        <w:t>Перевірка виконується за часом: навчання на минулих періодах і оцінювання на наступних. Доцільно використати кілька послідовних часових розбиттів. Випадкове перемішування спостережень не застосовується як основний спосіб оцінювання часових прогнозів.</w:t>
      </w:r>
    </w:p>
    <w:p>
      <w:pPr>
        <w:pStyle w:val="ListBullet"/>
      </w:pPr>
      <w:r>
        <w:t>MAE — помилка прогнозованої кількості подій.</w:t>
      </w:r>
    </w:p>
    <w:p>
      <w:pPr>
        <w:pStyle w:val="ListBullet"/>
      </w:pPr>
      <w:r>
        <w:t>Покриття та ширина прогнозних інтервалів — оцінка невизначеності.</w:t>
      </w:r>
    </w:p>
    <w:p>
      <w:pPr>
        <w:pStyle w:val="ListBullet"/>
      </w:pPr>
      <w:r>
        <w:t>Brier score та калібрування — для ймовірності хоча б однієї події.</w:t>
      </w:r>
    </w:p>
    <w:p>
      <w:pPr>
        <w:pStyle w:val="ListBullet"/>
      </w:pPr>
      <w:r>
        <w:t>Стійкість висновків до вибору періоду, типу подій і способу обробки пропусків.</w:t>
      </w:r>
    </w:p>
    <w:p>
      <w:r>
        <w:t>Модель для сайту обирається за результатами перевірки. Складніша модель не вважається кращою без переваги над базовим методом. Якщо наявних даних недостатньо для надійного прогнозу, робота зберігає цінність як статистичне дослідження з обґрунтованими межами застосування.</w:t>
      </w:r>
    </w:p>
    <w:p>
      <w:pPr>
        <w:pStyle w:val="Heading1"/>
      </w:pPr>
      <w:r>
        <w:t>8. Орієнтовний зміст дипломної</w:t>
      </w:r>
    </w:p>
    <w:p>
      <w:r>
        <w:t>Структуру потрібно адаптувати до методичних вимог кафедри. Обсяг сторінок і обов’язкові додаткові розділи визначаються цими вимогами.</w:t>
      </w:r>
    </w:p>
    <w:p>
      <w:pPr>
        <w:pStyle w:val="Heading2"/>
      </w:pPr>
      <w:r>
        <w:t>ВСТУП</w:t>
      </w:r>
    </w:p>
    <w:p>
      <w:r>
        <w:t>Актуальність, мета, завдання, об’єкт і предмет дослідження, методи, практичне значення.</w:t>
      </w:r>
    </w:p>
    <w:p>
      <w:pPr>
        <w:pStyle w:val="Heading2"/>
      </w:pPr>
      <w:r>
        <w:t>РОЗДІЛ 1. Надзвичайні ситуації як об’єкт статистичного дослідження</w:t>
      </w:r>
    </w:p>
    <w:p>
      <w:r>
        <w:t>1.1. Поняття та класифікація надзвичайних ситуацій.</w:t>
      </w:r>
    </w:p>
    <w:p>
      <w:r>
        <w:t>1.2. Показники частоти, наслідків і ризику.</w:t>
      </w:r>
    </w:p>
    <w:p>
      <w:r>
        <w:t>1.3. Огляд джерел даних та наявних аналітичних систем.</w:t>
      </w:r>
    </w:p>
    <w:p>
      <w:r>
        <w:t>1.4. Методи статистичного аналізу та прогнозування.</w:t>
      </w:r>
    </w:p>
    <w:p>
      <w:r>
        <w:t>1.5. Постановка задачі дослідження.</w:t>
      </w:r>
    </w:p>
    <w:p>
      <w:pPr>
        <w:pStyle w:val="Heading2"/>
      </w:pPr>
      <w:r>
        <w:t>РОЗДІЛ 2. Формування та підготовка даних про надзвичайні ситуації в Україні</w:t>
      </w:r>
    </w:p>
    <w:p>
      <w:r>
        <w:t>2.1. Вибір джерел і визначення періоду дослідження.</w:t>
      </w:r>
    </w:p>
    <w:p>
      <w:r>
        <w:t>2.2. Структура даних та одиниця спостереження.</w:t>
      </w:r>
    </w:p>
    <w:p>
      <w:r>
        <w:t>2.3. Очищення, узгодження й об’єднання записів.</w:t>
      </w:r>
    </w:p>
    <w:p>
      <w:r>
        <w:t>2.4. Обробка пропусків, дублікатів і неповних дат.</w:t>
      </w:r>
    </w:p>
    <w:p>
      <w:r>
        <w:t>2.5. Побудова часових рядів та ознак.</w:t>
      </w:r>
    </w:p>
    <w:p>
      <w:r>
        <w:t>2.6. Оцінювання якості й обмежень отриманого набору.</w:t>
      </w:r>
    </w:p>
    <w:p>
      <w:pPr>
        <w:pStyle w:val="Heading2"/>
      </w:pPr>
      <w:r>
        <w:t>РОЗДІЛ 3. Статистичний аналіз та моделювання надзвичайних ситуацій</w:t>
      </w:r>
    </w:p>
    <w:p>
      <w:r>
        <w:t>3.1. Описова статистика й структура подій.</w:t>
      </w:r>
    </w:p>
    <w:p>
      <w:r>
        <w:t>3.2. Часова динаміка, тренди та сезонність.</w:t>
      </w:r>
    </w:p>
    <w:p>
      <w:r>
        <w:t>3.3. Територіальні відмінності за доступними даними.</w:t>
      </w:r>
    </w:p>
    <w:p>
      <w:r>
        <w:t>3.4. Моделі частоти та ймовірності виникнення подій.</w:t>
      </w:r>
    </w:p>
    <w:p>
      <w:r>
        <w:t>3.5. Часова перевірка й порівняння моделей.</w:t>
      </w:r>
    </w:p>
    <w:p>
      <w:r>
        <w:t>3.6. Інтерпретація результатів та невизначеності.</w:t>
      </w:r>
    </w:p>
    <w:p>
      <w:pPr>
        <w:pStyle w:val="Heading2"/>
      </w:pPr>
      <w:r>
        <w:t>РОЗДІЛ 4. Розроблення вебсистеми аналізу та оцінювання ризику</w:t>
      </w:r>
    </w:p>
    <w:p>
      <w:r>
        <w:t>4.1. Функціональні й нефункціональні вимоги.</w:t>
      </w:r>
    </w:p>
    <w:p>
      <w:r>
        <w:t>4.2. Архітектура та схема бази даних.</w:t>
      </w:r>
    </w:p>
    <w:p>
      <w:r>
        <w:t>4.3. Реалізація обробки даних і серверного API.</w:t>
      </w:r>
    </w:p>
    <w:p>
      <w:r>
        <w:t>4.4. Реалізація інтерфейсу користувача.</w:t>
      </w:r>
    </w:p>
    <w:p>
      <w:r>
        <w:t>4.5. Реалізація калькулятора.</w:t>
      </w:r>
    </w:p>
    <w:p>
      <w:r>
        <w:t>4.6. Тестування, розгортання та приклади використання.</w:t>
      </w:r>
    </w:p>
    <w:p>
      <w:pPr>
        <w:pStyle w:val="Heading2"/>
      </w:pPr>
      <w:r>
        <w:t>ВИСНОВКИ</w:t>
      </w:r>
    </w:p>
    <w:p>
      <w:r>
        <w:t>Підсумки відповідно до поставлених завдань, результати порівняння моделей, обмеження та напрями розвитку.</w:t>
      </w:r>
    </w:p>
    <w:p>
      <w:pPr>
        <w:pStyle w:val="Heading2"/>
      </w:pPr>
      <w:r>
        <w:t>СПИСОК ВИКОРИСТАНИХ ДЖЕРЕЛ</w:t>
      </w:r>
    </w:p>
    <w:p>
      <w:pPr>
        <w:pStyle w:val="Heading2"/>
      </w:pPr>
      <w:r>
        <w:t>ДОДАТКИ</w:t>
      </w:r>
    </w:p>
    <w:p>
      <w:r>
        <w:t>Словник даних, схема бази, додаткові графіки, результати експериментів, опис API та інструкція запуску.</w:t>
      </w:r>
    </w:p>
    <w:p>
      <w:pPr>
        <w:pStyle w:val="Heading1"/>
      </w:pPr>
      <w:r>
        <w:t>9. План виконання</w:t>
      </w:r>
    </w:p>
    <w:tbl>
      <w:tblPr>
        <w:tblStyle w:val="LightShading-Accent1"/>
        <w:tblW w:type="auto" w:w="0"/>
        <w:tblLook w:firstColumn="1" w:firstRow="1" w:lastColumn="0" w:lastRow="0" w:noHBand="0" w:noVBand="1" w:val="04A0"/>
      </w:tblPr>
      <w:tblGrid>
        <w:gridCol w:w="3156"/>
        <w:gridCol w:w="3156"/>
        <w:gridCol w:w="3156"/>
      </w:tblGrid>
      <w:tr>
        <w:trPr>
          <w:tblHeader/>
        </w:trPr>
        <w:tc>
          <w:tcPr>
            <w:tcW w:type="dxa" w:w="3156"/>
          </w:tcPr>
          <w:p>
            <w:r>
              <w:t>Етап</w:t>
            </w:r>
          </w:p>
        </w:tc>
        <w:tc>
          <w:tcPr>
            <w:tcW w:type="dxa" w:w="3156"/>
          </w:tcPr>
          <w:p>
            <w:r>
              <w:t>Робота</w:t>
            </w:r>
          </w:p>
        </w:tc>
        <w:tc>
          <w:tcPr>
            <w:tcW w:type="dxa" w:w="3156"/>
          </w:tcPr>
          <w:p>
            <w:r>
              <w:t>Результат</w:t>
            </w:r>
          </w:p>
        </w:tc>
      </w:tr>
      <w:tr>
        <w:tc>
          <w:tcPr>
            <w:tcW w:type="dxa" w:w="3156"/>
          </w:tcPr>
          <w:p>
            <w:pPr>
              <w:spacing w:after="80"/>
            </w:pPr>
            <w:r>
              <w:rPr>
                <w:sz w:val="20"/>
              </w:rPr>
              <w:t>1. Аудит даних</w:t>
            </w:r>
          </w:p>
        </w:tc>
        <w:tc>
          <w:tcPr>
            <w:tcW w:type="dxa" w:w="3156"/>
          </w:tcPr>
          <w:p>
            <w:pPr>
              <w:spacing w:after="80"/>
            </w:pPr>
            <w:r>
              <w:rPr>
                <w:sz w:val="20"/>
              </w:rPr>
              <w:t>Отримати вибірки; перевірити кількість записів, роки, регіони та умови використання.</w:t>
            </w:r>
          </w:p>
        </w:tc>
        <w:tc>
          <w:tcPr>
            <w:tcW w:type="dxa" w:w="3156"/>
          </w:tcPr>
          <w:p>
            <w:pPr>
              <w:spacing w:after="80"/>
            </w:pPr>
            <w:r>
              <w:rPr>
                <w:sz w:val="20"/>
              </w:rPr>
              <w:t>Обґрунтований період і масштаб дослідження</w:t>
            </w:r>
          </w:p>
        </w:tc>
      </w:tr>
      <w:tr>
        <w:tc>
          <w:tcPr>
            <w:tcW w:type="dxa" w:w="3156"/>
          </w:tcPr>
          <w:p>
            <w:pPr>
              <w:spacing w:after="80"/>
            </w:pPr>
            <w:r>
              <w:rPr>
                <w:sz w:val="20"/>
              </w:rPr>
              <w:t>2. Уточнення задачі</w:t>
            </w:r>
          </w:p>
        </w:tc>
        <w:tc>
          <w:tcPr>
            <w:tcW w:type="dxa" w:w="3156"/>
          </w:tcPr>
          <w:p>
            <w:pPr>
              <w:spacing w:after="80"/>
            </w:pPr>
            <w:r>
              <w:rPr>
                <w:sz w:val="20"/>
              </w:rPr>
              <w:t>Зафіксувати типи НС, одиницю спостереження та функції калькулятора.</w:t>
            </w:r>
          </w:p>
        </w:tc>
        <w:tc>
          <w:tcPr>
            <w:tcW w:type="dxa" w:w="3156"/>
          </w:tcPr>
          <w:p>
            <w:pPr>
              <w:spacing w:after="80"/>
            </w:pPr>
            <w:r>
              <w:rPr>
                <w:sz w:val="20"/>
              </w:rPr>
              <w:t>Коротке технічне завдання</w:t>
            </w:r>
          </w:p>
        </w:tc>
      </w:tr>
      <w:tr>
        <w:tc>
          <w:tcPr>
            <w:tcW w:type="dxa" w:w="3156"/>
          </w:tcPr>
          <w:p>
            <w:pPr>
              <w:spacing w:after="80"/>
            </w:pPr>
            <w:r>
              <w:rPr>
                <w:sz w:val="20"/>
              </w:rPr>
              <w:t>3. Підготовка даних</w:t>
            </w:r>
          </w:p>
        </w:tc>
        <w:tc>
          <w:tcPr>
            <w:tcW w:type="dxa" w:w="3156"/>
          </w:tcPr>
          <w:p>
            <w:pPr>
              <w:spacing w:after="80"/>
            </w:pPr>
            <w:r>
              <w:rPr>
                <w:sz w:val="20"/>
              </w:rPr>
              <w:t>Реалізувати очищення, перевірки, журнал змін та версіонування.</w:t>
            </w:r>
          </w:p>
        </w:tc>
        <w:tc>
          <w:tcPr>
            <w:tcW w:type="dxa" w:w="3156"/>
          </w:tcPr>
          <w:p>
            <w:pPr>
              <w:spacing w:after="80"/>
            </w:pPr>
            <w:r>
              <w:rPr>
                <w:sz w:val="20"/>
              </w:rPr>
              <w:t>Відтворюваний набір і звіт якості</w:t>
            </w:r>
          </w:p>
        </w:tc>
      </w:tr>
      <w:tr>
        <w:tc>
          <w:tcPr>
            <w:tcW w:type="dxa" w:w="3156"/>
          </w:tcPr>
          <w:p>
            <w:pPr>
              <w:spacing w:after="80"/>
            </w:pPr>
            <w:r>
              <w:rPr>
                <w:sz w:val="20"/>
              </w:rPr>
              <w:t>4. Дослідження</w:t>
            </w:r>
          </w:p>
        </w:tc>
        <w:tc>
          <w:tcPr>
            <w:tcW w:type="dxa" w:w="3156"/>
          </w:tcPr>
          <w:p>
            <w:pPr>
              <w:spacing w:after="80"/>
            </w:pPr>
            <w:r>
              <w:rPr>
                <w:sz w:val="20"/>
              </w:rPr>
              <w:t>Побудувати графіки та перевірити закономірності.</w:t>
            </w:r>
          </w:p>
        </w:tc>
        <w:tc>
          <w:tcPr>
            <w:tcW w:type="dxa" w:w="3156"/>
          </w:tcPr>
          <w:p>
            <w:pPr>
              <w:spacing w:after="80"/>
            </w:pPr>
            <w:r>
              <w:rPr>
                <w:sz w:val="20"/>
              </w:rPr>
              <w:t>Матеріали аналітичного розділу</w:t>
            </w:r>
          </w:p>
        </w:tc>
      </w:tr>
      <w:tr>
        <w:tc>
          <w:tcPr>
            <w:tcW w:type="dxa" w:w="3156"/>
          </w:tcPr>
          <w:p>
            <w:pPr>
              <w:spacing w:after="80"/>
            </w:pPr>
            <w:r>
              <w:rPr>
                <w:sz w:val="20"/>
              </w:rPr>
              <w:t>5. Моделювання</w:t>
            </w:r>
          </w:p>
        </w:tc>
        <w:tc>
          <w:tcPr>
            <w:tcW w:type="dxa" w:w="3156"/>
          </w:tcPr>
          <w:p>
            <w:pPr>
              <w:spacing w:after="80"/>
            </w:pPr>
            <w:r>
              <w:rPr>
                <w:sz w:val="20"/>
              </w:rPr>
              <w:t>Порівняти базові й складніші моделі.</w:t>
            </w:r>
          </w:p>
        </w:tc>
        <w:tc>
          <w:tcPr>
            <w:tcW w:type="dxa" w:w="3156"/>
          </w:tcPr>
          <w:p>
            <w:pPr>
              <w:spacing w:after="80"/>
            </w:pPr>
            <w:r>
              <w:rPr>
                <w:sz w:val="20"/>
              </w:rPr>
              <w:t>Метрики, інтервали, вибрана модель</w:t>
            </w:r>
          </w:p>
        </w:tc>
      </w:tr>
      <w:tr>
        <w:tc>
          <w:tcPr>
            <w:tcW w:type="dxa" w:w="3156"/>
          </w:tcPr>
          <w:p>
            <w:pPr>
              <w:spacing w:after="80"/>
            </w:pPr>
            <w:r>
              <w:rPr>
                <w:sz w:val="20"/>
              </w:rPr>
              <w:t>6. Backend</w:t>
            </w:r>
          </w:p>
        </w:tc>
        <w:tc>
          <w:tcPr>
            <w:tcW w:type="dxa" w:w="3156"/>
          </w:tcPr>
          <w:p>
            <w:pPr>
              <w:spacing w:after="80"/>
            </w:pPr>
            <w:r>
              <w:rPr>
                <w:sz w:val="20"/>
              </w:rPr>
              <w:t>Реалізувати базу, API та розрахунки.</w:t>
            </w:r>
          </w:p>
        </w:tc>
        <w:tc>
          <w:tcPr>
            <w:tcW w:type="dxa" w:w="3156"/>
          </w:tcPr>
          <w:p>
            <w:pPr>
              <w:spacing w:after="80"/>
            </w:pPr>
            <w:r>
              <w:rPr>
                <w:sz w:val="20"/>
              </w:rPr>
              <w:t>Працюючий сервер</w:t>
            </w:r>
          </w:p>
        </w:tc>
      </w:tr>
      <w:tr>
        <w:tc>
          <w:tcPr>
            <w:tcW w:type="dxa" w:w="3156"/>
          </w:tcPr>
          <w:p>
            <w:pPr>
              <w:spacing w:after="80"/>
            </w:pPr>
            <w:r>
              <w:rPr>
                <w:sz w:val="20"/>
              </w:rPr>
              <w:t>7. Frontend</w:t>
            </w:r>
          </w:p>
        </w:tc>
        <w:tc>
          <w:tcPr>
            <w:tcW w:type="dxa" w:w="3156"/>
          </w:tcPr>
          <w:p>
            <w:pPr>
              <w:spacing w:after="80"/>
            </w:pPr>
            <w:r>
              <w:rPr>
                <w:sz w:val="20"/>
              </w:rPr>
              <w:t>Реалізувати аналітику, каталог, карту й калькулятор.</w:t>
            </w:r>
          </w:p>
        </w:tc>
        <w:tc>
          <w:tcPr>
            <w:tcW w:type="dxa" w:w="3156"/>
          </w:tcPr>
          <w:p>
            <w:pPr>
              <w:spacing w:after="80"/>
            </w:pPr>
            <w:r>
              <w:rPr>
                <w:sz w:val="20"/>
              </w:rPr>
              <w:t>Працюючий сайт</w:t>
            </w:r>
          </w:p>
        </w:tc>
      </w:tr>
      <w:tr>
        <w:tc>
          <w:tcPr>
            <w:tcW w:type="dxa" w:w="3156"/>
          </w:tcPr>
          <w:p>
            <w:pPr>
              <w:spacing w:after="80"/>
            </w:pPr>
            <w:r>
              <w:rPr>
                <w:sz w:val="20"/>
              </w:rPr>
              <w:t>8. Перевірка</w:t>
            </w:r>
          </w:p>
        </w:tc>
        <w:tc>
          <w:tcPr>
            <w:tcW w:type="dxa" w:w="3156"/>
          </w:tcPr>
          <w:p>
            <w:pPr>
              <w:spacing w:after="80"/>
            </w:pPr>
            <w:r>
              <w:rPr>
                <w:sz w:val="20"/>
              </w:rPr>
              <w:t>Звірити підсумки, розрахунки та користувацькі сценарії.</w:t>
            </w:r>
          </w:p>
        </w:tc>
        <w:tc>
          <w:tcPr>
            <w:tcW w:type="dxa" w:w="3156"/>
          </w:tcPr>
          <w:p>
            <w:pPr>
              <w:spacing w:after="80"/>
            </w:pPr>
            <w:r>
              <w:rPr>
                <w:sz w:val="20"/>
              </w:rPr>
              <w:t>Підтверджена коректність</w:t>
            </w:r>
          </w:p>
        </w:tc>
      </w:tr>
      <w:tr>
        <w:tc>
          <w:tcPr>
            <w:tcW w:type="dxa" w:w="3156"/>
          </w:tcPr>
          <w:p>
            <w:pPr>
              <w:spacing w:after="80"/>
            </w:pPr>
            <w:r>
              <w:rPr>
                <w:sz w:val="20"/>
              </w:rPr>
              <w:t>9. Оформлення</w:t>
            </w:r>
          </w:p>
        </w:tc>
        <w:tc>
          <w:tcPr>
            <w:tcW w:type="dxa" w:w="3156"/>
          </w:tcPr>
          <w:p>
            <w:pPr>
              <w:spacing w:after="80"/>
            </w:pPr>
            <w:r>
              <w:rPr>
                <w:sz w:val="20"/>
              </w:rPr>
              <w:t>Підготувати текст, посилання, додатки й презентацію.</w:t>
            </w:r>
          </w:p>
        </w:tc>
        <w:tc>
          <w:tcPr>
            <w:tcW w:type="dxa" w:w="3156"/>
          </w:tcPr>
          <w:p>
            <w:pPr>
              <w:spacing w:after="80"/>
            </w:pPr>
            <w:r>
              <w:rPr>
                <w:sz w:val="20"/>
              </w:rPr>
              <w:t>Матеріали до захисту</w:t>
            </w:r>
          </w:p>
        </w:tc>
      </w:tr>
    </w:tbl>
    <w:p/>
    <w:p>
      <w:r>
        <w:t>Перший практичний крок — аудит українських даних EM-DAT і ДСНС. Лише після нього фіксуються початковий рік, регіональність і підтримувані сценарії калькулятора. Якщо подій мало, розглядається окремий модуль пожеж на FIRMS. Текст дипломної доцільно готувати паралельно з кожним етапом, а не після завершення сайту.</w:t>
      </w:r>
    </w:p>
    <w:p>
      <w:pPr>
        <w:pStyle w:val="Heading1"/>
      </w:pPr>
      <w:r>
        <w:t>10. Очікувані результати та критерії готовності</w:t>
      </w:r>
    </w:p>
    <w:p>
      <w:pPr>
        <w:pStyle w:val="ListBullet"/>
      </w:pPr>
      <w:r>
        <w:t>Набір даних: кожен запис або агрегат має джерело; описано поля, одиниці, пропуски та правила об’єднання.</w:t>
      </w:r>
    </w:p>
    <w:p>
      <w:pPr>
        <w:pStyle w:val="ListBullet"/>
      </w:pPr>
      <w:r>
        <w:t>Обробка: повторний запуск на тій самій версії оригіналів відтворює результат.</w:t>
      </w:r>
    </w:p>
    <w:p>
      <w:pPr>
        <w:pStyle w:val="ListBullet"/>
      </w:pPr>
      <w:r>
        <w:t>Дослідження: графіки й таблиці формуються з підготовлених даних; висновки підтверджені розрахунками.</w:t>
      </w:r>
    </w:p>
    <w:p>
      <w:pPr>
        <w:pStyle w:val="ListBullet"/>
      </w:pPr>
      <w:r>
        <w:t>Моделі: є базовий метод, часова перевірка, метрики та інтервали невизначеності.</w:t>
      </w:r>
    </w:p>
    <w:p>
      <w:pPr>
        <w:pStyle w:val="ListBullet"/>
      </w:pPr>
      <w:r>
        <w:t>Калькулятор: розрахунки збігаються з дослідницьким кодом; некоректні параметри та недостатні дані обробляються явно.</w:t>
      </w:r>
    </w:p>
    <w:p>
      <w:pPr>
        <w:pStyle w:val="ListBullet"/>
      </w:pPr>
      <w:r>
        <w:t>Інтерфейс: доступні фільтри, джерела й пояснення; відсутні значення не відображаються як нулі.</w:t>
      </w:r>
    </w:p>
    <w:p>
      <w:pPr>
        <w:pStyle w:val="ListBullet"/>
      </w:pPr>
      <w:r>
        <w:t>Запуск: є інструкція та конфігурація середовища.</w:t>
      </w:r>
    </w:p>
    <w:p>
      <w:pPr>
        <w:pStyle w:val="ListBullet"/>
      </w:pPr>
      <w:r>
        <w:t>Дипломна: оформлено розділи, джерела, додатки та демонстраційні сценарії.</w:t>
      </w:r>
    </w:p>
    <w:p>
      <w:r>
        <w:t>Питання для узгодження з керівником: остаточна назва; мінімально достатній період; вимоги до математичної частини; потреба в модулі FIRMS/ERA5; методичні вимоги й термін подання. Уточнення цих пунктів не перешкоджає початку аудиту даних.</w:t>
      </w:r>
    </w:p>
    <w:p>
      <w:pPr>
        <w:pStyle w:val="Heading1"/>
      </w:pPr>
      <w:r>
        <w:t>11. Джерела інформації</w:t>
      </w:r>
    </w:p>
    <w:p>
      <w:r>
        <w:t>Джерела перевірено під час підготовки концепції 29.09.2026. Посилання обґрунтовують доступність і характер джерел, але не підтверджують ще не виконане завантаження або підрахунок українських записів.</w:t>
      </w:r>
    </w:p>
    <w:p>
      <w:r>
        <w:t xml:space="preserve">[1] EM-DAT. Опис бази та критерії включення. </w:t>
      </w:r>
      <w:hyperlink r:id="rId10">
        <w:r>
          <w:rPr>
            <w:color w:val="0563C1"/>
          </w:rPr>
          <w:t>https://www.emdat.be/</w:t>
        </w:r>
      </w:hyperlink>
    </w:p>
    <w:p>
      <w:r>
        <w:t xml:space="preserve">[2] EM-DAT Documentation. Data Accessibility. </w:t>
      </w:r>
      <w:hyperlink r:id="rId11">
        <w:r>
          <w:rPr>
            <w:color w:val="0563C1"/>
          </w:rPr>
          <w:t>https://doc.emdat.be/docs/data-accessibility/</w:t>
        </w:r>
      </w:hyperlink>
    </w:p>
    <w:p>
      <w:r>
        <w:t xml:space="preserve">[3] EM-DAT Documentation. Known Issues and Limitations. </w:t>
      </w:r>
      <w:hyperlink r:id="rId12">
        <w:r>
          <w:rPr>
            <w:color w:val="0563C1"/>
          </w:rPr>
          <w:t>https://doc.emdat.be/docs/known-issues-and-limitations/</w:t>
        </w:r>
      </w:hyperlink>
    </w:p>
    <w:p>
      <w:r>
        <w:t xml:space="preserve">[4] Звіт ДСНС про основні результати діяльності у 2024 році. </w:t>
      </w:r>
      <w:hyperlink r:id="rId13">
        <w:r>
          <w:rPr>
            <w:color w:val="0563C1"/>
          </w:rPr>
          <w:t>https://www.kmu.gov.ua/storage/app/sites/1/17-civik-2018/zvit_2024/zvit_DSNS_2024.pdf</w:t>
        </w:r>
      </w:hyperlink>
    </w:p>
    <w:p>
      <w:r>
        <w:t xml:space="preserve">[5] NASA FIRMS. Документація використання API та доступних продуктів. </w:t>
      </w:r>
      <w:hyperlink r:id="rId14">
        <w:r>
          <w:rPr>
            <w:color w:val="0563C1"/>
          </w:rPr>
          <w:t>https://firms.modaps.eosdis.nasa.gov/content/academy/data_api/firms_api_use.html</w:t>
        </w:r>
      </w:hyperlink>
    </w:p>
    <w:p>
      <w:r>
        <w:t xml:space="preserve">[6] Copernicus Climate Data Store. ERA5 hourly data on single levels from 1940 to present. </w:t>
      </w:r>
      <w:hyperlink r:id="rId15">
        <w:r>
          <w:rPr>
            <w:color w:val="0563C1"/>
          </w:rPr>
          <w:t>https://cds.climate.copernicus.eu/datasets/reanalysis-era5-single-levels?tab=overview</w:t>
        </w:r>
      </w:hyperlink>
    </w:p>
    <w:p>
      <w:r>
        <w:t>[7] Лінник Максим. «Статистика надзвичайних ситуацій в Австралії та Новій Зеландії». Курсова робота. Львів, 2026. Локальний файл: «Курсова ЛНУ.docx».</w:t>
      </w:r>
    </w:p>
    <w:sectPr w:rsidR="00FC693F" w:rsidRPr="0006063C" w:rsidSect="00034616">
      <w:footerReference w:type="default" r:id="rId9"/>
      <w:pgSz w:w="11906" w:h="16838"/>
      <w:pgMar w:top="1134" w:right="102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План дипломної роботи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73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mdat.be/" TargetMode="External"/><Relationship Id="rId11" Type="http://schemas.openxmlformats.org/officeDocument/2006/relationships/hyperlink" Target="https://doc.emdat.be/docs/data-accessibility/" TargetMode="External"/><Relationship Id="rId12" Type="http://schemas.openxmlformats.org/officeDocument/2006/relationships/hyperlink" Target="https://doc.emdat.be/docs/known-issues-and-limitations/" TargetMode="External"/><Relationship Id="rId13" Type="http://schemas.openxmlformats.org/officeDocument/2006/relationships/hyperlink" Target="https://www.kmu.gov.ua/storage/app/sites/1/17-civik-2018/zvit_2024/zvit_DSNS_2024.pdf" TargetMode="External"/><Relationship Id="rId14" Type="http://schemas.openxmlformats.org/officeDocument/2006/relationships/hyperlink" Target="https://firms.modaps.eosdis.nasa.gov/content/academy/data_api/firms_api_use.html" TargetMode="External"/><Relationship Id="rId15" Type="http://schemas.openxmlformats.org/officeDocument/2006/relationships/hyperlink" Target="https://cds.climate.copernicus.eu/datasets/reanalysis-era5-single-levels?tab=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Концепція та план дипломної роботи</dc:title>
  <dc:subject>Надзвичайні ситуації в Україні: дані, моделі та вебсистема</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uk-UA</dc:language>
</cp:coreProperties>
</file>