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asdfsdf </w:t>
      </w:r>
    </w:p>
    <w:p>
      <w:r>
        <w:rPr>
          <w:i/>
        </w:rPr>
        <w:t>выделение* (например, курсив</w:t>
      </w:r>
    </w:p>
    <w:p>
      <w:r>
        <w:rPr>
          <w:b/>
        </w:rPr>
        <w:t>сильное выделение** (например, полужирное начертани</w:t>
      </w:r>
    </w:p>
    <w:p>
      <w:r>
        <w:rPr>
          <w:i/>
        </w:rPr>
        <w:t>полужирное начертание)</w:t>
      </w:r>
    </w:p>
    <w:p>
      <w:r>
        <w:rPr>
          <w:b/>
        </w:rPr>
        <w:t>полужирное начертание)</w:t>
      </w:r>
    </w:p>
    <w:p>
      <w:r>
        <w:rPr>
          <w:b/>
          <w:i/>
        </w:rPr>
        <w:t>полужирное начертание)</w:t>
      </w:r>
    </w:p>
    <w:p>
      <w:pPr>
        <w:pStyle w:val="ListBullet"/>
      </w:pPr>
      <w:r>
        <w:t>элемент маркированного списка</w:t>
      </w:r>
    </w:p>
    <w:p>
      <w:pPr>
        <w:pStyle w:val="ListBullet"/>
      </w:pPr>
      <w:r>
        <w:t>ещё один элемент ненумерованного списка</w:t>
      </w:r>
    </w:p>
    <w:p>
      <w:pPr>
        <w:pStyle w:val="ListBullet"/>
      </w:pPr>
      <w:r>
        <w:t>буллеты элементов могут быть разными</w:t>
      </w:r>
    </w:p>
    <w:p>
      <w:pPr>
        <w:pStyle w:val="ListNumber"/>
      </w:pPr>
      <w:r>
        <w:t>Элемент нумерованного списка</w:t>
      </w:r>
    </w:p>
    <w:p>
      <w:pPr>
        <w:pStyle w:val="ListNumber"/>
      </w:pPr>
      <w:r>
        <w:t>Элемент №2 того же списка</w:t>
      </w:r>
    </w:p>
    <w:p>
      <w:pPr>
        <w:pStyle w:val="ListNumber"/>
      </w:pPr>
      <w:r>
        <w:t>Элемент №3 списка — элементы нумеруются по порядку, цифра в начале строки не имеет значения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