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0593f6cb1a6bfcfc58156ef8e3361307b3e589"/>
    <w:p>
      <w:pPr>
        <w:pStyle w:val="Heading1"/>
      </w:pPr>
      <w:r>
        <w:t xml:space="preserve">ГЛАВА 3. ТЕСТИРОВАНИЕ И ВНЕДРЕНИЕ СИСТЕМЫ</w:t>
      </w:r>
    </w:p>
    <w:bookmarkStart w:id="25" w:name="тестирование-разработанной-системы"/>
    <w:p>
      <w:pPr>
        <w:pStyle w:val="Heading2"/>
      </w:pPr>
      <w:r>
        <w:t xml:space="preserve">3.1. Тестирование разработанной системы</w:t>
      </w:r>
    </w:p>
    <w:bookmarkStart w:id="18" w:name="цели-уровни-и-методика-тестирования"/>
    <w:p>
      <w:pPr>
        <w:pStyle w:val="Heading3"/>
      </w:pPr>
      <w:r>
        <w:t xml:space="preserve">3.1.1. Цели, уровни и методика тестирования</w:t>
      </w:r>
    </w:p>
    <w:p>
      <w:pPr>
        <w:pStyle w:val="FirstParagraph"/>
      </w:pPr>
      <w:r>
        <w:t xml:space="preserve">Тестирование является обязательным этапом разработки программного обеспечения, предшествующим вводу системы в эксплуатацию [6]. Целью тестирования разработанной системы «MedFind» являлась проверка её соответствия функциональным и нефункциональным требованиям, сформулированным в первой главе, а также выявление и последующее устранение ошибок. Тестирование охватывало все три компонента системы — серверную часть, мобильное приложение и веб-панель администратора.</w:t>
      </w:r>
    </w:p>
    <w:p>
      <w:pPr>
        <w:pStyle w:val="BodyText"/>
      </w:pPr>
      <w:r>
        <w:t xml:space="preserve">Тестирование проводилось на нескольких уровнях. На уровне отдельных модулей проверялась корректность работы изолированных компонентов серверной части. На уровне интеграции проверялось совместное функционирование компонентов — взаимодействие мобильного приложения с серверным программным интерфейсом и обращение сервера к базе данных. На системном уровне проверялась работа приложения в целом при выполнении сквозных пользовательских сценариев.</w:t>
      </w:r>
    </w:p>
    <w:p>
      <w:pPr>
        <w:pStyle w:val="BodyText"/>
      </w:pPr>
      <w:r>
        <w:t xml:space="preserve">В соответствии с указанными уровнями применялись следующие виды тестирования: функциональное тестирование по сценариям использования; тестирование программного интерфейса REST API; автоматизированное модульное тестирование серверной части; тестирование пользовательского интерфейса мобильного приложения на устройствах. Сочетание перечисленных видов позволило проверить как отдельные модули, так и систему в целом, и обеспечить достаточную полноту проверки в условиях разработки приложения одним исполнителем.</w:t>
      </w:r>
    </w:p>
    <w:bookmarkEnd w:id="18"/>
    <w:bookmarkStart w:id="19" w:name="функциональное-тестирование"/>
    <w:p>
      <w:pPr>
        <w:pStyle w:val="Heading3"/>
      </w:pPr>
      <w:r>
        <w:t xml:space="preserve">3.1.2. Функциональное тестирование</w:t>
      </w:r>
    </w:p>
    <w:p>
      <w:pPr>
        <w:pStyle w:val="FirstParagraph"/>
      </w:pPr>
      <w:r>
        <w:t xml:space="preserve">Функциональное тестирование проводилось методом «чёрного ящика»: проверялось соответствие фактического поведения системы ожидаемому при выполнении типовых пользовательских сценариев, без обращения к внутренней реализации. Сценарии формировались на основе функциональных требований и охватывали все роли пользователей — пациента, врача, клинику, аптеку и администратора. Для каждого сценария определялись исходные условия, последовательность выполняемых действий и ожидаемый результат, после чего фактический результат сопоставлялся с ожидаемым. Примеры выполненных тест-кейсов приведены в таблице 3.1.</w:t>
      </w:r>
    </w:p>
    <w:p>
      <w:pPr>
        <w:pStyle w:val="BodyText"/>
      </w:pPr>
      <w:r>
        <w:t xml:space="preserve">Таблица 3.1 — Примеры тест-кейсов функционального тестирования</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t xml:space="preserve">№</w:t>
            </w:r>
          </w:p>
        </w:tc>
        <w:tc>
          <w:tcPr/>
          <w:p>
            <w:pPr>
              <w:pStyle w:val="Compact"/>
            </w:pPr>
            <w:r>
              <w:t xml:space="preserve">Проверяемый сценарий</w:t>
            </w:r>
          </w:p>
        </w:tc>
        <w:tc>
          <w:tcPr/>
          <w:p>
            <w:pPr>
              <w:pStyle w:val="Compact"/>
            </w:pPr>
            <w:r>
              <w:t xml:space="preserve">Ожидаемый результат</w:t>
            </w:r>
          </w:p>
        </w:tc>
        <w:tc>
          <w:tcPr/>
          <w:p>
            <w:pPr>
              <w:pStyle w:val="Compact"/>
              <w:jc w:val="center"/>
            </w:pPr>
            <w:r>
              <w:t xml:space="preserve">Итог</w:t>
            </w:r>
          </w:p>
        </w:tc>
      </w:tr>
      <w:tr>
        <w:tc>
          <w:tcPr/>
          <w:p>
            <w:pPr>
              <w:pStyle w:val="Compact"/>
              <w:jc w:val="center"/>
            </w:pPr>
            <w:r>
              <w:t xml:space="preserve">1</w:t>
            </w:r>
          </w:p>
        </w:tc>
        <w:tc>
          <w:tcPr/>
          <w:p>
            <w:pPr>
              <w:pStyle w:val="Compact"/>
            </w:pPr>
            <w:r>
              <w:t xml:space="preserve">Регистрация пациента по номеру телефона с вводом кода подтверждения</w:t>
            </w:r>
          </w:p>
        </w:tc>
        <w:tc>
          <w:tcPr/>
          <w:p>
            <w:pPr>
              <w:pStyle w:val="Compact"/>
            </w:pPr>
            <w:r>
              <w:t xml:space="preserve">Учётная запись создана, выполнен вход</w:t>
            </w:r>
          </w:p>
        </w:tc>
        <w:tc>
          <w:tcPr/>
          <w:p>
            <w:pPr>
              <w:pStyle w:val="Compact"/>
              <w:jc w:val="center"/>
            </w:pPr>
            <w:r>
              <w:t xml:space="preserve">пройден</w:t>
            </w:r>
          </w:p>
        </w:tc>
      </w:tr>
      <w:tr>
        <w:tc>
          <w:tcPr/>
          <w:p>
            <w:pPr>
              <w:pStyle w:val="Compact"/>
              <w:jc w:val="center"/>
            </w:pPr>
            <w:r>
              <w:t xml:space="preserve">2</w:t>
            </w:r>
          </w:p>
        </w:tc>
        <w:tc>
          <w:tcPr/>
          <w:p>
            <w:pPr>
              <w:pStyle w:val="Compact"/>
            </w:pPr>
            <w:r>
              <w:t xml:space="preserve">Вход с истёкшим маркером доступа</w:t>
            </w:r>
          </w:p>
        </w:tc>
        <w:tc>
          <w:tcPr/>
          <w:p>
            <w:pPr>
              <w:pStyle w:val="Compact"/>
            </w:pPr>
            <w:r>
              <w:t xml:space="preserve">Маркер обновлён автоматически, запрос повторён</w:t>
            </w:r>
          </w:p>
        </w:tc>
        <w:tc>
          <w:tcPr/>
          <w:p>
            <w:pPr>
              <w:pStyle w:val="Compact"/>
              <w:jc w:val="center"/>
            </w:pPr>
            <w:r>
              <w:t xml:space="preserve">пройден</w:t>
            </w:r>
          </w:p>
        </w:tc>
      </w:tr>
      <w:tr>
        <w:tc>
          <w:tcPr/>
          <w:p>
            <w:pPr>
              <w:pStyle w:val="Compact"/>
              <w:jc w:val="center"/>
            </w:pPr>
            <w:r>
              <w:t xml:space="preserve">3</w:t>
            </w:r>
          </w:p>
        </w:tc>
        <w:tc>
          <w:tcPr/>
          <w:p>
            <w:pPr>
              <w:pStyle w:val="Compact"/>
            </w:pPr>
            <w:r>
              <w:t xml:space="preserve">Ввод неверного пароля несколько раз подряд</w:t>
            </w:r>
          </w:p>
        </w:tc>
        <w:tc>
          <w:tcPr/>
          <w:p>
            <w:pPr>
              <w:pStyle w:val="Compact"/>
            </w:pPr>
            <w:r>
              <w:t xml:space="preserve">Учётная запись временно заблокирована</w:t>
            </w:r>
          </w:p>
        </w:tc>
        <w:tc>
          <w:tcPr/>
          <w:p>
            <w:pPr>
              <w:pStyle w:val="Compact"/>
              <w:jc w:val="center"/>
            </w:pPr>
            <w:r>
              <w:t xml:space="preserve">пройден</w:t>
            </w:r>
          </w:p>
        </w:tc>
      </w:tr>
      <w:tr>
        <w:tc>
          <w:tcPr/>
          <w:p>
            <w:pPr>
              <w:pStyle w:val="Compact"/>
              <w:jc w:val="center"/>
            </w:pPr>
            <w:r>
              <w:t xml:space="preserve">4</w:t>
            </w:r>
          </w:p>
        </w:tc>
        <w:tc>
          <w:tcPr/>
          <w:p>
            <w:pPr>
              <w:pStyle w:val="Compact"/>
            </w:pPr>
            <w:r>
              <w:t xml:space="preserve">Восстановление пароля по коду подтверждения</w:t>
            </w:r>
          </w:p>
        </w:tc>
        <w:tc>
          <w:tcPr/>
          <w:p>
            <w:pPr>
              <w:pStyle w:val="Compact"/>
            </w:pPr>
            <w:r>
              <w:t xml:space="preserve">Пароль изменён, выполнен вход</w:t>
            </w:r>
          </w:p>
        </w:tc>
        <w:tc>
          <w:tcPr/>
          <w:p>
            <w:pPr>
              <w:pStyle w:val="Compact"/>
              <w:jc w:val="center"/>
            </w:pPr>
            <w:r>
              <w:t xml:space="preserve">пройден</w:t>
            </w:r>
          </w:p>
        </w:tc>
      </w:tr>
      <w:tr>
        <w:tc>
          <w:tcPr/>
          <w:p>
            <w:pPr>
              <w:pStyle w:val="Compact"/>
              <w:jc w:val="center"/>
            </w:pPr>
            <w:r>
              <w:t xml:space="preserve">5</w:t>
            </w:r>
          </w:p>
        </w:tc>
        <w:tc>
          <w:tcPr/>
          <w:p>
            <w:pPr>
              <w:pStyle w:val="Compact"/>
            </w:pPr>
            <w:r>
              <w:t xml:space="preserve">Подбор врача по выбранному симптому</w:t>
            </w:r>
          </w:p>
        </w:tc>
        <w:tc>
          <w:tcPr/>
          <w:p>
            <w:pPr>
              <w:pStyle w:val="Compact"/>
            </w:pPr>
            <w:r>
              <w:t xml:space="preserve">Отображён список врачей соответствующих специализаций</w:t>
            </w:r>
          </w:p>
        </w:tc>
        <w:tc>
          <w:tcPr/>
          <w:p>
            <w:pPr>
              <w:pStyle w:val="Compact"/>
              <w:jc w:val="center"/>
            </w:pPr>
            <w:r>
              <w:t xml:space="preserve">пройден</w:t>
            </w:r>
          </w:p>
        </w:tc>
      </w:tr>
      <w:tr>
        <w:tc>
          <w:tcPr/>
          <w:p>
            <w:pPr>
              <w:pStyle w:val="Compact"/>
              <w:jc w:val="center"/>
            </w:pPr>
            <w:r>
              <w:t xml:space="preserve">6</w:t>
            </w:r>
          </w:p>
        </w:tc>
        <w:tc>
          <w:tcPr/>
          <w:p>
            <w:pPr>
              <w:pStyle w:val="Compact"/>
            </w:pPr>
            <w:r>
              <w:t xml:space="preserve">Фильтрация каталога врачей по специализации</w:t>
            </w:r>
          </w:p>
        </w:tc>
        <w:tc>
          <w:tcPr/>
          <w:p>
            <w:pPr>
              <w:pStyle w:val="Compact"/>
            </w:pPr>
            <w:r>
              <w:t xml:space="preserve">Список содержит только врачей выбранной специализации</w:t>
            </w:r>
          </w:p>
        </w:tc>
        <w:tc>
          <w:tcPr/>
          <w:p>
            <w:pPr>
              <w:pStyle w:val="Compact"/>
              <w:jc w:val="center"/>
            </w:pPr>
            <w:r>
              <w:t xml:space="preserve">пройден</w:t>
            </w:r>
          </w:p>
        </w:tc>
      </w:tr>
      <w:tr>
        <w:tc>
          <w:tcPr/>
          <w:p>
            <w:pPr>
              <w:pStyle w:val="Compact"/>
              <w:jc w:val="center"/>
            </w:pPr>
            <w:r>
              <w:t xml:space="preserve">7</w:t>
            </w:r>
          </w:p>
        </w:tc>
        <w:tc>
          <w:tcPr/>
          <w:p>
            <w:pPr>
              <w:pStyle w:val="Compact"/>
            </w:pPr>
            <w:r>
              <w:t xml:space="preserve">Подача врачом заявки на присоединение к клинике</w:t>
            </w:r>
          </w:p>
        </w:tc>
        <w:tc>
          <w:tcPr/>
          <w:p>
            <w:pPr>
              <w:pStyle w:val="Compact"/>
            </w:pPr>
            <w:r>
              <w:t xml:space="preserve">Профиль врача переходит в статус «ожидает подтверждения»</w:t>
            </w:r>
          </w:p>
        </w:tc>
        <w:tc>
          <w:tcPr/>
          <w:p>
            <w:pPr>
              <w:pStyle w:val="Compact"/>
              <w:jc w:val="center"/>
            </w:pPr>
            <w:r>
              <w:t xml:space="preserve">пройден</w:t>
            </w:r>
          </w:p>
        </w:tc>
      </w:tr>
      <w:tr>
        <w:tc>
          <w:tcPr/>
          <w:p>
            <w:pPr>
              <w:pStyle w:val="Compact"/>
              <w:jc w:val="center"/>
            </w:pPr>
            <w:r>
              <w:t xml:space="preserve">8</w:t>
            </w:r>
          </w:p>
        </w:tc>
        <w:tc>
          <w:tcPr/>
          <w:p>
            <w:pPr>
              <w:pStyle w:val="Compact"/>
            </w:pPr>
            <w:r>
              <w:t xml:space="preserve">Подтверждение врача клиникой</w:t>
            </w:r>
          </w:p>
        </w:tc>
        <w:tc>
          <w:tcPr/>
          <w:p>
            <w:pPr>
              <w:pStyle w:val="Compact"/>
            </w:pPr>
            <w:r>
              <w:t xml:space="preserve">Профиль переходит в статус «активен» и виден пациентам</w:t>
            </w:r>
          </w:p>
        </w:tc>
        <w:tc>
          <w:tcPr/>
          <w:p>
            <w:pPr>
              <w:pStyle w:val="Compact"/>
              <w:jc w:val="center"/>
            </w:pPr>
            <w:r>
              <w:t xml:space="preserve">пройден</w:t>
            </w:r>
          </w:p>
        </w:tc>
      </w:tr>
      <w:tr>
        <w:tc>
          <w:tcPr/>
          <w:p>
            <w:pPr>
              <w:pStyle w:val="Compact"/>
              <w:jc w:val="center"/>
            </w:pPr>
            <w:r>
              <w:t xml:space="preserve">9</w:t>
            </w:r>
          </w:p>
        </w:tc>
        <w:tc>
          <w:tcPr/>
          <w:p>
            <w:pPr>
              <w:pStyle w:val="Compact"/>
            </w:pPr>
            <w:r>
              <w:t xml:space="preserve">Отклонение врача клиникой</w:t>
            </w:r>
          </w:p>
        </w:tc>
        <w:tc>
          <w:tcPr/>
          <w:p>
            <w:pPr>
              <w:pStyle w:val="Compact"/>
            </w:pPr>
            <w:r>
              <w:t xml:space="preserve">Профиль переходит в статус «отклонён», в каталоге не отображается</w:t>
            </w:r>
          </w:p>
        </w:tc>
        <w:tc>
          <w:tcPr/>
          <w:p>
            <w:pPr>
              <w:pStyle w:val="Compact"/>
              <w:jc w:val="center"/>
            </w:pPr>
            <w:r>
              <w:t xml:space="preserve">пройден</w:t>
            </w:r>
          </w:p>
        </w:tc>
      </w:tr>
      <w:tr>
        <w:tc>
          <w:tcPr/>
          <w:p>
            <w:pPr>
              <w:pStyle w:val="Compact"/>
              <w:jc w:val="center"/>
            </w:pPr>
            <w:r>
              <w:t xml:space="preserve">10</w:t>
            </w:r>
          </w:p>
        </w:tc>
        <w:tc>
          <w:tcPr/>
          <w:p>
            <w:pPr>
              <w:pStyle w:val="Compact"/>
            </w:pPr>
            <w:r>
              <w:t xml:space="preserve">Оставление пациентом отзыва на врача</w:t>
            </w:r>
          </w:p>
        </w:tc>
        <w:tc>
          <w:tcPr/>
          <w:p>
            <w:pPr>
              <w:pStyle w:val="Compact"/>
            </w:pPr>
            <w:r>
              <w:t xml:space="preserve">Отзыв сохранён, средний рейтинг пересчитан</w:t>
            </w:r>
          </w:p>
        </w:tc>
        <w:tc>
          <w:tcPr/>
          <w:p>
            <w:pPr>
              <w:pStyle w:val="Compact"/>
              <w:jc w:val="center"/>
            </w:pPr>
            <w:r>
              <w:t xml:space="preserve">пройден</w:t>
            </w:r>
          </w:p>
        </w:tc>
      </w:tr>
      <w:tr>
        <w:tc>
          <w:tcPr/>
          <w:p>
            <w:pPr>
              <w:pStyle w:val="Compact"/>
              <w:jc w:val="center"/>
            </w:pPr>
            <w:r>
              <w:t xml:space="preserve">11</w:t>
            </w:r>
          </w:p>
        </w:tc>
        <w:tc>
          <w:tcPr/>
          <w:p>
            <w:pPr>
              <w:pStyle w:val="Compact"/>
            </w:pPr>
            <w:r>
              <w:t xml:space="preserve">Добавление врача в избранное и вход с другого устройства</w:t>
            </w:r>
          </w:p>
        </w:tc>
        <w:tc>
          <w:tcPr/>
          <w:p>
            <w:pPr>
              <w:pStyle w:val="Compact"/>
            </w:pPr>
            <w:r>
              <w:t xml:space="preserve">Список избранного синхронизирован с сервером</w:t>
            </w:r>
          </w:p>
        </w:tc>
        <w:tc>
          <w:tcPr/>
          <w:p>
            <w:pPr>
              <w:pStyle w:val="Compact"/>
              <w:jc w:val="center"/>
            </w:pPr>
            <w:r>
              <w:t xml:space="preserve">пройден</w:t>
            </w:r>
          </w:p>
        </w:tc>
      </w:tr>
      <w:tr>
        <w:tc>
          <w:tcPr/>
          <w:p>
            <w:pPr>
              <w:pStyle w:val="Compact"/>
              <w:jc w:val="center"/>
            </w:pPr>
            <w:r>
              <w:t xml:space="preserve">12</w:t>
            </w:r>
          </w:p>
        </w:tc>
        <w:tc>
          <w:tcPr/>
          <w:p>
            <w:pPr>
              <w:pStyle w:val="Compact"/>
            </w:pPr>
            <w:r>
              <w:t xml:space="preserve">Подача жалобы на объект</w:t>
            </w:r>
          </w:p>
        </w:tc>
        <w:tc>
          <w:tcPr/>
          <w:p>
            <w:pPr>
              <w:pStyle w:val="Compact"/>
            </w:pPr>
            <w:r>
              <w:t xml:space="preserve">Жалоба зафиксирована, доступна администратору</w:t>
            </w:r>
          </w:p>
        </w:tc>
        <w:tc>
          <w:tcPr/>
          <w:p>
            <w:pPr>
              <w:pStyle w:val="Compact"/>
              <w:jc w:val="center"/>
            </w:pPr>
            <w:r>
              <w:t xml:space="preserve">пройден</w:t>
            </w:r>
          </w:p>
        </w:tc>
      </w:tr>
      <w:tr>
        <w:tc>
          <w:tcPr/>
          <w:p>
            <w:pPr>
              <w:pStyle w:val="Compact"/>
              <w:jc w:val="center"/>
            </w:pPr>
            <w:r>
              <w:t xml:space="preserve">13</w:t>
            </w:r>
          </w:p>
        </w:tc>
        <w:tc>
          <w:tcPr/>
          <w:p>
            <w:pPr>
              <w:pStyle w:val="Compact"/>
            </w:pPr>
            <w:r>
              <w:t xml:space="preserve">Построение маршрута до клиники</w:t>
            </w:r>
          </w:p>
        </w:tc>
        <w:tc>
          <w:tcPr/>
          <w:p>
            <w:pPr>
              <w:pStyle w:val="Compact"/>
            </w:pPr>
            <w:r>
              <w:t xml:space="preserve">Открывается картографический сервис с координатами учреждения</w:t>
            </w:r>
          </w:p>
        </w:tc>
        <w:tc>
          <w:tcPr/>
          <w:p>
            <w:pPr>
              <w:pStyle w:val="Compact"/>
              <w:jc w:val="center"/>
            </w:pPr>
            <w:r>
              <w:t xml:space="preserve">пройден</w:t>
            </w:r>
          </w:p>
        </w:tc>
      </w:tr>
      <w:tr>
        <w:tc>
          <w:tcPr/>
          <w:p>
            <w:pPr>
              <w:pStyle w:val="Compact"/>
              <w:jc w:val="center"/>
            </w:pPr>
            <w:r>
              <w:t xml:space="preserve">14</w:t>
            </w:r>
          </w:p>
        </w:tc>
        <w:tc>
          <w:tcPr/>
          <w:p>
            <w:pPr>
              <w:pStyle w:val="Compact"/>
            </w:pPr>
            <w:r>
              <w:t xml:space="preserve">Переключение языка интерфейса</w:t>
            </w:r>
          </w:p>
        </w:tc>
        <w:tc>
          <w:tcPr/>
          <w:p>
            <w:pPr>
              <w:pStyle w:val="Compact"/>
            </w:pPr>
            <w:r>
              <w:t xml:space="preserve">Интерфейс отображается на выбранном языке</w:t>
            </w:r>
          </w:p>
        </w:tc>
        <w:tc>
          <w:tcPr/>
          <w:p>
            <w:pPr>
              <w:pStyle w:val="Compact"/>
              <w:jc w:val="center"/>
            </w:pPr>
            <w:r>
              <w:t xml:space="preserve">пройден</w:t>
            </w:r>
          </w:p>
        </w:tc>
      </w:tr>
      <w:tr>
        <w:tc>
          <w:tcPr/>
          <w:p>
            <w:pPr>
              <w:pStyle w:val="Compact"/>
              <w:jc w:val="center"/>
            </w:pPr>
            <w:r>
              <w:t xml:space="preserve">15</w:t>
            </w:r>
          </w:p>
        </w:tc>
        <w:tc>
          <w:tcPr/>
          <w:p>
            <w:pPr>
              <w:pStyle w:val="Compact"/>
            </w:pPr>
            <w:r>
              <w:t xml:space="preserve">Просмотр раздела «Первая помощь» без подключения к сети</w:t>
            </w:r>
          </w:p>
        </w:tc>
        <w:tc>
          <w:tcPr/>
          <w:p>
            <w:pPr>
              <w:pStyle w:val="Compact"/>
            </w:pPr>
            <w:r>
              <w:t xml:space="preserve">Содержимое раздела доступно офлайн</w:t>
            </w:r>
          </w:p>
        </w:tc>
        <w:tc>
          <w:tcPr/>
          <w:p>
            <w:pPr>
              <w:pStyle w:val="Compact"/>
              <w:jc w:val="center"/>
            </w:pPr>
            <w:r>
              <w:t xml:space="preserve">пройден</w:t>
            </w:r>
          </w:p>
        </w:tc>
      </w:tr>
    </w:tbl>
    <w:p>
      <w:pPr>
        <w:pStyle w:val="BodyText"/>
      </w:pPr>
      <w:r>
        <w:t xml:space="preserve">По результатам функционального тестирования все проверенные сценарии отрабатывают корректно. В процессе тестирования были выявлены несоответствия, типичные для этапа разработки: недостаточная валидация форм ввода, при которой допускалась отправка пустых или некорректных значений; отсутствие информативного сообщения при пустом результате поиска, когда пользователю показывался пустой экран без пояснения; погрешности отображения отдельных элементов интерфейса на экранах малого размера. Все выявленные несоответствия были проанализированы и устранены, после чего соответствующие сценарии тестировались повторно.</w:t>
      </w:r>
    </w:p>
    <w:bookmarkEnd w:id="19"/>
    <w:bookmarkStart w:id="20" w:name="X24a56fe04d7c9c3b5223ba7c66697fb4dd55e5b"/>
    <w:p>
      <w:pPr>
        <w:pStyle w:val="Heading3"/>
      </w:pPr>
      <w:r>
        <w:t xml:space="preserve">3.1.3. Тестирование программного интерфейса REST API</w:t>
      </w:r>
    </w:p>
    <w:p>
      <w:pPr>
        <w:pStyle w:val="FirstParagraph"/>
      </w:pPr>
      <w:r>
        <w:t xml:space="preserve">Для тестирования серверного программного интерфейса использовалась интерактивная документация, автоматически формируемая фреймворком FastAPI по спецификации OpenAPI и доступная в виде веб-страницы. Документация позволяет вызывать любой эндпоинт непосредственно из браузера, передавая параметры и просматривая ответ сервера, что делает её удобным инструментом ручного тестирования API без применения сторонних программ. Внешний вид интерактивной документации приведён на рисунке 3.1.</w:t>
      </w:r>
    </w:p>
    <w:p>
      <w:pPr>
        <w:pStyle w:val="BodyText"/>
      </w:pPr>
      <w:r>
        <w:t xml:space="preserve">[РИСУНОК 3.1 — Интерактивная документация REST API (Swagger UI): перечень эндпоинтов системы, сгруппированных по маршрутизаторам, и форма вызова эндпоинта]</w:t>
      </w:r>
    </w:p>
    <w:p>
      <w:pPr>
        <w:pStyle w:val="BodyText"/>
      </w:pPr>
      <w:r>
        <w:t xml:space="preserve">В ходе тестирования API проверялись несколько аспектов. Во-первых, корректность кодов состояния HTTP: успешные операции должны возвращать коды группы 2xx, а ошибочные запросы — соответствующие коды группы 4xx. Во-вторых, работа валидации входных данных схемами Pydantic: при передаче данных некорректного типа или с нарушением ограничений сервер должен отклонять запрос с кодом ошибки валидации. В-третьих, правильность разграничения доступа: выполнение защищённого эндпоинта без маркера доступа должно отклоняться с кодом 401, а при недостаточной роли пользователя — с кодом 403. Тестирование подтвердило, что программный интерфейс возвращает предсказуемые ответы, корректно обрабатывает некорректные запросы и не допускает выполнения операций без необходимых прав.</w:t>
      </w:r>
    </w:p>
    <w:bookmarkEnd w:id="20"/>
    <w:bookmarkStart w:id="21" w:name="автоматизированное-тестирование"/>
    <w:p>
      <w:pPr>
        <w:pStyle w:val="Heading3"/>
      </w:pPr>
      <w:r>
        <w:t xml:space="preserve">3.1.4. Автоматизированное тестирование</w:t>
      </w:r>
    </w:p>
    <w:p>
      <w:pPr>
        <w:pStyle w:val="FirstParagraph"/>
      </w:pPr>
      <w:r>
        <w:t xml:space="preserve">Для серверной части реализованы автоматизированные тесты с использованием фреймворка pytest. Автоматизированные тесты позволяют многократно и быстро проверять корректность работы кода после внесения изменений, что снижает риск появления новых ошибок при доработке системы. Тестами покрыт модуль обработки жалоб как наиболее критичный с точки зрения автоматических действий системы: проверяется подача жалобы, корректность агрегирования жалоб по объектам и срабатывание пороговых правил, приводящих к отправке уведомлений и автоматической блокировке нарушителя. Результат прогона автоматизированных тестов приведён на рисунке 3.2.</w:t>
      </w:r>
    </w:p>
    <w:p>
      <w:pPr>
        <w:pStyle w:val="BodyText"/>
      </w:pPr>
      <w:r>
        <w:t xml:space="preserve">[РИСУНОК 3.2 — Результаты прогона автоматизированных тестов (pytest): список выполненных тестов модуля обработки жалоб и итоговый результат]</w:t>
      </w:r>
    </w:p>
    <w:p>
      <w:pPr>
        <w:pStyle w:val="BodyText"/>
      </w:pPr>
      <w:r>
        <w:t xml:space="preserve">Остальные модули системы проверялись преимущественно функциональным тестированием и тестированием программного интерфейса. Расширение покрытия серверной части автоматизированными тестами отнесено к направлениям дальнейшего развития системы.</w:t>
      </w:r>
    </w:p>
    <w:bookmarkEnd w:id="21"/>
    <w:bookmarkStart w:id="22" w:name="X74c70b47e1746d00e24a01b236c038a7898be58"/>
    <w:p>
      <w:pPr>
        <w:pStyle w:val="Heading3"/>
      </w:pPr>
      <w:r>
        <w:t xml:space="preserve">3.1.5. Тестирование мобильного приложения на устройствах</w:t>
      </w:r>
    </w:p>
    <w:p>
      <w:pPr>
        <w:pStyle w:val="FirstParagraph"/>
      </w:pPr>
      <w:r>
        <w:t xml:space="preserve">Помимо проверки функциональности, выполнялось тестирование пользовательского интерфейса мобильного приложения непосредственно на устройствах. Поскольку приложение является кроссплатформенным и предназначено для широкого круга пользователей, важно убедиться в его корректном отображении и работе на устройствах с различными параметрами. Проверялись адаптивность интерфейса при разных размерах экрана, корректность работы на различных версиях операционной системы, правильность отображения при смене языка интерфейса. Перечень проверявшихся конфигураций приведён в таблице 3.2.</w:t>
      </w:r>
    </w:p>
    <w:p>
      <w:pPr>
        <w:pStyle w:val="BodyText"/>
      </w:pPr>
      <w:r>
        <w:t xml:space="preserve">Таблица 3.2 — Конфигурации, на которых тестировалось мобильное приложение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Параметр</w:t>
            </w:r>
          </w:p>
        </w:tc>
        <w:tc>
          <w:tcPr/>
          <w:p>
            <w:pPr>
              <w:pStyle w:val="Compact"/>
            </w:pPr>
            <w:r>
              <w:t xml:space="preserve">Проверявшиеся значения</w:t>
            </w:r>
          </w:p>
        </w:tc>
      </w:tr>
      <w:tr>
        <w:tc>
          <w:tcPr/>
          <w:p>
            <w:pPr>
              <w:pStyle w:val="Compact"/>
            </w:pPr>
            <w:r>
              <w:t xml:space="preserve">Операционная система</w:t>
            </w:r>
          </w:p>
        </w:tc>
        <w:tc>
          <w:tcPr/>
          <w:p>
            <w:pPr>
              <w:pStyle w:val="Compact"/>
            </w:pPr>
            <w:r>
              <w:t xml:space="preserve">Android, iOS</w:t>
            </w:r>
          </w:p>
        </w:tc>
      </w:tr>
      <w:tr>
        <w:tc>
          <w:tcPr/>
          <w:p>
            <w:pPr>
              <w:pStyle w:val="Compact"/>
            </w:pPr>
            <w:r>
              <w:t xml:space="preserve">Размер экрана</w:t>
            </w:r>
          </w:p>
        </w:tc>
        <w:tc>
          <w:tcPr/>
          <w:p>
            <w:pPr>
              <w:pStyle w:val="Compact"/>
            </w:pPr>
            <w:r>
              <w:t xml:space="preserve">компактный (телефон), увеличенный</w:t>
            </w:r>
          </w:p>
        </w:tc>
      </w:tr>
      <w:tr>
        <w:tc>
          <w:tcPr/>
          <w:p>
            <w:pPr>
              <w:pStyle w:val="Compact"/>
            </w:pPr>
            <w:r>
              <w:t xml:space="preserve">Версия операционной системы</w:t>
            </w:r>
          </w:p>
        </w:tc>
        <w:tc>
          <w:tcPr/>
          <w:p>
            <w:pPr>
              <w:pStyle w:val="Compact"/>
            </w:pPr>
            <w:r>
              <w:t xml:space="preserve">актуальная и предшествующая</w:t>
            </w:r>
          </w:p>
        </w:tc>
      </w:tr>
      <w:tr>
        <w:tc>
          <w:tcPr/>
          <w:p>
            <w:pPr>
              <w:pStyle w:val="Compact"/>
            </w:pPr>
            <w:r>
              <w:t xml:space="preserve">Язык интерфейса</w:t>
            </w:r>
          </w:p>
        </w:tc>
        <w:tc>
          <w:tcPr/>
          <w:p>
            <w:pPr>
              <w:pStyle w:val="Compact"/>
            </w:pPr>
            <w:r>
              <w:t xml:space="preserve">русский, кыргызский, английский</w:t>
            </w:r>
          </w:p>
        </w:tc>
      </w:tr>
      <w:tr>
        <w:tc>
          <w:tcPr/>
          <w:p>
            <w:pPr>
              <w:pStyle w:val="Compact"/>
            </w:pPr>
            <w:r>
              <w:t xml:space="preserve">Состояние сети</w:t>
            </w:r>
          </w:p>
        </w:tc>
        <w:tc>
          <w:tcPr/>
          <w:p>
            <w:pPr>
              <w:pStyle w:val="Compact"/>
            </w:pPr>
            <w:r>
              <w:t xml:space="preserve">при наличии и отсутствии подключения</w:t>
            </w:r>
          </w:p>
        </w:tc>
      </w:tr>
    </w:tbl>
    <w:p>
      <w:pPr>
        <w:pStyle w:val="BodyText"/>
      </w:pPr>
      <w:r>
        <w:t xml:space="preserve">Тестирование на устройствах подтвердило, что интерфейс приложения корректно адаптируется к различным размерам экрана, элементы не выходят за границы видимой области и сохраняют читаемость, а переключение языка применяется ко всем экранам. Раздел «Первая помощь» сохраняет работоспособность при отсутствии подключения к сети.</w:t>
      </w:r>
    </w:p>
    <w:bookmarkEnd w:id="22"/>
    <w:bookmarkStart w:id="23" w:name="тестирование-безопасности"/>
    <w:p>
      <w:pPr>
        <w:pStyle w:val="Heading3"/>
      </w:pPr>
      <w:r>
        <w:t xml:space="preserve">3.1.6. Тестирование безопасности</w:t>
      </w:r>
    </w:p>
    <w:p>
      <w:pPr>
        <w:pStyle w:val="FirstParagraph"/>
      </w:pPr>
      <w:r>
        <w:t xml:space="preserve">Отдельное внимание при тестировании уделялось проверке мер безопасности, реализованных в системе и описанных во второй главе. Проверялось, что пароли пользователей не хранятся в базе данных в открытом виде, а сохраняются исключительно в виде криптографических хешей. Проверялась работа защиты от подбора пароля: после нескольких неудачных попыток входа подряд учётная запись временно блокировалась, исключая дальнейший перебор. Проверялось ограничение частоты запросов — при превышении допустимого числа обращений за короткий промежуток времени сервер отклонял избыточные запросы. Проверялось разграничение доступа: попытки выполнения защищённых операций без аутентификации или с недостаточной для операции ролью отклонялись сервером с соответствующими кодами ошибок. Проверялось наличие в ответах сервера защитных HTTP-заголовков. Результаты тестирования безопасности подтвердили, что заложенные механизмы защиты функционируют в соответствии с проектными решениями и обеспечивают защиту данных пользователей.</w:t>
      </w:r>
    </w:p>
    <w:bookmarkEnd w:id="23"/>
    <w:bookmarkStart w:id="24" w:name="отладка"/>
    <w:p>
      <w:pPr>
        <w:pStyle w:val="Heading3"/>
      </w:pPr>
      <w:r>
        <w:t xml:space="preserve">3.1.7. Отладка</w:t>
      </w:r>
    </w:p>
    <w:p>
      <w:pPr>
        <w:pStyle w:val="FirstParagraph"/>
      </w:pPr>
      <w:r>
        <w:t xml:space="preserve">В процессе разработки и тестирования для поиска и устранения ошибок применялись встроенные средства отладки. На стороне мобильного приложения использовался компонент логирования HTTP-запросов, выводящий в консоль разработчика полные сведения о каждом запросе и ответе сервера, что позволяло быстро локализовать ошибки сетевого взаимодействия. На стороне сервера применялось журналирование, а специальный режим разработки давал возможность получать коды подтверждения непосредственно в ответе сервера без реальной отправки SMS, что существенно ускоряло отладку сценариев аутентификации. Совокупность этих средств обеспечила эффективное выявление и устранение ошибок на всех этапах разработки.</w:t>
      </w:r>
    </w:p>
    <w:bookmarkEnd w:id="24"/>
    <w:bookmarkEnd w:id="25"/>
    <w:bookmarkStart w:id="30" w:name="развёртывание-и-сопровождение-системы"/>
    <w:p>
      <w:pPr>
        <w:pStyle w:val="Heading2"/>
      </w:pPr>
      <w:r>
        <w:t xml:space="preserve">3.2. Развёртывание и сопровождение системы</w:t>
      </w:r>
    </w:p>
    <w:bookmarkStart w:id="26" w:name="требования-к-программному-окружению"/>
    <w:p>
      <w:pPr>
        <w:pStyle w:val="Heading3"/>
      </w:pPr>
      <w:r>
        <w:t xml:space="preserve">3.2.1. Требования к программному окружению</w:t>
      </w:r>
    </w:p>
    <w:p>
      <w:pPr>
        <w:pStyle w:val="FirstParagraph"/>
      </w:pPr>
      <w:r>
        <w:t xml:space="preserve">Для развёртывания серверной части системы требуется среда выполнения языка Python и система управления базами данных PostgreSQL. Серверное приложение запускается ASGI-сервером Uvicorn. Серверная часть не предъявляет высоких требований к аппаратному обеспечению и может быть развёрнута как на физическом сервере, так и в облачной инфраструктуре.</w:t>
      </w:r>
    </w:p>
    <w:p>
      <w:pPr>
        <w:pStyle w:val="BodyText"/>
      </w:pPr>
      <w:r>
        <w:t xml:space="preserve">Мобильное приложение собирается средствами инструментария Flutter в установочный пакет для операционной системы Android и в приложение для операционной системы iOS из единой кодовой базы. Для работы приложения на устройстве пользователя требуется подключение к сети Интернет, за исключением раздела «Первая помощь», доступного офлайн. Веб-панель администратора не требует установки и открывается в браузере на персональном компьютере.</w:t>
      </w:r>
    </w:p>
    <w:bookmarkEnd w:id="26"/>
    <w:bookmarkStart w:id="27" w:name="конфигурирование-системы"/>
    <w:p>
      <w:pPr>
        <w:pStyle w:val="Heading3"/>
      </w:pPr>
      <w:r>
        <w:t xml:space="preserve">3.2.2. Конфигурирование системы</w:t>
      </w:r>
    </w:p>
    <w:p>
      <w:pPr>
        <w:pStyle w:val="FirstParagraph"/>
      </w:pPr>
      <w:r>
        <w:t xml:space="preserve">Параметры развёртывания системы задаются через файл конфигурации и не хранятся в исходном коде, что соответствует требованиям безопасности и позволяет использовать разные настройки для среды разработки и промышленной эксплуатации. Основные параметры конфигурации приведены в таблице 3.3.</w:t>
      </w:r>
    </w:p>
    <w:p>
      <w:pPr>
        <w:pStyle w:val="BodyText"/>
      </w:pPr>
      <w:r>
        <w:t xml:space="preserve">Таблица 3.3 — Основные параметры конфигурации серверной части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Параметр</w:t>
            </w:r>
          </w:p>
        </w:tc>
        <w:tc>
          <w:tcPr/>
          <w:p>
            <w:pPr>
              <w:pStyle w:val="Compact"/>
            </w:pPr>
            <w:r>
              <w:t xml:space="preserve">Назначение</w:t>
            </w:r>
          </w:p>
        </w:tc>
      </w:tr>
      <w:tr>
        <w:tc>
          <w:tcPr/>
          <w:p>
            <w:pPr>
              <w:pStyle w:val="Compact"/>
            </w:pPr>
            <w:r>
              <w:t xml:space="preserve">Строка подключения к БД</w:t>
            </w:r>
          </w:p>
        </w:tc>
        <w:tc>
          <w:tcPr/>
          <w:p>
            <w:pPr>
              <w:pStyle w:val="Compact"/>
            </w:pPr>
            <w:r>
              <w:t xml:space="preserve">адрес и учётные данные базы данных PostgreSQL</w:t>
            </w:r>
          </w:p>
        </w:tc>
      </w:tr>
      <w:tr>
        <w:tc>
          <w:tcPr/>
          <w:p>
            <w:pPr>
              <w:pStyle w:val="Compact"/>
            </w:pPr>
            <w:r>
              <w:t xml:space="preserve">Секретный ключ</w:t>
            </w:r>
          </w:p>
        </w:tc>
        <w:tc>
          <w:tcPr/>
          <w:p>
            <w:pPr>
              <w:pStyle w:val="Compact"/>
            </w:pPr>
            <w:r>
              <w:t xml:space="preserve">ключ для подписи и проверки токенов JWT</w:t>
            </w:r>
          </w:p>
        </w:tc>
      </w:tr>
      <w:tr>
        <w:tc>
          <w:tcPr/>
          <w:p>
            <w:pPr>
              <w:pStyle w:val="Compact"/>
            </w:pPr>
            <w:r>
              <w:t xml:space="preserve">Срок действия маркера</w:t>
            </w:r>
          </w:p>
        </w:tc>
        <w:tc>
          <w:tcPr/>
          <w:p>
            <w:pPr>
              <w:pStyle w:val="Compact"/>
            </w:pPr>
            <w:r>
              <w:t xml:space="preserve">время жизни маркера доступа</w:t>
            </w:r>
          </w:p>
        </w:tc>
      </w:tr>
      <w:tr>
        <w:tc>
          <w:tcPr/>
          <w:p>
            <w:pPr>
              <w:pStyle w:val="Compact"/>
            </w:pPr>
            <w:r>
              <w:t xml:space="preserve">Режим разработки</w:t>
            </w:r>
          </w:p>
        </w:tc>
        <w:tc>
          <w:tcPr/>
          <w:p>
            <w:pPr>
              <w:pStyle w:val="Compact"/>
            </w:pPr>
            <w:r>
              <w:t xml:space="preserve">возврат кода подтверждения в ответе без отправки SMS</w:t>
            </w:r>
          </w:p>
        </w:tc>
      </w:tr>
      <w:tr>
        <w:tc>
          <w:tcPr/>
          <w:p>
            <w:pPr>
              <w:pStyle w:val="Compact"/>
            </w:pPr>
            <w:r>
              <w:t xml:space="preserve">Доступ к SMS-шлюзу</w:t>
            </w:r>
          </w:p>
        </w:tc>
        <w:tc>
          <w:tcPr/>
          <w:p>
            <w:pPr>
              <w:pStyle w:val="Compact"/>
            </w:pPr>
            <w:r>
              <w:t xml:space="preserve">учётные данные и имя отправителя сервиса Nikita.kg</w:t>
            </w:r>
          </w:p>
        </w:tc>
      </w:tr>
      <w:tr>
        <w:tc>
          <w:tcPr/>
          <w:p>
            <w:pPr>
              <w:pStyle w:val="Compact"/>
            </w:pPr>
            <w:r>
              <w:t xml:space="preserve">Ключ сервиса Mistral AI</w:t>
            </w:r>
          </w:p>
        </w:tc>
        <w:tc>
          <w:tcPr/>
          <w:p>
            <w:pPr>
              <w:pStyle w:val="Compact"/>
            </w:pPr>
            <w:r>
              <w:t xml:space="preserve">ключ доступа к модели искусственного интеллекта</w:t>
            </w:r>
          </w:p>
        </w:tc>
      </w:tr>
      <w:tr>
        <w:tc>
          <w:tcPr/>
          <w:p>
            <w:pPr>
              <w:pStyle w:val="Compact"/>
            </w:pPr>
            <w:r>
              <w:t xml:space="preserve">Путь к ключу Firebase</w:t>
            </w:r>
          </w:p>
        </w:tc>
        <w:tc>
          <w:tcPr/>
          <w:p>
            <w:pPr>
              <w:pStyle w:val="Compact"/>
            </w:pPr>
            <w:r>
              <w:t xml:space="preserve">файл доступа к службе push-уведомлений</w:t>
            </w:r>
          </w:p>
        </w:tc>
      </w:tr>
      <w:tr>
        <w:tc>
          <w:tcPr/>
          <w:p>
            <w:pPr>
              <w:pStyle w:val="Compact"/>
            </w:pPr>
            <w:r>
              <w:t xml:space="preserve">Параметры планировщика</w:t>
            </w:r>
          </w:p>
        </w:tc>
        <w:tc>
          <w:tcPr/>
          <w:p>
            <w:pPr>
              <w:pStyle w:val="Compact"/>
            </w:pPr>
            <w:r>
              <w:t xml:space="preserve">время запуска регламентных задач</w:t>
            </w:r>
          </w:p>
        </w:tc>
      </w:tr>
      <w:tr>
        <w:tc>
          <w:tcPr/>
          <w:p>
            <w:pPr>
              <w:pStyle w:val="Compact"/>
            </w:pPr>
            <w:r>
              <w:t xml:space="preserve">Пороги жалоб</w:t>
            </w:r>
          </w:p>
        </w:tc>
        <w:tc>
          <w:tcPr/>
          <w:p>
            <w:pPr>
              <w:pStyle w:val="Compact"/>
            </w:pPr>
            <w:r>
              <w:t xml:space="preserve">значения для уведомлений и автоматической блокировки</w:t>
            </w:r>
          </w:p>
        </w:tc>
      </w:tr>
    </w:tbl>
    <w:bookmarkEnd w:id="27"/>
    <w:bookmarkStart w:id="28" w:name="порядок-развёртывания"/>
    <w:p>
      <w:pPr>
        <w:pStyle w:val="Heading3"/>
      </w:pPr>
      <w:r>
        <w:t xml:space="preserve">3.2.3. Порядок развёртывания</w:t>
      </w:r>
    </w:p>
    <w:p>
      <w:pPr>
        <w:pStyle w:val="FirstParagraph"/>
      </w:pPr>
      <w:r>
        <w:t xml:space="preserve">Развёртывание серверной части включает следующие шаги: установку зависимостей; настройку файла конфигурации в соответствии с таблицей 3.3; применение миграций базы данных средствами инструмента Alembic для создания структуры таблиц; при необходимости — заполнение базы начальными данными; запуск сервера. После запуска сервер предоставляет программный интерфейс REST API, интерактивную документацию и веб-панель администратора, а также раздаёт загруженные пользователями изображения. Веб-панель администратора, через которую осуществляется эксплуатация и сопровождение платформы, показана на рисунке 3.3.</w:t>
      </w:r>
    </w:p>
    <w:p>
      <w:pPr>
        <w:pStyle w:val="BodyText"/>
      </w:pPr>
      <w:r>
        <w:t xml:space="preserve">[РИСУНОК 3.3 — Веб-панель администратора системы MedFind: информационная панель с ключевыми показателями платформы]</w:t>
      </w:r>
    </w:p>
    <w:p>
      <w:pPr>
        <w:pStyle w:val="BodyText"/>
      </w:pPr>
      <w:r>
        <w:t xml:space="preserve">Для ввода системы в промышленную эксплуатацию необходимо подключить реальные внешние службы: SMS-шлюз Nikita.kg для отправки кодов подтверждения, службу Firebase Cloud Messaging для доставки push-уведомлений и сервис Mistral AI для работы AI-ассистента. Архитектура системы предусматривает такое подключение без изменения основного кода: например, отправка SMS сосредоточена в единственном программном модуле, замена которого на обращение к реальному шлюзу не затрагивает остальную часть приложения. Это упрощает перевод системы из режима разработки в режим эксплуатации.</w:t>
      </w:r>
    </w:p>
    <w:bookmarkEnd w:id="28"/>
    <w:bookmarkStart w:id="29" w:name="сопровождение-системы"/>
    <w:p>
      <w:pPr>
        <w:pStyle w:val="Heading3"/>
      </w:pPr>
      <w:r>
        <w:t xml:space="preserve">3.2.4. Сопровождение системы</w:t>
      </w:r>
    </w:p>
    <w:p>
      <w:pPr>
        <w:pStyle w:val="FirstParagraph"/>
      </w:pPr>
      <w:r>
        <w:t xml:space="preserve">Сопровождение разработанной системы поддерживается рядом встроенных средств. Журнал действий администраторов, журнал поисковых запросов и события аналитики дают объективные сведения о работе платформы и поведении пользователей, что позволяет своевременно выявлять проблемы. Регламентные задачи планировщика — анализ накопленных жалоб и снятие истёкших блокировок — выполняются автоматически по расписанию и не требуют участия персонала. Управление структурой базы данных при дальнейшем развитии системы выполняется через миграции, что обеспечивает согласованное, версионируемое и обратимое изменение схемы. Обновление справочного раздела «Первая помощь» выполняется вместе с обновлением мобильного приложения. Слоистая организация кода серверной части и разделение мобильного приложения на независимые функциональные модули упрощают внесение изменений и исправление ошибок в процессе сопровождения [9], поскольку изменение одного модуля не затрагивает остальные.</w:t>
      </w:r>
    </w:p>
    <w:bookmarkEnd w:id="29"/>
    <w:bookmarkEnd w:id="30"/>
    <w:bookmarkStart w:id="31" w:name="планируемый-эффект-от-внедрения"/>
    <w:p>
      <w:pPr>
        <w:pStyle w:val="Heading2"/>
      </w:pPr>
      <w:r>
        <w:t xml:space="preserve">3.3. Планируемый эффект от внедрения</w:t>
      </w:r>
    </w:p>
    <w:p>
      <w:pPr>
        <w:pStyle w:val="FirstParagraph"/>
      </w:pPr>
      <w:r>
        <w:t xml:space="preserve">Поскольку приложение «MedFind» является бесплатным для всех категорий пользователей и не предусматривает монетизации, эффект от его внедрения носит не коммерческий, а социальный и временной характер. Планируемый эффект рассматривается отдельно для каждой группы участников.</w:t>
      </w:r>
    </w:p>
    <w:p>
      <w:pPr>
        <w:pStyle w:val="BodyText"/>
      </w:pPr>
      <w:r>
        <w:rPr>
          <w:b/>
          <w:bCs/>
        </w:rPr>
        <w:t xml:space="preserve">Эффект для пациентов.</w:t>
      </w:r>
      <w:r>
        <w:t xml:space="preserve"> </w:t>
      </w:r>
      <w:r>
        <w:t xml:space="preserve">Основной эффект состоит в существенном сокращении времени и трудозатрат на поиск медицинской услуги. При существующих способах поиска, рассмотренных в первой главе, пациент вынужден последовательно просматривать социальные сети и картографические сервисы, вступать в переписку с врачами для выяснения стоимости и графика приёма, а также самостоятельно сопоставлять разрозненные и несравнимые между собой сведения. В системе «MedFind» все необходимые данные представлены в структурированном и сравнимом виде в едином приложении. Сопоставление трудозатрат пациента при двух подходах приведено в таблице 3.4.</w:t>
      </w:r>
    </w:p>
    <w:p>
      <w:pPr>
        <w:pStyle w:val="BodyText"/>
      </w:pPr>
      <w:r>
        <w:t xml:space="preserve">Таблица 3.4 — Сравнение трудозатрат пациента на поиск врача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Этап поиска</w:t>
            </w:r>
          </w:p>
        </w:tc>
        <w:tc>
          <w:tcPr/>
          <w:p>
            <w:pPr>
              <w:pStyle w:val="Compact"/>
            </w:pPr>
            <w:r>
              <w:t xml:space="preserve">Существующие способы</w:t>
            </w:r>
          </w:p>
        </w:tc>
        <w:tc>
          <w:tcPr/>
          <w:p>
            <w:pPr>
              <w:pStyle w:val="Compact"/>
            </w:pPr>
            <w:r>
              <w:t xml:space="preserve">MedFind</w:t>
            </w:r>
          </w:p>
        </w:tc>
      </w:tr>
      <w:tr>
        <w:tc>
          <w:tcPr/>
          <w:p>
            <w:pPr>
              <w:pStyle w:val="Compact"/>
            </w:pPr>
            <w:r>
              <w:t xml:space="preserve">Поиск специалистов нужного профиля</w:t>
            </w:r>
          </w:p>
        </w:tc>
        <w:tc>
          <w:tcPr/>
          <w:p>
            <w:pPr>
              <w:pStyle w:val="Compact"/>
            </w:pPr>
            <w:r>
              <w:t xml:space="preserve">просмотр нескольких независимых источников</w:t>
            </w:r>
          </w:p>
        </w:tc>
        <w:tc>
          <w:tcPr/>
          <w:p>
            <w:pPr>
              <w:pStyle w:val="Compact"/>
            </w:pPr>
            <w:r>
              <w:t xml:space="preserve">один список с фильтром</w:t>
            </w:r>
          </w:p>
        </w:tc>
      </w:tr>
      <w:tr>
        <w:tc>
          <w:tcPr/>
          <w:p>
            <w:pPr>
              <w:pStyle w:val="Compact"/>
            </w:pPr>
            <w:r>
              <w:t xml:space="preserve">Выяснение стоимости консультации</w:t>
            </w:r>
          </w:p>
        </w:tc>
        <w:tc>
          <w:tcPr/>
          <w:p>
            <w:pPr>
              <w:pStyle w:val="Compact"/>
            </w:pPr>
            <w:r>
              <w:t xml:space="preserve">переписка с каждым врачом отдельно</w:t>
            </w:r>
          </w:p>
        </w:tc>
        <w:tc>
          <w:tcPr/>
          <w:p>
            <w:pPr>
              <w:pStyle w:val="Compact"/>
            </w:pPr>
            <w:r>
              <w:t xml:space="preserve">указана в профиле</w:t>
            </w:r>
          </w:p>
        </w:tc>
      </w:tr>
      <w:tr>
        <w:tc>
          <w:tcPr/>
          <w:p>
            <w:pPr>
              <w:pStyle w:val="Compact"/>
            </w:pPr>
            <w:r>
              <w:t xml:space="preserve">Проверка графика приёма и контактов</w:t>
            </w:r>
          </w:p>
        </w:tc>
        <w:tc>
          <w:tcPr/>
          <w:p>
            <w:pPr>
              <w:pStyle w:val="Compact"/>
            </w:pPr>
            <w:r>
              <w:t xml:space="preserve">поиск в разных местах</w:t>
            </w:r>
          </w:p>
        </w:tc>
        <w:tc>
          <w:tcPr/>
          <w:p>
            <w:pPr>
              <w:pStyle w:val="Compact"/>
            </w:pPr>
            <w:r>
              <w:t xml:space="preserve">в профиле врача</w:t>
            </w:r>
          </w:p>
        </w:tc>
      </w:tr>
      <w:tr>
        <w:tc>
          <w:tcPr/>
          <w:p>
            <w:pPr>
              <w:pStyle w:val="Compact"/>
            </w:pPr>
            <w:r>
              <w:t xml:space="preserve">Сравнение нескольких врачей</w:t>
            </w:r>
          </w:p>
        </w:tc>
        <w:tc>
          <w:tcPr/>
          <w:p>
            <w:pPr>
              <w:pStyle w:val="Compact"/>
            </w:pPr>
            <w:r>
              <w:t xml:space="preserve">вручную, по разным источникам</w:t>
            </w:r>
          </w:p>
        </w:tc>
        <w:tc>
          <w:tcPr/>
          <w:p>
            <w:pPr>
              <w:pStyle w:val="Compact"/>
            </w:pPr>
            <w:r>
              <w:t xml:space="preserve">в едином каталоге</w:t>
            </w:r>
          </w:p>
        </w:tc>
      </w:tr>
      <w:tr>
        <w:tc>
          <w:tcPr/>
          <w:p>
            <w:pPr>
              <w:pStyle w:val="Compact"/>
            </w:pPr>
            <w:r>
              <w:t xml:space="preserve">Проверка репутации специалиста</w:t>
            </w:r>
          </w:p>
        </w:tc>
        <w:tc>
          <w:tcPr/>
          <w:p>
            <w:pPr>
              <w:pStyle w:val="Compact"/>
            </w:pPr>
            <w:r>
              <w:t xml:space="preserve">отзывы отсутствуют или не проверяемы</w:t>
            </w:r>
          </w:p>
        </w:tc>
        <w:tc>
          <w:tcPr/>
          <w:p>
            <w:pPr>
              <w:pStyle w:val="Compact"/>
            </w:pPr>
            <w:r>
              <w:t xml:space="preserve">рейтинг и отзывы по врачу</w:t>
            </w:r>
          </w:p>
        </w:tc>
      </w:tr>
      <w:tr>
        <w:tc>
          <w:tcPr/>
          <w:p>
            <w:pPr>
              <w:pStyle w:val="Compact"/>
            </w:pPr>
            <w:r>
              <w:t xml:space="preserve">Ориентировочные затраты времени</w:t>
            </w:r>
          </w:p>
        </w:tc>
        <w:tc>
          <w:tcPr/>
          <w:p>
            <w:pPr>
              <w:pStyle w:val="Compact"/>
            </w:pPr>
            <w:r>
              <w:t xml:space="preserve">от нескольких часов до суток</w:t>
            </w:r>
          </w:p>
        </w:tc>
        <w:tc>
          <w:tcPr/>
          <w:p>
            <w:pPr>
              <w:pStyle w:val="Compact"/>
            </w:pPr>
            <w:r>
              <w:t xml:space="preserve">несколько минут</w:t>
            </w:r>
          </w:p>
        </w:tc>
      </w:tr>
    </w:tbl>
    <w:p>
      <w:pPr>
        <w:pStyle w:val="BodyText"/>
      </w:pPr>
      <w:r>
        <w:t xml:space="preserve">Как видно из таблицы 3.4, использование системы сокращает время поиска врача с нескольких часов до нескольких минут. Даже при умеренной оценке экономии в один–два часа на одно обращение и активной аудитории в несколько тысяч пользователей совокупная экономия времени населения составляет тысячи человеко-часов ежемесячно. Дополнительный социальный эффект для пациентов обеспечивает раздел «Первая помощь», доступный без подключения к сети и способный оказать информационную поддержку в экстренной ситуации, когда время оказания помощи имеет критическое значение.</w:t>
      </w:r>
    </w:p>
    <w:p>
      <w:pPr>
        <w:pStyle w:val="BodyText"/>
      </w:pPr>
      <w:r>
        <w:t xml:space="preserve">Для иллюстрации совокупного эффекта приведём ориентировочную оценку. Примем, что среднее время поиска подходящего врача традиционными способами составляет около двух часов, а с использованием приложения «MedFind» — около десяти минут; таким образом, экономия времени на одно обращение составляет примерно 1,8 часа. При активной аудитории в 3000 пользователей и среднем числе обращений к поиску один раз в месяц совокупная экономия времени составит около 3000 × 1,8 ≈ 5400 человеко-часов ежемесячно. Приведённая оценка является ориентировочной и опирается на сравнительный анализ способов поиска из первой главы; однако даже при значительном изменении исходных допущений совокупный эффект остаётся существенным. Следует отметить, что по мере роста числа пользователей и наполнения каталогов величина эффекта возрастает.</w:t>
      </w:r>
    </w:p>
    <w:p>
      <w:pPr>
        <w:pStyle w:val="BodyText"/>
      </w:pPr>
      <w:r>
        <w:rPr>
          <w:b/>
          <w:bCs/>
        </w:rPr>
        <w:t xml:space="preserve">Эффект для врачей, клиник и аптек.</w:t>
      </w:r>
      <w:r>
        <w:t xml:space="preserve"> </w:t>
      </w:r>
      <w:r>
        <w:t xml:space="preserve">Поставщики медицинских услуг получают бесплатный канал цифрового присутствия с единообразным и структурированным представлением информации, что особенно значимо для начинающих специалистов и небольших учреждений, не имеющих собственных средств продвижения. Клиники получают инструмент управления составом своих врачей, а также обезличенную аналитику посещаемости профилей, позволяющую оценивать востребованность отдельных специалистов и направлений. Аптеки получают возможность информировать пациентов о расположении, режиме работы и контактах своих филиалов.</w:t>
      </w:r>
    </w:p>
    <w:p>
      <w:pPr>
        <w:pStyle w:val="BodyText"/>
      </w:pPr>
      <w:r>
        <w:rPr>
          <w:b/>
          <w:bCs/>
        </w:rPr>
        <w:t xml:space="preserve">Эффект для системы здравоохранения.</w:t>
      </w:r>
      <w:r>
        <w:t xml:space="preserve"> </w:t>
      </w:r>
      <w:r>
        <w:t xml:space="preserve">На уровне отрасли внедрение системы способствует повышению доступности и прозрачности рынка медицинских услуг, упрощает для населения получение медицинской помощи и формирует обезличенные данные о спросе — наиболее востребованных специализациях и частых поисковых запросах, — которые могут быть полезны при анализе потребностей населения в медицинских услугах. Обобщённое представление о планируемом эффекте по группам участников приведено в таблице 3.5.</w:t>
      </w:r>
    </w:p>
    <w:p>
      <w:pPr>
        <w:pStyle w:val="BodyText"/>
      </w:pPr>
      <w:r>
        <w:t xml:space="preserve">Таблица 3.5 — Планируемый эффект от внедрения системы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Группа участников</w:t>
            </w:r>
          </w:p>
        </w:tc>
        <w:tc>
          <w:tcPr/>
          <w:p>
            <w:pPr>
              <w:pStyle w:val="Compact"/>
            </w:pPr>
            <w:r>
              <w:t xml:space="preserve">Планируемый эффект</w:t>
            </w:r>
          </w:p>
        </w:tc>
      </w:tr>
      <w:tr>
        <w:tc>
          <w:tcPr/>
          <w:p>
            <w:pPr>
              <w:pStyle w:val="Compact"/>
            </w:pPr>
            <w:r>
              <w:t xml:space="preserve">Пациенты</w:t>
            </w:r>
          </w:p>
        </w:tc>
        <w:tc>
          <w:tcPr/>
          <w:p>
            <w:pPr>
              <w:pStyle w:val="Compact"/>
            </w:pPr>
            <w:r>
              <w:t xml:space="preserve">сокращение времени поиска, доступ к структурированной информации, офлайн-справочник первой помощи</w:t>
            </w:r>
          </w:p>
        </w:tc>
      </w:tr>
      <w:tr>
        <w:tc>
          <w:tcPr/>
          <w:p>
            <w:pPr>
              <w:pStyle w:val="Compact"/>
            </w:pPr>
            <w:r>
              <w:t xml:space="preserve">Врачи</w:t>
            </w:r>
          </w:p>
        </w:tc>
        <w:tc>
          <w:tcPr/>
          <w:p>
            <w:pPr>
              <w:pStyle w:val="Compact"/>
            </w:pPr>
            <w:r>
              <w:t xml:space="preserve">бесплатное цифровое присутствие, новый канал привлечения пациентов</w:t>
            </w:r>
          </w:p>
        </w:tc>
      </w:tr>
      <w:tr>
        <w:tc>
          <w:tcPr/>
          <w:p>
            <w:pPr>
              <w:pStyle w:val="Compact"/>
            </w:pPr>
            <w:r>
              <w:t xml:space="preserve">Клиники и аптеки</w:t>
            </w:r>
          </w:p>
        </w:tc>
        <w:tc>
          <w:tcPr/>
          <w:p>
            <w:pPr>
              <w:pStyle w:val="Compact"/>
            </w:pPr>
            <w:r>
              <w:t xml:space="preserve">управление профилем и составом врачей, аналитика посещаемости</w:t>
            </w:r>
          </w:p>
        </w:tc>
      </w:tr>
      <w:tr>
        <w:tc>
          <w:tcPr/>
          <w:p>
            <w:pPr>
              <w:pStyle w:val="Compact"/>
            </w:pPr>
            <w:r>
              <w:t xml:space="preserve">Система здравоохранения</w:t>
            </w:r>
          </w:p>
        </w:tc>
        <w:tc>
          <w:tcPr/>
          <w:p>
            <w:pPr>
              <w:pStyle w:val="Compact"/>
            </w:pPr>
            <w:r>
              <w:t xml:space="preserve">рост доступности и прозрачности медицинских услуг, данные о спросе населения</w:t>
            </w:r>
          </w:p>
        </w:tc>
      </w:tr>
    </w:tbl>
    <w:bookmarkEnd w:id="31"/>
    <w:bookmarkStart w:id="32" w:name="оценка-эргономичности"/>
    <w:p>
      <w:pPr>
        <w:pStyle w:val="Heading2"/>
      </w:pPr>
      <w:r>
        <w:t xml:space="preserve">3.4. Оценка эргономичности</w:t>
      </w:r>
    </w:p>
    <w:p>
      <w:pPr>
        <w:pStyle w:val="FirstParagraph"/>
      </w:pPr>
      <w:r>
        <w:t xml:space="preserve">Эргономичность разработанного приложения обеспечивается рядом конкретных проектных решений, направленных на удобство, понятность и снижение усилий пользователя при работе с системой. Эргономические требования учитывались на всех этапах проектирования, а не рассматривались как формальность.</w:t>
      </w:r>
    </w:p>
    <w:p>
      <w:pPr>
        <w:pStyle w:val="BodyText"/>
      </w:pPr>
      <w:r>
        <w:rPr>
          <w:b/>
          <w:bCs/>
        </w:rPr>
        <w:t xml:space="preserve">Единообразие интерфейса.</w:t>
      </w:r>
      <w:r>
        <w:t xml:space="preserve"> </w:t>
      </w:r>
      <w:r>
        <w:t xml:space="preserve">Все экраны приложения построены на основе единой дизайн-системы с фиксированными цветами, шрифтами и набором переиспользуемых компонентов. Благодаря этому пользователь, освоив один экран, легко ориентируется на остальных, поскольку одинаковые элементы выглядят и ведут себя одинаково на всех экранах приложения.</w:t>
      </w:r>
    </w:p>
    <w:p>
      <w:pPr>
        <w:pStyle w:val="BodyText"/>
      </w:pPr>
      <w:r>
        <w:rPr>
          <w:b/>
          <w:bCs/>
        </w:rPr>
        <w:t xml:space="preserve">Минимизация числа действий.</w:t>
      </w:r>
      <w:r>
        <w:t xml:space="preserve"> </w:t>
      </w:r>
      <w:r>
        <w:t xml:space="preserve">Структура навигации построена так, чтобы основные функции были доступны за минимальное число нажатий: нижняя панель навигации обеспечивает прямой доступ к четырём ключевым разделам с любого экрана приложения. Подбор врача по симптому избавляет пациента от необходимости самостоятельно определять нужную медицинскую специализацию — пользователь указывает беспокоящий его симптом на привычном языке, а сопоставление со специализацией выполняет система. Это особенно важно, поскольку пациент, как правило, не обладает медицинскими знаниями.</w:t>
      </w:r>
    </w:p>
    <w:p>
      <w:pPr>
        <w:pStyle w:val="BodyText"/>
      </w:pPr>
      <w:r>
        <w:rPr>
          <w:b/>
          <w:bCs/>
        </w:rPr>
        <w:t xml:space="preserve">Снижение усилий при типовых операциях.</w:t>
      </w:r>
      <w:r>
        <w:t xml:space="preserve"> </w:t>
      </w:r>
      <w:r>
        <w:t xml:space="preserve">Контактные действия реализованы через механизм глубоких ссылок: звонок врачу, переход в мессенджер и построение маршрута до учреждения выполняются одним нажатием, без ручного копирования номеров телефонов и адресов. Это снижает вероятность ошибки и ускоряет взаимодействие.</w:t>
      </w:r>
    </w:p>
    <w:p>
      <w:pPr>
        <w:pStyle w:val="BodyText"/>
      </w:pPr>
      <w:r>
        <w:rPr>
          <w:b/>
          <w:bCs/>
        </w:rPr>
        <w:t xml:space="preserve">Информативная обратная связь.</w:t>
      </w:r>
      <w:r>
        <w:t xml:space="preserve"> </w:t>
      </w:r>
      <w:r>
        <w:t xml:space="preserve">Приложение постоянно информирует пользователя о своём состоянии: при загрузке данных отображаются анимированные заполнители, имитирующие структуру содержимого; действия сопровождаются плавными анимациями переходов; ошибки и пустые результаты сопровождаются понятными поясняющими сообщениями. Благодаря этому пользователь всегда понимает, что система обрабатывает его запрос, и не воспринимает задержку как сбой.</w:t>
      </w:r>
    </w:p>
    <w:p>
      <w:pPr>
        <w:pStyle w:val="BodyText"/>
      </w:pPr>
      <w:r>
        <w:rPr>
          <w:b/>
          <w:bCs/>
        </w:rPr>
        <w:t xml:space="preserve">Доступность интерфейса.</w:t>
      </w:r>
      <w:r>
        <w:t xml:space="preserve"> </w:t>
      </w:r>
      <w:r>
        <w:t xml:space="preserve">Кнопки и интерактивные элементы имеют достаточный размер для уверенного нажатия пальцем, а контрастная цветовая палитра обеспечивает читаемость текста в различных условиях освещения. Раздел «Первая помощь» сознательно сделан доступным без подключения к сети — в экстренной ситуации пользователь получает инструкции независимо от наличия интернета.</w:t>
      </w:r>
    </w:p>
    <w:p>
      <w:pPr>
        <w:pStyle w:val="BodyText"/>
      </w:pPr>
      <w:r>
        <w:rPr>
          <w:b/>
          <w:bCs/>
        </w:rPr>
        <w:t xml:space="preserve">Поддержка родного языка.</w:t>
      </w:r>
      <w:r>
        <w:t xml:space="preserve"> </w:t>
      </w:r>
      <w:r>
        <w:t xml:space="preserve">Локализация интерфейса на русский, кыргызский и английский языки позволяет каждому пользователю работать с приложением на удобном ему языке. Для медицинского сервиса это имеет особое значение, поскольку точность понимания информации напрямую влияет на качество принимаемых пользователем решений.</w:t>
      </w:r>
    </w:p>
    <w:p>
      <w:pPr>
        <w:pStyle w:val="BodyText"/>
      </w:pPr>
      <w:r>
        <w:rPr>
          <w:b/>
          <w:bCs/>
        </w:rPr>
        <w:t xml:space="preserve">Предотвращение ошибок пользователя.</w:t>
      </w:r>
      <w:r>
        <w:t xml:space="preserve"> </w:t>
      </w:r>
      <w:r>
        <w:t xml:space="preserve">Необратимые и значимые действия — такие как удаление данных или отправка заявки — сопровождаются запросом подтверждения, что предотвращает их случайное выполнение. Формы ввода проверяют корректность введённых данных до отправки на сервер и указывают на ошибки непосредственно у соответствующих полей, что помогает пользователю быстро исправить неточность.</w:t>
      </w:r>
    </w:p>
    <w:p>
      <w:pPr>
        <w:pStyle w:val="BodyText"/>
      </w:pPr>
      <w:r>
        <w:rPr>
          <w:b/>
          <w:bCs/>
        </w:rPr>
        <w:t xml:space="preserve">Сохранение контекста работы.</w:t>
      </w:r>
      <w:r>
        <w:t xml:space="preserve"> </w:t>
      </w:r>
      <w:r>
        <w:t xml:space="preserve">История диалогов с AI-ассистентом и список избранного хранятся на сервере и привязаны к учётной записи пользователя, поэтому накопленные данные не теряются при смене устройства или переустановке приложения. Пользователь продолжает работу с того состояния, на котором остановился.</w:t>
      </w:r>
    </w:p>
    <w:p>
      <w:pPr>
        <w:pStyle w:val="BodyText"/>
      </w:pPr>
      <w:r>
        <w:t xml:space="preserve">Перечисленные решения свидетельствуют о том, что разработанное приложение отвечает эргономическим требованиям и обеспечивает комфортную работу различных категорий пользователей.</w:t>
      </w:r>
    </w:p>
    <w:bookmarkEnd w:id="32"/>
    <w:bookmarkStart w:id="33" w:name="направления-дальнейшего-развития-системы"/>
    <w:p>
      <w:pPr>
        <w:pStyle w:val="Heading2"/>
      </w:pPr>
      <w:r>
        <w:t xml:space="preserve">3.5. Направления дальнейшего развития системы</w:t>
      </w:r>
    </w:p>
    <w:p>
      <w:pPr>
        <w:pStyle w:val="FirstParagraph"/>
      </w:pPr>
      <w:r>
        <w:t xml:space="preserve">Разработанная система «MedFind» представляет собой законченное и работоспособное решение, однако обладает потенциалом для дальнейшего развития. К основным техническим направлениям совершенствования системы относятся следующие. Расширение покрытия серверной части автоматизированными тестами повысит надёжность системы при её дальнейшей доработке. Перенос хранения загружаемых изображений из локальной папки сервера в облачное объектное хранилище повысит масштабируемость и отказоустойчивость. Формирование полного набора миграций базы данных упорядочит управление изменениями её структуры. Подключение реальных внешних служб — SMS-шлюза, службы push-уведомлений и сервиса искусственного интеллекта — необходимо для промышленной эксплуатации, и архитектура системы, как было показано выше, к этому подготовлена.</w:t>
      </w:r>
    </w:p>
    <w:p>
      <w:pPr>
        <w:pStyle w:val="BodyText"/>
      </w:pPr>
      <w:r>
        <w:t xml:space="preserve">К функциональным направлениям развития относятся расширение аналитики платформы в веб-панели администратора, добавление возможности онлайн-записи на приём к врачу непосредственно в приложении, а также развитие функций AI-ассистента. Перечисленные направления не являются обязательными для текущей версии системы, которая полностью решает поставленные задачи, но определяют перспективу её дальнейшего совершенствования и адаптации к растущим потребностям пользователей.</w:t>
      </w:r>
    </w:p>
    <w:p>
      <w:pPr>
        <w:pStyle w:val="BodyText"/>
      </w:pPr>
      <w:r>
        <w:rPr>
          <w:b/>
          <w:bCs/>
        </w:rPr>
        <w:t xml:space="preserve">Выводы по главе.</w:t>
      </w:r>
      <w:r>
        <w:t xml:space="preserve"> </w:t>
      </w:r>
      <w:r>
        <w:t xml:space="preserve">В третьей главе выполнено тестирование разработанной системы «MedFind». Проведены функциональное тестирование по сценариям использования всех ролей пользователей, тестирование программного интерфейса REST API, автоматизированное тестирование серверной части, тестирование мобильного приложения на устройствах различных конфигураций и тестирование реализованных мер безопасности; выявленные в ходе тестирования ошибки устранены. Рассмотрены требования к программному окружению, параметры конфигурации, порядок развёртывания и средства сопровождения системы. Оценён планируемый эффект от внедрения, носящий социальный и временной характер: сокращение времени поиска медицинских услуг для пациентов, бесплатный канал цифрового присутствия для поставщиков услуг и повышение доступности медицинской помощи на уровне отрасли. Выполнена оценка эргономичности на основе конкретных проектных решений, реализованных в приложении.</w:t>
      </w:r>
    </w:p>
    <w:bookmarkEnd w:id="33"/>
    <w:bookmarkEnd w:id="34"/>
    <w:sectPr w:rsidR="00FC693F" w:rsidRPr="0006063C" w:rsidSect="00034616">
      <w:footerReference r:id="rId9" w:type="default"/>
      <w:pgSz w:h="16838" w:w="11906"/>
      <w:pgMar w:bottom="1134" w:footer="720" w:gutter="0" w:header="720" w:left="1701" w:right="56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jc w:val="both"/>
    </w:pPr>
    <w:rPr>
      <w:rFonts w:ascii="Times New Roman" w:cs="Times New Roman" w:eastAsia="Times New Roman" w:hAnsi="Times New Roman"/>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240" w:line="360" w:lineRule="auto"/>
      <w:ind w:firstLine="0"/>
      <w:jc w:val="center"/>
      <w:outlineLvl w:val="0"/>
    </w:pPr>
    <w:rPr>
      <w:rFonts w:ascii="Times New Roman" w:asciiTheme="majorHAnsi" w:cs="Times New Roman" w:cstheme="majorBidi" w:eastAsia="Times New Roman" w:eastAsiaTheme="majorEastAsia" w:hAnsi="Times New Roman" w:hAnsiTheme="majorHAnsi"/>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pageBreakBefore w:val="0"/>
      <w:spacing w:after="240" w:before="240" w:line="360" w:lineRule="auto"/>
      <w:ind w:firstLine="709"/>
      <w:jc w:val="left"/>
      <w:outlineLvl w:val="1"/>
    </w:pPr>
    <w:rPr>
      <w:rFonts w:ascii="Times New Roman" w:asciiTheme="majorHAnsi" w:cs="Times New Roman" w:cstheme="majorBidi" w:eastAsia="Times New Roman" w:eastAsiaTheme="majorEastAsia" w:hAnsi="Times New Roman"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pageBreakBefore w:val="0"/>
      <w:spacing w:after="240" w:before="240" w:line="360" w:lineRule="auto"/>
      <w:ind w:firstLine="709"/>
      <w:jc w:val="left"/>
      <w:outlineLvl w:val="2"/>
    </w:pPr>
    <w:rPr>
      <w:rFonts w:ascii="Times New Roman" w:asciiTheme="majorHAnsi" w:cs="Times New Roman" w:cstheme="majorBidi" w:eastAsia="Times New Roman" w:eastAsiaTheme="majorEastAsia" w:hAnsi="Times New Roman"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2026-05-20T12:00:20Z</dcterms:created>
  <dcterms:modified xsi:type="dcterms:W3CDTF">2026-05-20T12:00:20Z</dcterms:modified>
</cp:coreProperties>
</file>

<file path=docProps/custom.xml><?xml version="1.0" encoding="utf-8"?>
<Properties xmlns="http://schemas.openxmlformats.org/officeDocument/2006/custom-properties" xmlns:vt="http://schemas.openxmlformats.org/officeDocument/2006/docPropsVTypes"/>
</file>