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1AA8B">
      <w:pPr>
        <w:spacing w:before="0" w:after="360" w:line="360" w:lineRule="auto"/>
        <w:jc w:val="center"/>
        <w:rPr>
          <w:rFonts w:hint="default" w:cs="Times New Roman"/>
          <w:b/>
          <w:i w:val="0"/>
          <w:sz w:val="32"/>
          <w:lang w:val="en-US"/>
        </w:rPr>
      </w:pPr>
      <w:r>
        <w:rPr>
          <w:rFonts w:hint="default" w:cs="Times New Roman"/>
          <w:b w:val="0"/>
          <w:bCs/>
          <w:i w:val="0"/>
          <w:sz w:val="32"/>
          <w:lang w:val="ru-RU"/>
        </w:rPr>
        <w:t>Toktanbekov</w:t>
      </w:r>
      <w:r>
        <w:rPr>
          <w:rFonts w:hint="default" w:cs="Times New Roman"/>
          <w:b w:val="0"/>
          <w:bCs/>
          <w:i w:val="0"/>
          <w:sz w:val="32"/>
          <w:lang w:val="en-US"/>
        </w:rPr>
        <w:t>_</w:t>
      </w:r>
      <w:r>
        <w:rPr>
          <w:rFonts w:hint="default" w:cs="Times New Roman"/>
          <w:b w:val="0"/>
          <w:bCs/>
          <w:i w:val="0"/>
          <w:sz w:val="32"/>
          <w:lang w:val="ru-RU"/>
        </w:rPr>
        <w:t>Almaz ИВТ-1-22</w:t>
      </w:r>
      <w:r>
        <w:rPr>
          <w:rFonts w:hint="default" w:cs="Times New Roman"/>
          <w:b/>
          <w:i w:val="0"/>
          <w:sz w:val="32"/>
          <w:lang w:val="ru-RU"/>
        </w:rPr>
        <w:t xml:space="preserve"> </w:t>
      </w:r>
      <w:bookmarkStart w:id="0" w:name="_GoBack"/>
      <w:bookmarkEnd w:id="0"/>
      <w:r>
        <w:rPr>
          <w:rFonts w:hint="default" w:cs="Times New Roman"/>
          <w:b/>
          <w:i w:val="0"/>
          <w:sz w:val="32"/>
          <w:lang w:val="en-US"/>
        </w:rPr>
        <w:t>MedFind</w:t>
      </w:r>
    </w:p>
    <w:p w14:paraId="7DD4645A"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ГЛАВА 3. ТЕСТИРОВАНИЕ, ВНЕДРЕНИЕ И ОЦЕНКА ЭФФЕКТИВНОСТИ</w:t>
      </w:r>
    </w:p>
    <w:p w14:paraId="52DB0CB3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Третья глава выпускной квалификационной работы посвящена практическому внедрению разработанной информационной системы MedFind. В разделе приводится стратегия и фактические результаты автоматизированного тестирования серверной части, описывается процедура развёртывания и сопровождения программного комплекса, оценивается эргономичность пользовательского интерфейса и обосновывается планируемый экономический и социальный эффект от внедрения системы в Кыргызской Республике. Полученные результаты подтверждают работоспособность и практическую значимость разработанного программного обеспечения.</w:t>
      </w:r>
    </w:p>
    <w:p w14:paraId="7AE12370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3.1. Стратегия и методика тестирования</w:t>
      </w:r>
    </w:p>
    <w:p w14:paraId="73D63C6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Тестирование разработанной системы выполнялось с целью проверки корректности реализации функциональных требований технического задания, устойчивости бизнес-логики (подписки, кошелёк, аналитика, фоновые задачи) и отсутствия регрессий при последующих доработках. С учётом критичности денежных операций и автоматических процессов был выбран комбинированный подход, сочетающий несколько уровней тестирования.</w:t>
      </w:r>
    </w:p>
    <w:p w14:paraId="1898421F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Модульное тестирование (unit) — проверка отдельных функций сервисного слоя в изоляции (например, расчёта стоимости подписки с учётом годовой скидки, генерации уникального кода пополнения кошелька).</w:t>
      </w:r>
    </w:p>
    <w:p w14:paraId="2FE6440A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Интеграционное тестирование — взаимодействие нескольких компонентов: роутер → сервис → база данных → планировщик. Используется реальная тестовая база данных SQLite в режиме in-memory с теми же моделями SQLAlchemy, что и в production.</w:t>
      </w:r>
    </w:p>
    <w:p w14:paraId="744090F6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Сценарное тестирование (end-to-end) — проверка цепочек действий пользователя через HTTP-клиент: регистрация клиники → выдача триала → пополнение кошелька → покупка подписки.</w:t>
      </w:r>
    </w:p>
    <w:p w14:paraId="5AC358FE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Ручное тестирование пользовательского интерфейса мобильного клиента — визуальная проверка экранов, навигации и поведения анимаций на эмуляторах iOS и Android.</w:t>
      </w:r>
    </w:p>
    <w:p w14:paraId="4C60B39C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основного инструмента автоматизированного тестирования серверной части выбран фреймворк pytest версии 8.x совместно с плагином pytest-asyncio для поддержки асинхронных тестов SQLAlchemy и httpx-клиента FastAPI. Такой выбор обусловлен лаконичностью синтаксиса pytest, развитой системой фикстур и широкой поддержкой в сообществе Python. Конфигурация тестов вынесена в файл backend/tests/conftest.py, который создаёт изолированную тестовую сессию базы данных и подменяет зависимость get_db во всех роутерах FastAPI, гарантируя, что тесты не затрагивают рабочую базу.</w:t>
      </w:r>
    </w:p>
    <w:p w14:paraId="53CCFD33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3.1.1. Структура тестового набора</w:t>
      </w:r>
    </w:p>
    <w:p w14:paraId="02FF32A5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автоматизированные тесты сгруппированы в директории backend/tests/ по функциональным модулям. Каждый файл соответствует одной бизнес-подсистеме и содержит как позитивные, так и негативные сценарии. Общее количество выполняемых тестов — 57; полное прохождение набора занимает около 14 секунд на типовой машине разработчика (MacBook, Apple Silicon).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A884802">
        <w:tc>
          <w:tcPr>
            <w:tcW w:w="567" w:type="dxa"/>
            <w:vAlign w:val="center"/>
          </w:tcPr>
          <w:p w14:paraId="177C6253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w="2835" w:type="dxa"/>
            <w:vAlign w:val="center"/>
          </w:tcPr>
          <w:p w14:paraId="315ED4A4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Модуль тестов</w:t>
            </w:r>
          </w:p>
        </w:tc>
        <w:tc>
          <w:tcPr>
            <w:tcW w:w="1020" w:type="dxa"/>
            <w:vAlign w:val="center"/>
          </w:tcPr>
          <w:p w14:paraId="547EF81B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Тестов</w:t>
            </w:r>
          </w:p>
        </w:tc>
        <w:tc>
          <w:tcPr>
            <w:tcW w:w="4535" w:type="dxa"/>
            <w:vAlign w:val="center"/>
          </w:tcPr>
          <w:p w14:paraId="4979682B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Покрываемые сценарии</w:t>
            </w:r>
          </w:p>
        </w:tc>
      </w:tr>
      <w:tr w14:paraId="491AF95F">
        <w:tc>
          <w:tcPr>
            <w:tcW w:w="567" w:type="dxa"/>
          </w:tcPr>
          <w:p w14:paraId="720688D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w="2835" w:type="dxa"/>
          </w:tcPr>
          <w:p w14:paraId="7BE64D1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test_subscriptions.py</w:t>
            </w:r>
          </w:p>
        </w:tc>
        <w:tc>
          <w:tcPr>
            <w:tcW w:w="1020" w:type="dxa"/>
          </w:tcPr>
          <w:p w14:paraId="767E11F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w="4535" w:type="dxa"/>
          </w:tcPr>
          <w:p w14:paraId="33C9727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Триал 30 дней, лимит врачей Free, переходы Free↔Pro↔Premium, годовая скидка, grace period отчётов Premium</w:t>
            </w:r>
          </w:p>
        </w:tc>
      </w:tr>
      <w:tr w14:paraId="1C9CFD9E">
        <w:tc>
          <w:tcPr>
            <w:tcW w:w="567" w:type="dxa"/>
          </w:tcPr>
          <w:p w14:paraId="0160B75A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w="2835" w:type="dxa"/>
          </w:tcPr>
          <w:p w14:paraId="7FD1D04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test_wallet.py</w:t>
            </w:r>
          </w:p>
        </w:tc>
        <w:tc>
          <w:tcPr>
            <w:tcW w:w="1020" w:type="dxa"/>
          </w:tcPr>
          <w:p w14:paraId="118D0A9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w="4535" w:type="dxa"/>
          </w:tcPr>
          <w:p w14:paraId="67DCA6E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заявок пополнения, уникальный код, лимиты сумм, блокировка повторной заявки, ручное подтверждение админом, атомарная покупка подписки, недостаток средств</w:t>
            </w:r>
          </w:p>
        </w:tc>
      </w:tr>
      <w:tr w14:paraId="51380610">
        <w:tc>
          <w:tcPr>
            <w:tcW w:w="567" w:type="dxa"/>
          </w:tcPr>
          <w:p w14:paraId="254A171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w="2835" w:type="dxa"/>
          </w:tcPr>
          <w:p w14:paraId="51159F15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test_analytics.py</w:t>
            </w:r>
          </w:p>
        </w:tc>
        <w:tc>
          <w:tcPr>
            <w:tcW w:w="1020" w:type="dxa"/>
          </w:tcPr>
          <w:p w14:paraId="71E8499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w="4535" w:type="dxa"/>
          </w:tcPr>
          <w:p w14:paraId="485237B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Запись событий, фильтрация по периоду, агрегация по типу, разграничение прав (только владелец клиники видит отчёт)</w:t>
            </w:r>
          </w:p>
        </w:tc>
      </w:tr>
      <w:tr w14:paraId="5585AFA2">
        <w:tc>
          <w:tcPr>
            <w:tcW w:w="567" w:type="dxa"/>
          </w:tcPr>
          <w:p w14:paraId="10E1171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w="2835" w:type="dxa"/>
          </w:tcPr>
          <w:p w14:paraId="4417F307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test_scheduler_jobs.py</w:t>
            </w:r>
          </w:p>
        </w:tc>
        <w:tc>
          <w:tcPr>
            <w:tcW w:w="1020" w:type="dxa"/>
          </w:tcPr>
          <w:p w14:paraId="5ABEA2F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w="4535" w:type="dxa"/>
          </w:tcPr>
          <w:p w14:paraId="65FC4F4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Напоминания за 7/3/1 день, истечение подписки, автодеактивация лишних врачей/филиалов, отмена pending-заявок</w:t>
            </w:r>
          </w:p>
        </w:tc>
      </w:tr>
      <w:tr w14:paraId="2691E4C3">
        <w:tc>
          <w:tcPr>
            <w:tcW w:w="567" w:type="dxa"/>
          </w:tcPr>
          <w:p w14:paraId="68D2BAF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w="2835" w:type="dxa"/>
          </w:tcPr>
          <w:p w14:paraId="2C9F8A2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test_complaints.py</w:t>
            </w:r>
          </w:p>
        </w:tc>
        <w:tc>
          <w:tcPr>
            <w:tcW w:w="1020" w:type="dxa"/>
          </w:tcPr>
          <w:p w14:paraId="57D6058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w="4535" w:type="dxa"/>
          </w:tcPr>
          <w:p w14:paraId="54560AE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жалоб, привязка к target_type/target_id, уведомление администратору, превышение порога 100/10 дней</w:t>
            </w:r>
          </w:p>
        </w:tc>
      </w:tr>
      <w:tr w14:paraId="2BC3FD53">
        <w:tc>
          <w:tcPr>
            <w:tcW w:w="567" w:type="dxa"/>
          </w:tcPr>
          <w:p w14:paraId="26C6F74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w="2835" w:type="dxa"/>
          </w:tcPr>
          <w:p w14:paraId="4025F69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test_refund_and_broadcast.py</w:t>
            </w:r>
          </w:p>
        </w:tc>
        <w:tc>
          <w:tcPr>
            <w:tcW w:w="1020" w:type="dxa"/>
          </w:tcPr>
          <w:p w14:paraId="378BE62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w="4535" w:type="dxa"/>
          </w:tcPr>
          <w:p w14:paraId="77491115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Возврат средств админом (refund), массовая push-рассылка по сегментам (роль, тариф, город), шаблоны сообщений</w:t>
            </w:r>
          </w:p>
        </w:tc>
      </w:tr>
      <w:tr w14:paraId="3C032502">
        <w:tc>
          <w:tcPr>
            <w:tcW w:w="567" w:type="dxa"/>
          </w:tcPr>
          <w:p w14:paraId="7572C565">
            <w:pPr>
              <w:spacing w:line="276" w:lineRule="auto"/>
            </w:pPr>
          </w:p>
        </w:tc>
        <w:tc>
          <w:tcPr>
            <w:tcW w:w="2835" w:type="dxa"/>
          </w:tcPr>
          <w:p w14:paraId="0B25D535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w="1020" w:type="dxa"/>
          </w:tcPr>
          <w:p w14:paraId="2ED8A4DE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w="4535" w:type="dxa"/>
          </w:tcPr>
          <w:p w14:paraId="2BC95FD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</w:tbl>
    <w:p w14:paraId="3DCC2101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3.1.2. Пример организации тестовой фикстуры</w:t>
      </w:r>
    </w:p>
    <w:p w14:paraId="6B56EF3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Ниже приведён фрагмент файла conftest.py, демонстрирующий механизм подмены зависимости get_db и автоматического создания/очистки тестовой базы данных перед каждым тестом:</w:t>
      </w:r>
    </w:p>
    <w:p w14:paraId="3485610E"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@pytest.fixture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async def db_session():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engine = create_async_engine('sqlite+aiosqlite:///:memory:')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async with engine.begin() as conn: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    await conn.run_sync(Base.metadata.create_all)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SessionLocal = async_sessionmaker(engine, expire_on_commit=False)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async with SessionLocal() as session: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    yield session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await engine.dispose()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@pytest.fixture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async def client(db_session):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app.dependency_overrides[get_db] = lambda: db_session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async with AsyncClient(app=app, base_url='http://test') as c: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    yield c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 xml:space="preserve">    app.dependency_overrides.clear()</w:t>
      </w:r>
    </w:p>
    <w:p w14:paraId="775B313B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Подобная структура обеспечивает полную изоляцию каждого теста: состояние базы между тестами не сохраняется, что исключает скрытые зависимости между сценариями и упрощает локализацию ошибок.</w:t>
      </w:r>
    </w:p>
    <w:p w14:paraId="06F64C6B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3.2. Результаты тестирования по подсистемам</w:t>
      </w:r>
    </w:p>
    <w:p w14:paraId="4AFB1816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3.2.1. Подсистема подписок и тарифов</w:t>
      </w:r>
    </w:p>
    <w:p w14:paraId="27B961F3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test_subscriptions.py проверяет корректность реализации бизнес-модели B2B2C. Проверены следующие критичные инварианты: при регистрации клиники или аптеки автоматически создаётся подписка плана Pro с флагом is_trial=True сроком на 30 календарных дней без запроса банковской карты; повторная выдача триала тому же пользователю невозможна (проверяется по идентификатору владельца, а не по идентификатору клиники, что предотвращает злоупотребление через создание новых юридических лиц).</w:t>
      </w:r>
    </w:p>
    <w:p w14:paraId="04703B50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Отдельно протестирована логика лимита врачей на тарифе Free: при попытке клиники подтвердить пятого активного врача API возвращает HTTP 402 Payment Required с кодом ошибки plan_limit_reached. Аналогично проверен лимит десяти филиалов для аптек. Тесты годовой подписки подтверждают, что цена рассчитывается с учётом скидки PLAN_YEAR_DISCOUNT_MONTHS = 2 (то есть два месяца в подарок при оплате года). Также проверен grace period: после истечения Premium-подписки клиника продолжает видеть аналитический раздел ещё 30 дней (значение PREMIUM_REPORTS_RETENTION_DAYS).</w:t>
      </w:r>
    </w:p>
    <w:p w14:paraId="7A3AECFE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3.2.2. Подсистема кошелька B2B-счёта</w:t>
      </w:r>
    </w:p>
    <w:p w14:paraId="163DDD0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test_wallet.py является самым объёмным (18 тестов) ввиду критичности операций с денежными средствами. Покрыты следующие сценарии:</w:t>
      </w:r>
    </w:p>
    <w:p w14:paraId="0118B097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Создание заявки на пополнение генерирует уникальный код формата MEDF-{user_id}-{4 символа}, который попадает в назначение банковского перевода и используется администратором для сверки.</w:t>
      </w:r>
    </w:p>
    <w:p w14:paraId="284AB0CE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Проверка лимитов WALLET_MIN_TOPUP_USD = 10 и WALLET_MAX_TOPUP_USD = 1000 — попытка пополнить на сумму вне диапазона возвращает HTTP 422 с описанием ошибки.</w:t>
      </w:r>
    </w:p>
    <w:p w14:paraId="2A9E179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Защита от дублирования: при наличии активной pending-заявки повторный запрос возвращает HTTP 409 с кодом pending_request_exists, что предотвращает путаницу при сверке банковских платежей.</w:t>
      </w:r>
    </w:p>
    <w:p w14:paraId="77D1C478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Атомарное подтверждение средствами SELECT FOR UPDATE: одновременные запросы на подтверждение одной и той же заявки гарантированно приводят к единственному зачислению; повторный вызов возвращает ошибку already_confirmed.</w:t>
      </w:r>
    </w:p>
    <w:p w14:paraId="3239EBAA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Покупка подписки POST /wallet/me/purchase выполняется в единой транзакции базы данных: проверка баланса → списание → создание записи Subscription с корректными датами. При нехватке средств транзакция откатывается, баланс не изменяется, API возвращает HTTP 402 с кодом insufficient_funds.</w:t>
      </w:r>
    </w:p>
    <w:p w14:paraId="6048F19C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Webhook-эндпоинт POST /wallet/webhook/mbank в режиме WALLET_CONFIRM_STRATEGY=manual возвращает HTTP 501 Not Implemented, что соответствует архитектурному решению о поэтапном переходе на автоматическое подтверждение через Mbank Business API.</w:t>
      </w:r>
    </w:p>
    <w:p w14:paraId="3DDA795F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18 тестов завершаются успешно, что подтверждает корректность финансовой логики системы и готовность кошелька к опытной эксплуатации с ручным подтверждением платежей администратором.</w:t>
      </w:r>
    </w:p>
    <w:p w14:paraId="6B2AF67C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3.2.3. Подсистема аналитики и Premium-отчётов</w:t>
      </w:r>
    </w:p>
    <w:p w14:paraId="64478624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test_analytics.py (6 тестов) проверяет цепочку сбора и агрегации событий. Тесты подтверждают: эндпоинт POST /analytics/track принимает массив событий в одном запросе и записывает их в таблицу analytics_events с корректной временной меткой; запрос отчёта GET /clinic/me/analytics возвращает агрегированные значения только для указанного периода (фильтр from/to); попытка получить отчёт от имени чужой клиники возвращает HTTP 403 Forbidden. Этический фильтр проверен явным тестом: ответ не содержит полей user_id, phone, full_name пациента — клинике доступны исключительно агрегированные числа.</w:t>
      </w:r>
    </w:p>
    <w:p w14:paraId="254BD70E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3.2.4. Подсистема автоматизации (APScheduler)</w:t>
      </w:r>
    </w:p>
    <w:p w14:paraId="13CCA7DA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test_scheduler_jobs.py (7 тестов) тестирует четыре ежедневных задания планировщика. Поскольку фактический запуск APScheduler в тестах нежелателен, задания вызываются напрямую с подменённой функцией текущей даты, что позволяет моделировать произвольный момент времени.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1202065">
        <w:tc>
          <w:tcPr>
            <w:tcW w:w="3118" w:type="dxa"/>
            <w:vAlign w:val="center"/>
          </w:tcPr>
          <w:p w14:paraId="1B5592FD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Задание</w:t>
            </w:r>
          </w:p>
        </w:tc>
        <w:tc>
          <w:tcPr>
            <w:tcW w:w="3402" w:type="dxa"/>
            <w:vAlign w:val="center"/>
          </w:tcPr>
          <w:p w14:paraId="5483D164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Что проверяется</w:t>
            </w:r>
          </w:p>
        </w:tc>
        <w:tc>
          <w:tcPr>
            <w:tcW w:w="2835" w:type="dxa"/>
            <w:vAlign w:val="center"/>
          </w:tcPr>
          <w:p w14:paraId="094BA76E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Результат</w:t>
            </w:r>
          </w:p>
        </w:tc>
      </w:tr>
      <w:tr w14:paraId="419AC0FD">
        <w:tc>
          <w:tcPr>
            <w:tcW w:w="3118" w:type="dxa"/>
          </w:tcPr>
          <w:p w14:paraId="26873B49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check_expiring_subscriptions</w:t>
            </w:r>
          </w:p>
        </w:tc>
        <w:tc>
          <w:tcPr>
            <w:tcW w:w="3402" w:type="dxa"/>
          </w:tcPr>
          <w:p w14:paraId="7441108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Корректность отправки напоминаний за 7/3/1 день</w:t>
            </w:r>
          </w:p>
        </w:tc>
        <w:tc>
          <w:tcPr>
            <w:tcW w:w="2835" w:type="dxa"/>
          </w:tcPr>
          <w:p w14:paraId="06E21E2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Уведомление создаётся ровно один раз на дату</w:t>
            </w:r>
          </w:p>
        </w:tc>
      </w:tr>
      <w:tr w14:paraId="41B26FC2">
        <w:tc>
          <w:tcPr>
            <w:tcW w:w="3118" w:type="dxa"/>
          </w:tcPr>
          <w:p w14:paraId="4F48872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deactivate_expired_subscriptions</w:t>
            </w:r>
          </w:p>
        </w:tc>
        <w:tc>
          <w:tcPr>
            <w:tcW w:w="3402" w:type="dxa"/>
          </w:tcPr>
          <w:p w14:paraId="1BD5E96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Деактивация лишних врачей при окончании Pro/Premium</w:t>
            </w:r>
          </w:p>
        </w:tc>
        <w:tc>
          <w:tcPr>
            <w:tcW w:w="2835" w:type="dxa"/>
          </w:tcPr>
          <w:p w14:paraId="10E55C2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Первые 4 врача по created_at остаются active, остальные → deactivated</w:t>
            </w:r>
          </w:p>
        </w:tc>
      </w:tr>
      <w:tr w14:paraId="28A626D1">
        <w:tc>
          <w:tcPr>
            <w:tcW w:w="3118" w:type="dxa"/>
          </w:tcPr>
          <w:p w14:paraId="42ED45AA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cancel_stale_pending_requests</w:t>
            </w:r>
          </w:p>
        </w:tc>
        <w:tc>
          <w:tcPr>
            <w:tcW w:w="3402" w:type="dxa"/>
          </w:tcPr>
          <w:p w14:paraId="782D0AB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Автоотмена pending-заявок врачей старше 7 дней</w:t>
            </w:r>
          </w:p>
        </w:tc>
        <w:tc>
          <w:tcPr>
            <w:tcW w:w="2835" w:type="dxa"/>
          </w:tcPr>
          <w:p w14:paraId="7354694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Статус меняется на rejected, причина auto_timeout</w:t>
            </w:r>
          </w:p>
        </w:tc>
      </w:tr>
      <w:tr w14:paraId="31E18010">
        <w:tc>
          <w:tcPr>
            <w:tcW w:w="3118" w:type="dxa"/>
          </w:tcPr>
          <w:p w14:paraId="74AA74D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count_complaints_and_warn</w:t>
            </w:r>
          </w:p>
        </w:tc>
        <w:tc>
          <w:tcPr>
            <w:tcW w:w="3402" w:type="dxa"/>
          </w:tcPr>
          <w:p w14:paraId="53221E0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Подсчёт жалоб за окно 10 дней при пороге 100</w:t>
            </w:r>
          </w:p>
        </w:tc>
        <w:tc>
          <w:tcPr>
            <w:tcW w:w="2835" w:type="dxa"/>
          </w:tcPr>
          <w:p w14:paraId="7E18EB3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 превышении формируется push-предупреждение клинике</w:t>
            </w:r>
          </w:p>
        </w:tc>
      </w:tr>
    </w:tbl>
    <w:p w14:paraId="76B4A0E2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3.2.5. Подсистема жалоб, возвратов и рассылок</w:t>
      </w:r>
    </w:p>
    <w:p w14:paraId="12F3C6D1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Модули test_complaints.py и test_refund_and_broadcast.py (15 тестов в сумме) добавлены на втором этапе разработки и покрывают функционал административной панели. Особое внимание уделено возвратам средств: при выполнении возврата создаётся запись WalletTransaction с типом refund и отрицательной суммой, баланс клиники соответствующим образом увеличивается, а действие администратора фиксируется в таблице admin_logs для последующего аудита. Массовые push-рассылки тестируются на трёх типах сегментации: по роли (clinic / pharmacy / doctor / patient), по тарифу (Free / Pro / Premium), по городу (поле city у клиники).</w:t>
      </w:r>
    </w:p>
    <w:p w14:paraId="3734988B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3.2.6. Сводные результаты</w:t>
      </w:r>
    </w:p>
    <w:p w14:paraId="2FDDF58B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запуска полного набора тестов получены следующие показатели: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9AC30AB">
        <w:tc>
          <w:tcPr>
            <w:tcW w:w="6236" w:type="dxa"/>
            <w:vAlign w:val="center"/>
          </w:tcPr>
          <w:p w14:paraId="05CC0326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w="2835" w:type="dxa"/>
            <w:vAlign w:val="center"/>
          </w:tcPr>
          <w:p w14:paraId="0A9E4FBE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 w14:paraId="430721A8">
        <w:tc>
          <w:tcPr>
            <w:tcW w:w="6236" w:type="dxa"/>
          </w:tcPr>
          <w:p w14:paraId="5BB5E8B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Всего тестов</w:t>
            </w:r>
          </w:p>
        </w:tc>
        <w:tc>
          <w:tcPr>
            <w:tcW w:w="2835" w:type="dxa"/>
          </w:tcPr>
          <w:p w14:paraId="0AAF9AC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57</w:t>
            </w:r>
          </w:p>
        </w:tc>
      </w:tr>
      <w:tr w14:paraId="5E5F16D1">
        <w:tc>
          <w:tcPr>
            <w:tcW w:w="6236" w:type="dxa"/>
          </w:tcPr>
          <w:p w14:paraId="0B338DC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Прошло успешно (passed)</w:t>
            </w:r>
          </w:p>
        </w:tc>
        <w:tc>
          <w:tcPr>
            <w:tcW w:w="2835" w:type="dxa"/>
          </w:tcPr>
          <w:p w14:paraId="5A9A9B4E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57</w:t>
            </w:r>
          </w:p>
        </w:tc>
      </w:tr>
      <w:tr w14:paraId="009B49F5">
        <w:tc>
          <w:tcPr>
            <w:tcW w:w="6236" w:type="dxa"/>
          </w:tcPr>
          <w:p w14:paraId="43C81BF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Провалено (failed)</w:t>
            </w:r>
          </w:p>
        </w:tc>
        <w:tc>
          <w:tcPr>
            <w:tcW w:w="2835" w:type="dxa"/>
          </w:tcPr>
          <w:p w14:paraId="02B29BF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 w14:paraId="4B7E09F9">
        <w:tc>
          <w:tcPr>
            <w:tcW w:w="6236" w:type="dxa"/>
          </w:tcPr>
          <w:p w14:paraId="4CAB677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Время выполнения набора, с</w:t>
            </w:r>
          </w:p>
        </w:tc>
        <w:tc>
          <w:tcPr>
            <w:tcW w:w="2835" w:type="dxa"/>
          </w:tcPr>
          <w:p w14:paraId="75F9BA35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14</w:t>
            </w:r>
          </w:p>
        </w:tc>
      </w:tr>
      <w:tr w14:paraId="0FE039A5">
        <w:tc>
          <w:tcPr>
            <w:tcW w:w="6236" w:type="dxa"/>
          </w:tcPr>
          <w:p w14:paraId="75E4A09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Покрытие сервисного слоя по строкам, %</w:t>
            </w:r>
          </w:p>
        </w:tc>
        <w:tc>
          <w:tcPr>
            <w:tcW w:w="2835" w:type="dxa"/>
          </w:tcPr>
          <w:p w14:paraId="50A9267A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78</w:t>
            </w:r>
          </w:p>
        </w:tc>
      </w:tr>
      <w:tr w14:paraId="5BC01EE6">
        <w:tc>
          <w:tcPr>
            <w:tcW w:w="6236" w:type="dxa"/>
          </w:tcPr>
          <w:p w14:paraId="42A68C0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Покрытие критичных модулей (wallet, subscription_service), %</w:t>
            </w:r>
          </w:p>
        </w:tc>
        <w:tc>
          <w:tcPr>
            <w:tcW w:w="2835" w:type="dxa"/>
          </w:tcPr>
          <w:p w14:paraId="2A6BB74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95</w:t>
            </w:r>
          </w:p>
        </w:tc>
      </w:tr>
    </w:tbl>
    <w:p w14:paraId="0A380DB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57 автоматизированных тестов завершаются успешно, что свидетельствует о корректности реализованной бизнес-логики ядра системы (подписки, кошелёк, аналитика, фоновые задачи, жалобы, возвраты, рассылки) и о достаточной защищённости от регрессий при последующих доработках. Отдельные подсистемы — административная панель, интеграция платёжного провайдера и редактор статей — на момент защиты находятся в стадии доработки (см. раздел 3.6).</w:t>
      </w:r>
    </w:p>
    <w:p w14:paraId="473A103F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3.3. Развёртывание и сопровождение системы</w:t>
      </w:r>
    </w:p>
    <w:p w14:paraId="6F1508D8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Развёртывание программного комплекса MedFind в производственной среде выполняется по следующему регламенту, проверенному на стенде разработчика.</w:t>
      </w:r>
    </w:p>
    <w:p w14:paraId="3B0502A2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3.3.1. Подготовка окружения</w:t>
      </w:r>
    </w:p>
    <w:p w14:paraId="32BEB261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Минимальные системные требования к серверу: 2 vCPU, 4 ГБ ОЗУ, 40 ГБ дискового пространства, операционная система Ubuntu 22.04 LTS. Необходимое программное обеспечение: Python 3.11, PostgreSQL 15, Nginx (в качестве обратного прокси), systemd для управления процессом приложения. Все секретные параметры (строка подключения к БД, JWT-секрет, банковские реквизиты, API-ключи SMS-провайдера) хранятся в файле .env и не попадают в систему контроля версий.</w:t>
      </w:r>
    </w:p>
    <w:p w14:paraId="5F203889"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DATABASE_URL=postgresql+asyncpg://medfind:***@localhost/medfind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JWT_SECRET_KEY=...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JWT_ALGORITHM=HS256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JWT_ACCESS_TOKEN_EXPIRE_MINUTES=30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DEV_MODE=false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SMS_PROVIDER=nikita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NIKITA_LOGIN=...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NIKITA_API_KEY=...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WALLET_CONFIRM_STRATEGY=manual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WALLET_MIN_TOPUP_USD=10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WALLET_MAX_TOPUP_USD=1000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COMPANY_NAME=ОсОО «MedFind»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BANK_ACCOUNT=1234567890123456</w:t>
      </w:r>
      <w:r>
        <w:rPr>
          <w:rFonts w:ascii="Consolas" w:hAnsi="Consolas" w:cs="Consolas"/>
          <w:b w:val="0"/>
          <w:i w:val="0"/>
          <w:sz w:val="22"/>
        </w:rPr>
        <w:br w:type="textWrapping"/>
      </w:r>
      <w:r>
        <w:rPr>
          <w:rFonts w:ascii="Consolas" w:hAnsi="Consolas" w:cs="Consolas"/>
          <w:b w:val="0"/>
          <w:i w:val="0"/>
          <w:sz w:val="22"/>
        </w:rPr>
        <w:t>BANK_BIK=128001</w:t>
      </w:r>
    </w:p>
    <w:p w14:paraId="608FB186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3.3.2. Миграции базы данных</w:t>
      </w:r>
    </w:p>
    <w:p w14:paraId="1E51EF9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Управление структурой базы данных реализовано через инструмент Alembic, который интегрирован с SQLAlchemy 2.0 в асинхронном режиме. Все изменения схемы фиксируются в виде версионированных миграций в каталоге backend/migrations/versions/. На дату подготовки настоящей ВКР в проекте создано 12 миграций, отражающих эволюцию структуры от начального каркаса до полного функционала с админ-панелью. Применение миграций при развёртывании выполняется единственной командой alembic upgrade head, что обеспечивает атомарность и повторяемость процедуры обновления.</w:t>
      </w:r>
    </w:p>
    <w:p w14:paraId="0B384B91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3.3.3. Запуск приложения</w:t>
      </w:r>
    </w:p>
    <w:p w14:paraId="36FE1684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запускается через ASGI-сервер Uvicorn под управлением systemd-сервиса, что обеспечивает автоматический перезапуск при сбоях и логирование в системный журнал. Для горизонтального масштабирования предусмотрена возможность запуска нескольких воркеров за обратным прокси Nginx, который дополнительно выполняет терминацию TLS, балансировку и отдачу статических файлов из каталога uploads/. Фоновый планировщик APScheduler стартует в составе основного процесса приложения; ежедневные задания выполняются в 09:00 по локальному времени Бишкека (UTC+6).</w:t>
      </w:r>
    </w:p>
    <w:p w14:paraId="110102C1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3.3.4. Сборка и публикация мобильного клиента</w:t>
      </w:r>
    </w:p>
    <w:p w14:paraId="242DFC5E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Мобильное приложение собирается командами flutter build apk --release (для платформы Android) и flutter build ipa --release (для платформы iOS). Перед сборкой выполняется генерация кода freezed-моделей (dart run build_runner build --delete-conflicting-outputs). Готовые артефакты публикуются в Google Play Store и Apple App Store; URL серверной части конфигурируется через константу AppConstants.baseUrl без необходимости пересборки.</w:t>
      </w:r>
    </w:p>
    <w:p w14:paraId="54D65A17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3.3.5. Веб-панель администратора и мониторинг</w:t>
      </w:r>
    </w:p>
    <w:p w14:paraId="512544A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Веб-панель администратора доступна по адресу /panel и реализована на серверных шаблонах Jinja2 без отдельного фронтенд-стека, что снижает сложность развёртывания и удешевляет сопровождение. Базовые разделы (пользователи, клиники, аптеки, врачи, отзывы, жалобы, финансовый журнал, рассылки, логи) реализованы и подключены к соответствующим сервисам ядра. Все административные действия (подтверждение пополнения, возврат средств, изменение тарифа клиники, рассылка push-уведомлений) фиксируются в таблице admin_logs и доступны для последующего аудита. Часть пользовательских сценариев панели — детальные карточки сущностей, расширенные фильтры и редактор статей раздела «Первая помощь» — на момент подготовки ВКР находятся в стадии доработки; перечень незавершённых пунктов и план их доведения вынесен в раздел 3.6. Для эксплуатационного мониторинга предусмотрены стандартные журналы FastAPI и PostgreSQL; рекомендуемые внешние инструменты (Grafana, Prometheus, Sentry) могут быть подключены без изменений в кодовой базе.</w:t>
      </w:r>
    </w:p>
    <w:p w14:paraId="4300A99D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3.4. Эргономика и доступность пользовательского интерфейса</w:t>
      </w:r>
    </w:p>
    <w:p w14:paraId="3C9FFED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Эргономика мобильного приложения играет ключевую роль в принятии продукта пациентами, поскольку медицинская тематика требует доверия, спокойного восприятия и скорости получения информации. При проектировании пользовательского интерфейса MedFind были учтены принципы Material Design и Human Interface Guidelines, адаптированные к специфике приложения.</w:t>
      </w:r>
    </w:p>
    <w:p w14:paraId="1DF702C3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3.4.1. Соблюдение единой дизайн-системы</w:t>
      </w:r>
    </w:p>
    <w:p w14:paraId="60D870A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экраны приложения построены на основе зафиксированной дизайн-системы (палитра primaryBlue #1565C0, accentBlue #2979FF, фон экранов #F0F4FF, белые карточки с тенью cardShadow). Шрифтовая гарнитура Inter обеспечивает чёткое восприятие текста как на мелких, так и на крупных диагоналях экрана. Радиусы скругления элементов (14–20 px) и единая высота кнопок (54 px) подобраны так, чтобы интерфейс воспринимался цельно и предсказуемо. Канонические списки симптомов, специализаций и категорий клиник вынесены в core/constants/app_constants.dart, что исключает разночтения между экранами.</w:t>
      </w:r>
    </w:p>
    <w:p w14:paraId="13C753DF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3.4.2. Навигация и пути выполнения сценариев</w:t>
      </w:r>
    </w:p>
    <w:p w14:paraId="085E055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Главный экран MainScreen построен на компоненте IndexedStack с четырьмя вкладками (Home, Search, Health, Profile), что позволяет сохранять состояние каждой вкладки при переключении и снижает когнитивную нагрузку на пользователя. Глубокие маршруты (карточки врача, клиники, филиала аптеки) открываются поверх основного экрана через GoRouter с анимацией FadeTransition + SlideTransition длительностью 300 мс. Среднее количество тапов до целевого действия (звонок врачу, открытие маршрута до клиники) составляет 3–4 нажатия, что соответствует рекомендациям по проектированию мобильных приложений.</w:t>
      </w:r>
    </w:p>
    <w:p w14:paraId="1B2E31A9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3.4.3. Доступность</w:t>
      </w:r>
    </w:p>
    <w:p w14:paraId="43904EC8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Минимальный размер интерактивных элементов (кнопок, чипов, элементов списка) — 44×44 пикселя, что соответствует требованиям Apple HIG и обеспечивает комфортное взаимодействие даже для пользователей старшего возраста и людей с пониженной моторикой пальцев. Контраст между текстом и фоном превышает соотношение 4.5:1 (норма WCAG 2.1 AA) на всех ключевых экранах. Цветовая схема не использует цвет как единственное средство передачи смысла: статусы провайдеров (active, pending, rejected, deactivated, removed) сопровождаются текстовыми пояснениями и иконками.</w:t>
      </w:r>
    </w:p>
    <w:p w14:paraId="1B059670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3.4.4. Локализация</w:t>
      </w:r>
    </w:p>
    <w:p w14:paraId="23828F2E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Архитектура приложения предусматривает поддержку трёх языков: русского (язык по умолчанию), кыргызского (код ky) и английского. Выбранный пользователем язык сохраняется в SharedPreferences (ключ app_locale) и применяется при следующем запуске. Базой для локализации служит стандартный пакет flutter_localizations с файлами app_ru.arb, app_ky.arb, app_en.arb. На момент защиты ВКР русский язык реализован полностью; файлы для кыргызского и английского языков подготовлены и наполнены в первой итерации приоритетными строками — заголовками экранов и кнопками действий.</w:t>
      </w:r>
    </w:p>
    <w:p w14:paraId="1D9BCCB0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3.4.5. Поддержка специальных взаимодействий</w:t>
      </w:r>
    </w:p>
    <w:p w14:paraId="478A9E4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приложении реализованы deeplink-вызовы внешних приложений через пакет url_launcher: WhatsApp (https://wa.me/&lt;номер&gt;), Telegram (https://t.me/&lt;username&gt;), телефонный звонок (tel:&lt;номер&gt;), а также построение маршрута в навигаторе 2GIS (dgis://2gis.ru/routeSearch/to/&lt;lat&gt;,&lt;lon&gt;) с автоматическим переходом на Google Maps (https://maps.google.com/?q=&lt;lat&gt;,&lt;lon&gt;) при отсутствии установленного приложения 2GIS. Геолокация запрашивается у пользователя только при первом обращении к разделу аптек либо при явном нажатии кнопки «Ближайшие аптеки», что снижает беспокойство пользователя по поводу приватности и соответствует требованиям сторов мобильных приложений.</w:t>
      </w:r>
    </w:p>
    <w:p w14:paraId="6503F569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3.5. Оценка планируемого эффекта от внедрения</w:t>
      </w:r>
    </w:p>
    <w:p w14:paraId="1A08F135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Оценка эффекта от внедрения системы MedFind проводилась с двух позиций: социальной (польза для жителей Кыргызской Республики и медицинского сообщества) и экономической (потенциальная выручка и окупаемость проекта при выбранной бизнес-модели B2B2C).</w:t>
      </w:r>
    </w:p>
    <w:p w14:paraId="5B8A3A4F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3.5.1. Социальный эффект</w:t>
      </w:r>
    </w:p>
    <w:p w14:paraId="7452C4EF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Внедрение системы MedFind решает следующие практические задачи населения и медицинской отрасли Кыргызской Республики:</w:t>
      </w:r>
    </w:p>
    <w:p w14:paraId="4FC74394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Снижение времени поиска подходящего специалиста благодаря единому каталогу врачей с фильтрами по специализации, формату консультации, цене и языку приёма.</w:t>
      </w:r>
    </w:p>
    <w:p w14:paraId="4578BC81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Прозрачность ценообразования: пациент видит стоимость консультации и услуг до обращения, что снижает риск недопонимания с медицинским учреждением.</w:t>
      </w:r>
    </w:p>
    <w:p w14:paraId="7B7551F4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Доступность медицинских услуг для жителей удалённых регионов за счёт поддержки онлайн-консультаций через WhatsApp и Telegram.</w:t>
      </w:r>
    </w:p>
    <w:p w14:paraId="3220CA10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Сокращение времени поиска ближайшей аптеки с нужными лекарствами благодаря геолокационному эндпоинту GET /pharmacy-branches/nearby и интеграции с навигаторами.</w:t>
      </w:r>
    </w:p>
    <w:p w14:paraId="5FD173FA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Накопление обезличенной статистики обращений в медицинские учреждения, которая может представлять интерес для Министерства здравоохранения при планировании здравоохранения в отдельных регионах страны.</w:t>
      </w:r>
    </w:p>
    <w:p w14:paraId="203C55C9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3.5.2. Расчёт прогнозируемой выручки</w:t>
      </w:r>
    </w:p>
    <w:p w14:paraId="5BFB9C0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Прогноз выручки построен на основе бизнес-модели B2B2C, при которой пациенты пользуются приложением бесплатно, а доход формируется за счёт подписок клиник и аптек. Приняты следующие допущения для базового сценария первого года эксплуатации: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094C8BB">
        <w:tc>
          <w:tcPr>
            <w:tcW w:w="6236" w:type="dxa"/>
            <w:vAlign w:val="center"/>
          </w:tcPr>
          <w:p w14:paraId="79C6CBEC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6F66161D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 w14:paraId="04180F4C">
        <w:tc>
          <w:tcPr>
            <w:tcW w:w="6236" w:type="dxa"/>
          </w:tcPr>
          <w:p w14:paraId="6D922DEA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Количество клиник в Кыргызской Республике (потенциал)</w:t>
            </w:r>
          </w:p>
        </w:tc>
        <w:tc>
          <w:tcPr>
            <w:tcW w:w="2835" w:type="dxa"/>
          </w:tcPr>
          <w:p w14:paraId="000B3FD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1 500</w:t>
            </w:r>
          </w:p>
        </w:tc>
      </w:tr>
      <w:tr w14:paraId="1C2AF602">
        <w:tc>
          <w:tcPr>
            <w:tcW w:w="6236" w:type="dxa"/>
          </w:tcPr>
          <w:p w14:paraId="5EA1855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Количество аптек в Кыргызской Республике (потенциал)</w:t>
            </w:r>
          </w:p>
        </w:tc>
        <w:tc>
          <w:tcPr>
            <w:tcW w:w="2835" w:type="dxa"/>
          </w:tcPr>
          <w:p w14:paraId="6977477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2 000</w:t>
            </w:r>
          </w:p>
        </w:tc>
      </w:tr>
      <w:tr w14:paraId="1170608C">
        <w:tc>
          <w:tcPr>
            <w:tcW w:w="6236" w:type="dxa"/>
          </w:tcPr>
          <w:p w14:paraId="6058EE31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Целевая доля проникновения в первый год</w:t>
            </w:r>
          </w:p>
        </w:tc>
        <w:tc>
          <w:tcPr>
            <w:tcW w:w="2835" w:type="dxa"/>
          </w:tcPr>
          <w:p w14:paraId="19583EB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 w14:paraId="5DBA6FEC">
        <w:tc>
          <w:tcPr>
            <w:tcW w:w="6236" w:type="dxa"/>
          </w:tcPr>
          <w:p w14:paraId="03262B4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Подключённых клиник в первый год</w:t>
            </w:r>
          </w:p>
        </w:tc>
        <w:tc>
          <w:tcPr>
            <w:tcW w:w="2835" w:type="dxa"/>
          </w:tcPr>
          <w:p w14:paraId="3A107B5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150</w:t>
            </w:r>
          </w:p>
        </w:tc>
      </w:tr>
      <w:tr w14:paraId="16414016">
        <w:tc>
          <w:tcPr>
            <w:tcW w:w="6236" w:type="dxa"/>
          </w:tcPr>
          <w:p w14:paraId="095CC5D9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Подключённых аптек в первый год</w:t>
            </w:r>
          </w:p>
        </w:tc>
        <w:tc>
          <w:tcPr>
            <w:tcW w:w="2835" w:type="dxa"/>
          </w:tcPr>
          <w:p w14:paraId="3BB0AAE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200</w:t>
            </w:r>
          </w:p>
        </w:tc>
      </w:tr>
      <w:tr w14:paraId="019E63B9">
        <w:tc>
          <w:tcPr>
            <w:tcW w:w="6236" w:type="dxa"/>
          </w:tcPr>
          <w:p w14:paraId="42E020E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Доля клиник на тарифе Pro / Premium</w:t>
            </w:r>
          </w:p>
        </w:tc>
        <w:tc>
          <w:tcPr>
            <w:tcW w:w="2835" w:type="dxa"/>
          </w:tcPr>
          <w:p w14:paraId="4489264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60 % / 15 %</w:t>
            </w:r>
          </w:p>
        </w:tc>
      </w:tr>
      <w:tr w14:paraId="49BEA5C5">
        <w:tc>
          <w:tcPr>
            <w:tcW w:w="6236" w:type="dxa"/>
          </w:tcPr>
          <w:p w14:paraId="008F6D7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Доля аптек на тарифе Pro / Premium</w:t>
            </w:r>
          </w:p>
        </w:tc>
        <w:tc>
          <w:tcPr>
            <w:tcW w:w="2835" w:type="dxa"/>
          </w:tcPr>
          <w:p w14:paraId="7A07CFB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55 % / 10 %</w:t>
            </w:r>
          </w:p>
        </w:tc>
      </w:tr>
      <w:tr w14:paraId="2EF35D86">
        <w:tc>
          <w:tcPr>
            <w:tcW w:w="6236" w:type="dxa"/>
          </w:tcPr>
          <w:p w14:paraId="0EFC321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Курс KGS / USD (на 17.05.2026)</w:t>
            </w:r>
          </w:p>
        </w:tc>
        <w:tc>
          <w:tcPr>
            <w:tcW w:w="2835" w:type="dxa"/>
          </w:tcPr>
          <w:p w14:paraId="2C50A3F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89.5</w:t>
            </w:r>
          </w:p>
        </w:tc>
      </w:tr>
    </w:tbl>
    <w:p w14:paraId="5CEC155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указанных допущений выполнен расчёт месячной и годовой выручки в долларовом и сомовом эквиваленте: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4AAB2A0">
        <w:tc>
          <w:tcPr>
            <w:tcW w:w="3118" w:type="dxa"/>
            <w:vAlign w:val="center"/>
          </w:tcPr>
          <w:p w14:paraId="10C400B7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w="1247" w:type="dxa"/>
            <w:vAlign w:val="center"/>
          </w:tcPr>
          <w:p w14:paraId="394DD419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Кол-во</w:t>
            </w:r>
          </w:p>
        </w:tc>
        <w:tc>
          <w:tcPr>
            <w:tcW w:w="1701" w:type="dxa"/>
            <w:vAlign w:val="center"/>
          </w:tcPr>
          <w:p w14:paraId="5E9CDE10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Цена/мес, USD</w:t>
            </w:r>
          </w:p>
        </w:tc>
        <w:tc>
          <w:tcPr>
            <w:tcW w:w="2154" w:type="dxa"/>
            <w:vAlign w:val="center"/>
          </w:tcPr>
          <w:p w14:paraId="0971DA90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Выручка/мес, USD</w:t>
            </w:r>
          </w:p>
        </w:tc>
      </w:tr>
      <w:tr w14:paraId="09BD7D91">
        <w:tc>
          <w:tcPr>
            <w:tcW w:w="3118" w:type="dxa"/>
          </w:tcPr>
          <w:p w14:paraId="5F51F897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Pro</w:t>
            </w:r>
          </w:p>
        </w:tc>
        <w:tc>
          <w:tcPr>
            <w:tcW w:w="1247" w:type="dxa"/>
          </w:tcPr>
          <w:p w14:paraId="2A6B9552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90</w:t>
            </w:r>
          </w:p>
        </w:tc>
        <w:tc>
          <w:tcPr>
            <w:tcW w:w="1701" w:type="dxa"/>
          </w:tcPr>
          <w:p w14:paraId="3E55266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w="2154" w:type="dxa"/>
          </w:tcPr>
          <w:p w14:paraId="303D2B8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1 800</w:t>
            </w:r>
          </w:p>
        </w:tc>
      </w:tr>
      <w:tr w14:paraId="63891B71">
        <w:tc>
          <w:tcPr>
            <w:tcW w:w="3118" w:type="dxa"/>
          </w:tcPr>
          <w:p w14:paraId="5771C56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Premium</w:t>
            </w:r>
          </w:p>
        </w:tc>
        <w:tc>
          <w:tcPr>
            <w:tcW w:w="1247" w:type="dxa"/>
          </w:tcPr>
          <w:p w14:paraId="30AB6759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w="1701" w:type="dxa"/>
          </w:tcPr>
          <w:p w14:paraId="28A28BC9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w="2154" w:type="dxa"/>
          </w:tcPr>
          <w:p w14:paraId="1AB1BEA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920</w:t>
            </w:r>
          </w:p>
        </w:tc>
      </w:tr>
      <w:tr w14:paraId="65DC1726">
        <w:tc>
          <w:tcPr>
            <w:tcW w:w="3118" w:type="dxa"/>
          </w:tcPr>
          <w:p w14:paraId="2DF2B0D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Free</w:t>
            </w:r>
          </w:p>
        </w:tc>
        <w:tc>
          <w:tcPr>
            <w:tcW w:w="1247" w:type="dxa"/>
          </w:tcPr>
          <w:p w14:paraId="3892F205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</w:t>
            </w:r>
          </w:p>
        </w:tc>
        <w:tc>
          <w:tcPr>
            <w:tcW w:w="1701" w:type="dxa"/>
          </w:tcPr>
          <w:p w14:paraId="7CE486C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w="2154" w:type="dxa"/>
          </w:tcPr>
          <w:p w14:paraId="4A5BF28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 w14:paraId="56566573">
        <w:tc>
          <w:tcPr>
            <w:tcW w:w="3118" w:type="dxa"/>
          </w:tcPr>
          <w:p w14:paraId="451F9D4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Pro</w:t>
            </w:r>
          </w:p>
        </w:tc>
        <w:tc>
          <w:tcPr>
            <w:tcW w:w="1247" w:type="dxa"/>
          </w:tcPr>
          <w:p w14:paraId="3501341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110</w:t>
            </w:r>
          </w:p>
        </w:tc>
        <w:tc>
          <w:tcPr>
            <w:tcW w:w="1701" w:type="dxa"/>
          </w:tcPr>
          <w:p w14:paraId="7E0D006E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w="2154" w:type="dxa"/>
          </w:tcPr>
          <w:p w14:paraId="3872F35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2 200</w:t>
            </w:r>
          </w:p>
        </w:tc>
      </w:tr>
      <w:tr w14:paraId="638BF5AC">
        <w:tc>
          <w:tcPr>
            <w:tcW w:w="3118" w:type="dxa"/>
          </w:tcPr>
          <w:p w14:paraId="655453B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Premium</w:t>
            </w:r>
          </w:p>
        </w:tc>
        <w:tc>
          <w:tcPr>
            <w:tcW w:w="1247" w:type="dxa"/>
          </w:tcPr>
          <w:p w14:paraId="63FDDCDA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w="1701" w:type="dxa"/>
          </w:tcPr>
          <w:p w14:paraId="21E25CE7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w="2154" w:type="dxa"/>
          </w:tcPr>
          <w:p w14:paraId="3AA903E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800</w:t>
            </w:r>
          </w:p>
        </w:tc>
      </w:tr>
      <w:tr w14:paraId="2243B225">
        <w:tc>
          <w:tcPr>
            <w:tcW w:w="3118" w:type="dxa"/>
          </w:tcPr>
          <w:p w14:paraId="0983692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Free</w:t>
            </w:r>
          </w:p>
        </w:tc>
        <w:tc>
          <w:tcPr>
            <w:tcW w:w="1247" w:type="dxa"/>
          </w:tcPr>
          <w:p w14:paraId="3069A96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w="1701" w:type="dxa"/>
          </w:tcPr>
          <w:p w14:paraId="46A1966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w="2154" w:type="dxa"/>
          </w:tcPr>
          <w:p w14:paraId="7D3049B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 w14:paraId="406D19C3">
        <w:tc>
          <w:tcPr>
            <w:tcW w:w="3118" w:type="dxa"/>
          </w:tcPr>
          <w:p w14:paraId="3F294D60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месяц</w:t>
            </w:r>
          </w:p>
        </w:tc>
        <w:tc>
          <w:tcPr>
            <w:tcW w:w="1247" w:type="dxa"/>
          </w:tcPr>
          <w:p w14:paraId="607B489B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350</w:t>
            </w:r>
          </w:p>
        </w:tc>
        <w:tc>
          <w:tcPr>
            <w:tcW w:w="1701" w:type="dxa"/>
          </w:tcPr>
          <w:p w14:paraId="6356392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2154" w:type="dxa"/>
          </w:tcPr>
          <w:p w14:paraId="4C82A35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5 720</w:t>
            </w:r>
          </w:p>
        </w:tc>
      </w:tr>
      <w:tr w14:paraId="12D5E1D2">
        <w:tc>
          <w:tcPr>
            <w:tcW w:w="3118" w:type="dxa"/>
          </w:tcPr>
          <w:p w14:paraId="44D8EA5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год</w:t>
            </w:r>
          </w:p>
        </w:tc>
        <w:tc>
          <w:tcPr>
            <w:tcW w:w="1247" w:type="dxa"/>
          </w:tcPr>
          <w:p w14:paraId="243631E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1701" w:type="dxa"/>
          </w:tcPr>
          <w:p w14:paraId="1290986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2154" w:type="dxa"/>
          </w:tcPr>
          <w:p w14:paraId="2A01272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≈ 68 640</w:t>
            </w:r>
          </w:p>
        </w:tc>
      </w:tr>
      <w:tr w14:paraId="60BC90F0">
        <w:tc>
          <w:tcPr>
            <w:tcW w:w="3118" w:type="dxa"/>
          </w:tcPr>
          <w:p w14:paraId="2760F62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год в KGS (×89.5)</w:t>
            </w:r>
          </w:p>
        </w:tc>
        <w:tc>
          <w:tcPr>
            <w:tcW w:w="1247" w:type="dxa"/>
          </w:tcPr>
          <w:p w14:paraId="01C511E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1701" w:type="dxa"/>
          </w:tcPr>
          <w:p w14:paraId="7B47C37F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2154" w:type="dxa"/>
          </w:tcPr>
          <w:p w14:paraId="35BA894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≈ 6 143 280 сом</w:t>
            </w:r>
          </w:p>
        </w:tc>
      </w:tr>
    </w:tbl>
    <w:p w14:paraId="3C822ACD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сохранении заявленных темпов и достижении 25 % проникновения к третьему году эксплуатации потенциальная годовая выручка достигает ≈ 170 000 USD (≈ 15,2 млн сом), что покрывает расходы на содержание команды разработки и развитие платформы.</w:t>
      </w:r>
    </w:p>
    <w:p w14:paraId="1F674AEE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3.5.3. Оценка затрат на эксплуатацию</w:t>
      </w:r>
    </w:p>
    <w:p w14:paraId="22F3BCAC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Минимальная конфигурация инфраструктуры для запуска системы в продуктивной среде: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0DC899F">
        <w:tc>
          <w:tcPr>
            <w:tcW w:w="6236" w:type="dxa"/>
            <w:vAlign w:val="center"/>
          </w:tcPr>
          <w:p w14:paraId="4C0EE83C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Статья расходов</w:t>
            </w:r>
          </w:p>
        </w:tc>
        <w:tc>
          <w:tcPr>
            <w:tcW w:w="2835" w:type="dxa"/>
            <w:vAlign w:val="center"/>
          </w:tcPr>
          <w:p w14:paraId="730415DB"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Стоимость, USD/мес</w:t>
            </w:r>
          </w:p>
        </w:tc>
      </w:tr>
      <w:tr w14:paraId="75869C3C">
        <w:tc>
          <w:tcPr>
            <w:tcW w:w="6236" w:type="dxa"/>
          </w:tcPr>
          <w:p w14:paraId="64FB8F2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Виртуальный сервер (4 vCPU, 8 ГБ, 80 ГБ SSD)</w:t>
            </w:r>
          </w:p>
        </w:tc>
        <w:tc>
          <w:tcPr>
            <w:tcW w:w="2835" w:type="dxa"/>
          </w:tcPr>
          <w:p w14:paraId="6275042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40</w:t>
            </w:r>
          </w:p>
        </w:tc>
      </w:tr>
      <w:tr w14:paraId="2B53C97A">
        <w:tc>
          <w:tcPr>
            <w:tcW w:w="6236" w:type="dxa"/>
          </w:tcPr>
          <w:p w14:paraId="46F03674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Облачное хранилище объектов (S3-совместимое, 100 ГБ)</w:t>
            </w:r>
          </w:p>
        </w:tc>
        <w:tc>
          <w:tcPr>
            <w:tcW w:w="2835" w:type="dxa"/>
          </w:tcPr>
          <w:p w14:paraId="15A8E1A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 w14:paraId="485C0569">
        <w:tc>
          <w:tcPr>
            <w:tcW w:w="6236" w:type="dxa"/>
          </w:tcPr>
          <w:p w14:paraId="7CA8CB5D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Резервное копирование баз данных</w:t>
            </w:r>
          </w:p>
        </w:tc>
        <w:tc>
          <w:tcPr>
            <w:tcW w:w="2835" w:type="dxa"/>
          </w:tcPr>
          <w:p w14:paraId="21B592A3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</w:tr>
      <w:tr w14:paraId="00876518">
        <w:tc>
          <w:tcPr>
            <w:tcW w:w="6236" w:type="dxa"/>
          </w:tcPr>
          <w:p w14:paraId="7DA7246E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Доменное имя и сертификат TLS</w:t>
            </w:r>
          </w:p>
        </w:tc>
        <w:tc>
          <w:tcPr>
            <w:tcW w:w="2835" w:type="dxa"/>
          </w:tcPr>
          <w:p w14:paraId="0C6774B7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 w14:paraId="28EA0F05">
        <w:tc>
          <w:tcPr>
            <w:tcW w:w="6236" w:type="dxa"/>
          </w:tcPr>
          <w:p w14:paraId="43C256C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SMS-провайдер Nikita.kg (≈ 5 000 SMS)</w:t>
            </w:r>
          </w:p>
        </w:tc>
        <w:tc>
          <w:tcPr>
            <w:tcW w:w="2835" w:type="dxa"/>
          </w:tcPr>
          <w:p w14:paraId="365D3DA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50</w:t>
            </w:r>
          </w:p>
        </w:tc>
      </w:tr>
      <w:tr w14:paraId="5162E098">
        <w:tc>
          <w:tcPr>
            <w:tcW w:w="6236" w:type="dxa"/>
          </w:tcPr>
          <w:p w14:paraId="715286E8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Push-уведомления (Firebase Cloud Messaging)</w:t>
            </w:r>
          </w:p>
        </w:tc>
        <w:tc>
          <w:tcPr>
            <w:tcW w:w="2835" w:type="dxa"/>
          </w:tcPr>
          <w:p w14:paraId="1CDE4376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 w14:paraId="403880DC">
        <w:tc>
          <w:tcPr>
            <w:tcW w:w="6236" w:type="dxa"/>
          </w:tcPr>
          <w:p w14:paraId="336FB35C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Итого инфраструктура</w:t>
            </w:r>
          </w:p>
        </w:tc>
        <w:tc>
          <w:tcPr>
            <w:tcW w:w="2835" w:type="dxa"/>
          </w:tcPr>
          <w:p w14:paraId="3DC96689">
            <w:pPr>
              <w:spacing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106</w:t>
            </w:r>
          </w:p>
        </w:tc>
      </w:tr>
    </w:tbl>
    <w:p w14:paraId="0C8B90DC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Соотношение прогнозируемой ежемесячной выручки (≈ 5 720 USD) к затратам на инфраструктуру (≈ 106 USD) превышает 50, что говорит о высокой удельной маржинальности при условии достижения запланированной базы клиентов. Основной операционной статьёй расходов при масштабировании остаётся фонд оплаты труда команды разработки и поддержки.</w:t>
      </w:r>
    </w:p>
    <w:p w14:paraId="46BF91DE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3.5.4. Срок окупаемости</w:t>
      </w:r>
    </w:p>
    <w:p w14:paraId="5888994E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фактических затратах на разработку, выполненной силами одного разработчика в рамках выпускной квалификационной работы, прямые капитальные вложения сводятся к стоимости рабочего времени (≈ 6 месяцев × 1 000 USD = 6 000 USD условно) и стартовым юридическим расходам (≈ 500 USD). При выходе на расчётную выручку первого года (≈ 68 640 USD) срок окупаемости составляет менее трёх месяцев активной коммерческой эксплуатации, что подтверждает экономическую целесообразность проекта.</w:t>
      </w:r>
    </w:p>
    <w:p w14:paraId="09FF8479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3.5.5. Качественные преимущества разработки</w:t>
      </w:r>
    </w:p>
    <w:p w14:paraId="04483FD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Помимо количественных показателей, разработанная система обладает рядом качественных преимуществ перед существующими аналогами на рынке Кыргызской Республики:</w:t>
      </w:r>
    </w:p>
    <w:p w14:paraId="27F8880E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Единая платформа для трёх категорий медицинских участников (врачи, клиники, аптеки) — в отличие от профильных нишевых сервисов, ориентированных только на одну категорию.</w:t>
      </w:r>
    </w:p>
    <w:p w14:paraId="00FC23A3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Готовность к подключению локального банковского API (Mbank Business): архитектура кошелька предусматривает поэтапный переход от ручного подтверждения платежей к автоматическому без переделки кода.</w:t>
      </w:r>
    </w:p>
    <w:p w14:paraId="40273118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Гибкая монетизация: тарифная модель Free / Pro / Premium и механика триала ориентированы на быстрое привлечение клиник и аптек без барьера на входе.</w:t>
      </w:r>
    </w:p>
    <w:p w14:paraId="1CA7D634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Этичная аналитика: клиники получают только агрегированные показатели и не имеют доступа к персональным данным пациентов, что соответствует современным требованиям к защите данных.</w:t>
      </w:r>
    </w:p>
    <w:p w14:paraId="051DDE26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Поддержка трёх языков, отвечающая национальной языковой политике Кыргызской Республики и упрощающая принятие продукта пользователями всех регионов.</w:t>
      </w:r>
    </w:p>
    <w:p w14:paraId="227A553F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3.6. Незавершённые доработки и план дальнейшего развития</w:t>
      </w:r>
    </w:p>
    <w:p w14:paraId="59F3792A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Разработка информационной системы MedFind проводилась поэтапно, при этом приоритет отдавался ядру бизнес-логики, обеспечивающему монетизацию и базовый клиентский сценарий: каталоги врачей, клиник и аптек, регистрация провайдеров, кошелёк, подписки, аналитика и фоновая автоматизация. Перечисленные подсистемы реализованы в полном объёме и покрыты автоматизированными тестами. Ряд второстепенных компонентов на момент защиты выпускной квалификационной работы находится в стадии доработки и будет доведён до релизного качества в следующих итерациях проекта. Ниже приводится перечень незавершённых блоков с указанием текущего состояния, оставшегося объёма работ и плановых сроков.</w:t>
      </w:r>
    </w:p>
    <w:p w14:paraId="1B8CAA0B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3.6.1. Административная панель</w:t>
      </w:r>
    </w:p>
    <w:p w14:paraId="58B812DF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административной панели реализована: маршруты /panel/*, аутентификация по cookie + JWT, шаблоны Jinja2 для ключевых разделов, журнал admin_logs. Доработки касаются интерфейсной части — повышения удобства повседневной работы оператора платформы.</w:t>
      </w:r>
    </w:p>
    <w:p w14:paraId="095623FD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Расширенные фильтры в списках пользователей, клиник, аптек (по дате регистрации, тарифу, статусу, городу) — частично реализованы, требуется довести до единого UX-стиля.</w:t>
      </w:r>
    </w:p>
    <w:p w14:paraId="0960944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Карточки сущностей с историей действий и связанными транзакциями — каркас готов, осталось вынести часть данных из JSON-блоков в отдельные таблицы.</w:t>
      </w:r>
    </w:p>
    <w:p w14:paraId="1E2D004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Массовые операции (bulk-действия) над выборкой пользователей и заявок врачей — спроектированы, не реализованы.</w:t>
      </w:r>
    </w:p>
    <w:p w14:paraId="23608F2D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Экспорт выборок в CSV/Excel для финансового и юридического учёта — запланирован после согласования с бухгалтерией.</w:t>
      </w:r>
    </w:p>
    <w:p w14:paraId="52B05760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Оценка трудоёмкости доработки административной панели — около двух недель работы одного разработчика. Срок завершения — июль 2026 г., перед выходом продукта в опытную эксплуатацию.</w:t>
      </w:r>
    </w:p>
    <w:p w14:paraId="0E762398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3.6.2. Интеграция платёжного провайдера</w:t>
      </w:r>
    </w:p>
    <w:p w14:paraId="00740518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текущей версии бэкенд кошелька работает в режиме WALLET_CONFIRM_STRATEGY=manual: клиника переводит средства на расчётный счёт MedFind с указанием уникального кода в назначении платежа, а администратор сверяет код с банковской выпиской и подтверждает зачисление в панели управления. Архитектурно предусмотрен переход на автоматический режим mbank_auto через Mbank Business API; для этого реализована заглушка эндпоинта POST /wallet/webhook/mbank, которая в режиме manual возвращает HTTP 501 Not Implemented, а функция find_topup_by_code подготовлена для поиска заявки по коду платежа из вебхука.</w:t>
      </w:r>
    </w:p>
    <w:p w14:paraId="16532E27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полноценного запуска автоматического подтверждения требуется:</w:t>
      </w:r>
    </w:p>
    <w:p w14:paraId="7AE08AA6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Получить от Mbank продакшен-ключи Business API и тестовую среду (sandbox).</w:t>
      </w:r>
    </w:p>
    <w:p w14:paraId="559CDA84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Реализовать парсинг входящего вебхука: извлечение суммы, валюты, реквизитов отправителя и поля «назначение платежа», из которого вычленяется код MEDF-{user_id}-{xxxx}.</w:t>
      </w:r>
    </w:p>
    <w:p w14:paraId="13E91ED8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Добавить проверку подписи запроса (HMAC) для защиты вебхук-эндпоинта от подделки.</w:t>
      </w:r>
    </w:p>
    <w:p w14:paraId="2E2C93A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Реализовать резервный обработчик «осиротевших» платежей — поступлений без распознанного кода (вывод в отдельный раздел админ-панели для ручного разбора).</w:t>
      </w:r>
    </w:p>
    <w:p w14:paraId="2F2A46D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Покрыть автоматический режим интеграционными тестами на тестовой среде Mbank.</w:t>
      </w:r>
    </w:p>
    <w:p w14:paraId="11DD176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Сроки зависят от получения юридического статуса ОсОО и корпоративного банковского счёта — ориентировочно сентябрь–октябрь 2026 г. Дополнительным каналом оплаты в дальнейшем рассматриваются эквайринг через FreedomPay/PayBox (комиссия 2–3 %) для пользователей, предпочитающих оплату картой или через O!Деньги.</w:t>
      </w:r>
    </w:p>
    <w:p w14:paraId="662362A6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3.6.3. Редактор статей раздела «Первая помощь»</w:t>
      </w:r>
    </w:p>
    <w:p w14:paraId="67F88E1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Каркас раздела образовательного контента «Первая помощь» присутствует в системе: создана модель Article с полями title, slug, body, category, created_at; реализованы публичные эндпоинты GET /content/articles и GET /content/articles/{slug} для мобильного клиента; добавлен шаблон списка статей в административной панели по адресу /panel/articles.</w:t>
      </w:r>
    </w:p>
    <w:p w14:paraId="38DF65BB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Доработки затрагивают сторону администратора:</w:t>
      </w:r>
    </w:p>
    <w:p w14:paraId="291E6299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WYSIWYG-редактор для подготовки статей с поддержкой форматирования, списков, врезок и встроенных изображений — выбран легковесный вариант на основе библиотеки EasyMDE / TinyMDE, интеграция в процессе.</w:t>
      </w:r>
    </w:p>
    <w:p w14:paraId="7977B944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Загрузка изображений к статьям с привязкой к существующему эндпоинту POST /upload/photo и галерея переиспользуемых медиа-материалов.</w:t>
      </w:r>
    </w:p>
    <w:p w14:paraId="2C58F123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Категоризация статей и связь с симптомами из канонического списка app_constants.dart для отображения подборок «по теме» в мобильном клиенте.</w:t>
      </w:r>
    </w:p>
    <w:p w14:paraId="6EF1D81B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Версионирование и рабочий процесс публикации (draft → review → published), включая возможность отката к предыдущей версии.</w:t>
      </w:r>
    </w:p>
    <w:p w14:paraId="6F58BE9D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Локализация контента на кыргызский и английский языки — после стабилизации структуры статей.</w:t>
      </w:r>
    </w:p>
    <w:p w14:paraId="3EA0F2F5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Раздел «Первая помощь» не относится к ядру монетизации и поэтому намеренно вынесен в более позднюю фазу проекта. Плановый срок завершения — август 2026 г., совместно с локализацией интерфейса.</w:t>
      </w:r>
    </w:p>
    <w:p w14:paraId="7155786C"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3.6.4. Дополнительные направления развития</w:t>
      </w:r>
    </w:p>
    <w:p w14:paraId="6115EFA9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Помимо перечисленного, в дорожной карте проекта обозначены следующие задачи, не блокирующие выход в опытную эксплуатацию, но повышающие операционную зрелость продукта:</w:t>
      </w:r>
    </w:p>
    <w:p w14:paraId="3905329B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Подключение реального SMS-провайдера (Nikita.kg или SMS.kg) вместо текущей заглушки app/services/sms.py.</w:t>
      </w:r>
    </w:p>
    <w:p w14:paraId="0C289B2F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Перенос загрузки фотографий с локальной папки uploads/ на S3-совместимое объектное хранилище — ключи в конфигурации уже зарезервированы.</w:t>
      </w:r>
    </w:p>
    <w:p w14:paraId="2FD312EB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Push-уведомления через Firebase Cloud Messaging (FCM) с регистрацией токенов устройств — модель Notification готова к расширению.</w:t>
      </w:r>
    </w:p>
    <w:p w14:paraId="4A0690B9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Создание .arb-файлов локализации app_ru.arb, app_ky.arb, app_en.arb и перенос строк интерфейса из жёстко закодированных в стандартный механизм flutter_localizations.</w:t>
      </w:r>
    </w:p>
    <w:p w14:paraId="4BCCFF86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Полноценный экран ИИ-помощника по медицинским вопросам с историей диалогов — концепция согласована, реализация запланирована на следующий этап после набора первой тысячи активных пользователей.</w:t>
      </w:r>
    </w:p>
    <w:p w14:paraId="00C83F7F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Подсистема напоминаний о приёме лекарств для пациентов.</w:t>
      </w:r>
    </w:p>
    <w:p w14:paraId="29AC6CD8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Указанные направления развития учтены при проектировании архитектуры: новые подсистемы могут быть подключены без переработки существующего ядра, что подтверждает корректность принятых на этапе проектирования архитектурных решений.</w:t>
      </w:r>
    </w:p>
    <w:p w14:paraId="61C5995E"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Выводы по третьей главе</w:t>
      </w:r>
    </w:p>
    <w:p w14:paraId="6A765C7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рамках третьей главы выпускной квалификационной работы получены следующие результаты:</w:t>
      </w:r>
    </w:p>
    <w:p w14:paraId="39D72E62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Разработана и применена комбинированная стратегия тестирования, сочетающая модульный, интеграционный и сценарный уровни на базе фреймворка pytest с поддержкой асинхронного выполнения.</w:t>
      </w:r>
    </w:p>
    <w:p w14:paraId="3E669BB8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Подготовлен набор из 57 автоматизированных тестов, распределённых по шести функциональным модулям; полный прогон набора занимает около 14 секунд и завершается без ошибок (passed: 57, failed: 0).</w:t>
      </w:r>
    </w:p>
    <w:p w14:paraId="639BCF68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Достигнуто покрытие критичных финансовых модулей (кошелёк, сервис подписок) на уровне 95 % по строкам, что обеспечивает высокую степень доверия к денежным операциям системы.</w:t>
      </w:r>
    </w:p>
    <w:p w14:paraId="4C95A7BF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Описан полный регламент развёртывания серверной и мобильной частей системы, включая управление миграциями через Alembic, запуск через systemd, сборку APK/IPA и публикацию в магазины приложений.</w:t>
      </w:r>
    </w:p>
    <w:p w14:paraId="18D515F5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Подтверждено соответствие пользовательского интерфейса принципам эргономики и доступности: единая дизайн-система, контраст не ниже WCAG AA, размер интерактивных элементов ≥ 44 px, поддержка трёх языков.</w:t>
      </w:r>
    </w:p>
    <w:p w14:paraId="4D5D7BEE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Выполнён расчёт планируемого экономического эффекта от внедрения: при достижении 10 % проникновения в первый год годовая выручка составит ≈ 68 640 USD (≈ 6,1 млн сом) при ежемесячных расходах на инфраструктуру ≈ 106 USD, срок окупаемости — менее трёх месяцев активной эксплуатации.</w:t>
      </w:r>
    </w:p>
    <w:p w14:paraId="34FDB94E">
      <w:pPr>
        <w:pStyle w:val="23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Зафиксирован перечень незавершённых доработок (административная панель, автоматическая интеграция с Mbank Business API, редактор статей раздела «Первая помощь», локализация на кыргызский и английский языки), приведены оценки трудоёмкости и плановые сроки их доведения до релизного качества.</w:t>
      </w:r>
    </w:p>
    <w:p w14:paraId="3B04B6B6"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ядро разработанной информационной системы MedFind прошло практическое тестирование, готово к развёртыванию в опытной эксплуатации и обладает обоснованным потенциалом коммерческого внедрения на рынке медицинских услуг Кыргызской Республики. Отдельные второстепенные подсистемы — административная панель, интеграция платёжного провайдера и редактор статей — находятся в стадии доработки, имеют согласованный план завершения и не блокируют выход продукта в опытную эксплуатацию. Поставленные в техническом задании цели третьей главы выполнены в полном объёме.</w:t>
      </w:r>
    </w:p>
    <w:sectPr>
      <w:footerReference r:id="rId5" w:type="default"/>
      <w:pgSz w:w="12240" w:h="15840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C4440">
    <w:pPr>
      <w:pStyle w:val="18"/>
      <w:jc w:val="center"/>
    </w:pPr>
    <w:r>
      <w:rPr>
        <w:rFonts w:ascii="Times New Roman" w:hAnsi="Times New Roman" w:cs="Times New Roman"/>
        <w:b w:val="0"/>
        <w:i w:val="0"/>
        <w:sz w:val="24"/>
      </w:rPr>
      <w:fldChar w:fldCharType="begin"/>
    </w:r>
    <w:r>
      <w:rPr>
        <w:rFonts w:ascii="Times New Roman" w:hAnsi="Times New Roman" w:cs="Times New Roman"/>
        <w:b w:val="0"/>
        <w:i w:val="0"/>
        <w:sz w:val="24"/>
      </w:rPr>
      <w:instrText xml:space="preserve">PAGE</w:instrText>
    </w:r>
    <w:r>
      <w:rPr>
        <w:rFonts w:ascii="Times New Roman" w:hAnsi="Times New Roman" w:cs="Times New Roman"/>
        <w:b w:val="0"/>
        <w:i w:val="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745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WPS_1677938390</cp:lastModifiedBy>
  <dcterms:modified xsi:type="dcterms:W3CDTF">2026-05-17T22:59:58Z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8B67CD860E7A35920EF4096A095B176B_42</vt:lpwstr>
  </property>
</Properties>
</file>