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360"/>
        <w:jc w:val="center"/>
      </w:pPr>
      <w:r>
        <w:rPr>
          <w:rFonts w:ascii="Times New Roman" w:hAnsi="Times New Roman" w:cs="Times New Roman"/>
          <w:b/>
          <w:i w:val="0"/>
          <w:sz w:val="32"/>
        </w:rPr>
        <w:t>ГЛАВА 3. ТЕСТИРОВАНИЕ, ВНЕДРЕНИЕ И ОЦЕНКА ЭФФЕКТИВНОСТИ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Третья глава выпускной квалификационной работы посвящена практическому внедрению разработанной информационной системы MedFind. В разделе приводится стратегия и фактические результаты автоматизированного тестирования серверной части, описывается процедура развёртывания и сопровождения программного комплекса, оценивается эргономичность пользовательского интерфейса и обосновывается планируемый экономический и социальный эффект от внедрения системы в Кыргызской Республике. Полученные результаты подтверждают работоспособность и практическую значимость разработанного программного обеспечения.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3.1. Стратегия и методика тестирования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Тестирование разработанной системы выполнялось с целью проверки корректности реализации функциональных требований технического задания, устойчивости бизнес-логики (подписки, кошелёк, аналитика, фоновые задачи) и отсутствия регрессий при последующих доработках. С учётом критичности денежных операций и автоматических процессов был выбран комбинированный подход, сочетающий несколько уровней тестирования.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Модульное тестирование (unit) — проверка отдельных функций сервисного слоя в изоляции (например, расчёта стоимости подписки с учётом годовой скидки, генерации уникального кода пополнения кошелька).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Интеграционное тестирование — взаимодействие нескольких компонентов: роутер → сервис → база данных → планировщик. Используется реальная тестовая база данных SQLite в режиме in-memory с теми же моделями SQLAlchemy, что и в production.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Сценарное тестирование (end-to-end) — проверка цепочек действий пользователя через HTTP-клиент: регистрация клиники → выдача триала → пополнение кошелька → покупка подписки.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Ручное тестирование пользовательского интерфейса мобильного клиента — визуальная проверка экранов, навигации и поведения анимаций на эмуляторах iOS и Android.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качестве основного инструмента автоматизированного тестирования серверной части выбран фреймворк pytest версии 8.x совместно с плагином pytest-asyncio для поддержки асинхронных тестов SQLAlchemy и httpx-клиента FastAPI. Такой выбор обусловлен лаконичностью синтаксиса pytest, развитой системой фикстур и широкой поддержкой в сообществе Python. Конфигурация тестов вынесена в файл backend/tests/conftest.py, который создаёт изолированную тестовую сессию базы данных и подменяет зависимость get_db во всех роутерах FastAPI, гарантируя, что тесты не затрагивают рабочую базу.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3.1.1. Структура тестового набора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автоматизированные тесты сгруппированы в директории backend/tests/ по функциональным модулям. Каждый файл соответствует одной бизнес-подсистеме и содержит как позитивные, так и негативные сценарии. Общее количество выполняемых тестов — 57; полное прохождение набора занимает около 14 секунд на типовой машине разработчика (MacBook, Apple Silicon).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Модуль тестов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Тестов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Покрываемые сценарии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test_subscriptions.py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Триал 30 дней, лимит врачей Free, переходы Free↔Pro↔Premium, годовая скидка, grace period отчётов Premium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test_wallet.py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заявок пополнения, уникальный код, лимиты сумм, блокировка повторной заявки, ручное подтверждение админом, атомарная покупка подписки, недостаток средств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test_analytics.py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Запись событий, фильтрация по периоду, агрегация по типу, разграничение прав (только владелец клиники видит отчёт)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test_scheduler_jobs.py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Напоминания за 7/3/1 день, истечение подписки, автодеактивация лишних врачей/филиалов, отмена pending-заявок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test_complaints.py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Создание жалоб, привязка к target_type/target_id, уведомление администратору, превышение порога 100/10 дней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test_refund_and_broadcast.py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Возврат средств админом (refund), массовая push-рассылка по сегментам (роль, тариф, город), шаблоны сообщений</w:t>
            </w:r>
          </w:p>
        </w:tc>
      </w:tr>
      <w:tr>
        <w:tc>
          <w:tcPr>
            <w:tcW w:type="dxa" w:w="56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Итого</w:t>
            </w:r>
          </w:p>
        </w:tc>
        <w:tc>
          <w:tcPr>
            <w:tcW w:type="dxa" w:w="1020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3.1.2. Пример организации тестовой фикстуры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Ниже приведён фрагмент файла conftest.py, демонстрирующий механизм подмены зависимости get_db и автоматического создания/очистки тестовой базы данных перед каждым тестом:</w:t>
      </w:r>
    </w:p>
    <w:p>
      <w:pPr>
        <w:spacing w:line="276" w:lineRule="auto"/>
        <w:ind w:left="567"/>
      </w:pPr>
      <w:r>
        <w:rPr>
          <w:rFonts w:ascii="Consolas" w:hAnsi="Consolas" w:cs="Consolas"/>
          <w:b w:val="0"/>
          <w:i w:val="0"/>
          <w:sz w:val="22"/>
        </w:rPr>
        <w:t>@pytest.fixture</w:t>
        <w:br/>
        <w:t>async def db_session():</w:t>
        <w:br/>
        <w:t xml:space="preserve">    engine = create_async_engine('sqlite+aiosqlite:///:memory:')</w:t>
        <w:br/>
        <w:t xml:space="preserve">    async with engine.begin() as conn:</w:t>
        <w:br/>
        <w:t xml:space="preserve">        await conn.run_sync(Base.metadata.create_all)</w:t>
        <w:br/>
        <w:t xml:space="preserve">    SessionLocal = async_sessionmaker(engine, expire_on_commit=False)</w:t>
        <w:br/>
        <w:t xml:space="preserve">    async with SessionLocal() as session:</w:t>
        <w:br/>
        <w:t xml:space="preserve">        yield session</w:t>
        <w:br/>
        <w:t xml:space="preserve">    await engine.dispose()</w:t>
        <w:br/>
        <w:br/>
        <w:t>@pytest.fixture</w:t>
        <w:br/>
        <w:t>async def client(db_session):</w:t>
        <w:br/>
        <w:t xml:space="preserve">    app.dependency_overrides[get_db] = lambda: db_session</w:t>
        <w:br/>
        <w:t xml:space="preserve">    async with AsyncClient(app=app, base_url='http://test') as c:</w:t>
        <w:br/>
        <w:t xml:space="preserve">        yield c</w:t>
        <w:br/>
        <w:t xml:space="preserve">    app.dependency_overrides.clear()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Подобная структура обеспечивает полную изоляцию каждого теста: состояние базы между тестами не сохраняется, что исключает скрытые зависимости между сценариями и упрощает локализацию ошибок.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3.2. Результаты тестирования по подсистемам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3.2.1. Подсистема подписок и тарифов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test_subscriptions.py проверяет корректность реализации бизнес-модели B2B2C. Проверены следующие критичные инварианты: при регистрации клиники или аптеки автоматически создаётся подписка плана Pro с флагом is_trial=True сроком на 30 календарных дней без запроса банковской карты; повторная выдача триала тому же пользователю невозможна (проверяется по идентификатору владельца, а не по идентификатору клиники, что предотвращает злоупотребление через создание новых юридических лиц).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Отдельно протестирована логика лимита врачей на тарифе Free: при попытке клиники подтвердить пятого активного врача API возвращает HTTP 402 Payment Required с кодом ошибки plan_limit_reached. Аналогично проверен лимит десяти филиалов для аптек. Тесты годовой подписки подтверждают, что цена рассчитывается с учётом скидки PLAN_YEAR_DISCOUNT_MONTHS = 2 (то есть два месяца в подарок при оплате года). Также проверен grace period: после истечения Premium-подписки клиника продолжает видеть аналитический раздел ещё 30 дней (значение PREMIUM_REPORTS_RETENTION_DAYS).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3.2.2. Подсистема кошелька B2B-счёта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test_wallet.py является самым объёмным (18 тестов) ввиду критичности операций с денежными средствами. Покрыты следующие сценарии: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Создание заявки на пополнение генерирует уникальный код формата MEDF-{user_id}-{4 символа}, который попадает в назначение банковского перевода и используется администратором для сверки.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Проверка лимитов WALLET_MIN_TOPUP_USD = 10 и WALLET_MAX_TOPUP_USD = 1000 — попытка пополнить на сумму вне диапазона возвращает HTTP 422 с описанием ошибки.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Защита от дублирования: при наличии активной pending-заявки повторный запрос возвращает HTTP 409 с кодом pending_request_exists, что предотвращает путаницу при сверке банковских платежей.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Атомарное подтверждение средствами SELECT FOR UPDATE: одновременные запросы на подтверждение одной и той же заявки гарантированно приводят к единственному зачислению; повторный вызов возвращает ошибку already_confirmed.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Покупка подписки POST /wallet/me/purchase выполняется в единой транзакции базы данных: проверка баланса → списание → создание записи Subscription с корректными датами. При нехватке средств транзакция откатывается, баланс не изменяется, API возвращает HTTP 402 с кодом insufficient_funds.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Webhook-эндпоинт POST /wallet/webhook/mbank в режиме WALLET_CONFIRM_STRATEGY=manual возвращает HTTP 501 Not Implemented, что соответствует архитектурному решению о поэтапном переходе на автоматическое подтверждение через Mbank Business API.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18 тестов завершаются успешно, что подтверждает корректность финансовой логики системы и готовность кошелька к опытной эксплуатации с ручным подтверждением платежей администратором.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3.2.3. Подсистема аналитики и Premium-отчётов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test_analytics.py (6 тестов) проверяет цепочку сбора и агрегации событий. Тесты подтверждают: эндпоинт POST /analytics/track принимает массив событий в одном запросе и записывает их в таблицу analytics_events с корректной временной меткой; запрос отчёта GET /clinic/me/analytics возвращает агрегированные значения только для указанного периода (фильтр from/to); попытка получить отчёт от имени чужой клиники возвращает HTTP 403 Forbidden. Этический фильтр проверен явным тестом: ответ не содержит полей user_id, phone, full_name пациента — клинике доступны исключительно агрегированные числа.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3.2.4. Подсистема автоматизации (APScheduler)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Модуль test_scheduler_jobs.py (7 тестов) тестирует четыре ежедневных задания планировщика. Поскольку фактический запуск APScheduler в тестах нежелателен, задания вызываются напрямую с подменённой функцией текущей даты, что позволяет моделировать произвольный момент времени.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Задание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Что проверяется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Результат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check_expiring_subscriptions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Корректность отправки напоминаний за 7/3/1 день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Уведомление создаётся ровно один раз на дату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deactivate_expired_subscriptions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Деактивация лишних врачей при окончании Pro/Premium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Первые 4 врача по created_at остаются active, остальные → deactivated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cancel_stale_pending_requests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Автоотмена pending-заявок врачей старше 7 дней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Статус меняется на rejected, причина auto_timeout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count_complaints_and_warn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Подсчёт жалоб за окно 10 дней при пороге 100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 превышении формируется push-предупреждение клинике</w:t>
            </w:r>
          </w:p>
        </w:tc>
      </w:tr>
    </w:tbl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3.2.5. Подсистема жалоб, возвратов и рассылок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Модули test_complaints.py и test_refund_and_broadcast.py (15 тестов в сумме) добавлены на втором этапе разработки и покрывают функционал административной панели. Особое внимание уделено возвратам средств: при выполнении возврата создаётся запись WalletTransaction с типом refund и отрицательной суммой, баланс клиники соответствующим образом увеличивается, а действие администратора фиксируется в таблице admin_logs для последующего аудита. Массовые push-рассылки тестируются на трёх типах сегментации: по роли (clinic / pharmacy / doctor / patient), по тарифу (Free / Pro / Premium), по городу (поле city у клиники).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3.2.6. Сводные результаты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итогам запуска полного набора тестов получены следующие показатели: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Всего тестов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57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Прошло успешно (passed)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57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Провалено (failed)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Время выполнения набора, с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14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Покрытие сервисного слоя по строкам, %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78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Покрытие критичных модулей (wallet, subscription_service), %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95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57 автоматизированных тестов завершаются успешно, что свидетельствует о корректности реализованной бизнес-логики и о достаточной защищённости системы от регрессий при последующих доработках.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3.3. Развёртывание и сопровождение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Развёртывание программного комплекса MedFind в производственной среде выполняется по следующему регламенту, проверенному на стенде разработчика.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3.3.1. Подготовка окружения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Минимальные системные требования к серверу: 2 vCPU, 4 ГБ ОЗУ, 40 ГБ дискового пространства, операционная система Ubuntu 22.04 LTS. Необходимое программное обеспечение: Python 3.11, PostgreSQL 15, Nginx (в качестве обратного прокси), systemd для управления процессом приложения. Все секретные параметры (строка подключения к БД, JWT-секрет, банковские реквизиты, API-ключи SMS-провайдера) хранятся в файле .env и не попадают в систему контроля версий.</w:t>
      </w:r>
    </w:p>
    <w:p>
      <w:pPr>
        <w:spacing w:line="276" w:lineRule="auto"/>
        <w:ind w:left="567"/>
      </w:pPr>
      <w:r>
        <w:rPr>
          <w:rFonts w:ascii="Consolas" w:hAnsi="Consolas" w:cs="Consolas"/>
          <w:b w:val="0"/>
          <w:i w:val="0"/>
          <w:sz w:val="22"/>
        </w:rPr>
        <w:t>DATABASE_URL=postgresql+asyncpg://medfind:***@localhost/medfind</w:t>
        <w:br/>
        <w:t>JWT_SECRET_KEY=...</w:t>
        <w:br/>
        <w:t>JWT_ALGORITHM=HS256</w:t>
        <w:br/>
        <w:t>JWT_ACCESS_TOKEN_EXPIRE_MINUTES=30</w:t>
        <w:br/>
        <w:t>DEV_MODE=false</w:t>
        <w:br/>
        <w:t>SMS_PROVIDER=nikita</w:t>
        <w:br/>
        <w:t>NIKITA_LOGIN=...</w:t>
        <w:br/>
        <w:t>NIKITA_API_KEY=...</w:t>
        <w:br/>
        <w:t>WALLET_CONFIRM_STRATEGY=manual</w:t>
        <w:br/>
        <w:t>WALLET_MIN_TOPUP_USD=10</w:t>
        <w:br/>
        <w:t>WALLET_MAX_TOPUP_USD=1000</w:t>
        <w:br/>
        <w:t>COMPANY_NAME=ОсОО «MedFind»</w:t>
        <w:br/>
        <w:t>BANK_ACCOUNT=1234567890123456</w:t>
        <w:br/>
        <w:t>BANK_BIK=128001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3.3.2. Миграции базы данных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Управление структурой базы данных реализовано через инструмент Alembic, который интегрирован с SQLAlchemy 2.0 в асинхронном режиме. Все изменения схемы фиксируются в виде версионированных миграций в каталоге backend/migrations/versions/. На дату подготовки настоящей ВКР в проекте создано 12 миграций, отражающих эволюцию структуры от начального каркаса до полного функционала с админ-панелью. Применение миграций при развёртывании выполняется единственной командой alembic upgrade head, что обеспечивает атомарность и повторяемость процедуры обновления.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3.3.3. Запуск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Серверная часть запускается через ASGI-сервер Uvicorn под управлением systemd-сервиса, что обеспечивает автоматический перезапуск при сбоях и логирование в системный журнал. Для горизонтального масштабирования предусмотрена возможность запуска нескольких воркеров за обратным прокси Nginx, который дополнительно выполняет терминацию TLS, балансировку и отдачу статических файлов из каталога uploads/. Фоновый планировщик APScheduler стартует в составе основного процесса приложения; ежедневные задания выполняются в 09:00 по локальному времени Бишкека (UTC+6).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3.3.4. Сборка и публикация мобильного клиента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Мобильное приложение собирается командами flutter build apk --release (для платформы Android) и flutter build ipa --release (для платформы iOS). Перед сборкой выполняется генерация кода freezed-моделей (dart run build_runner build --delete-conflicting-outputs). Готовые артефакты публикуются в Google Play Store и Apple App Store; URL серверной части конфигурируется через константу AppConstants.baseUrl без необходимости пересборки.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3.3.5. Веб-панель администратора и мониторинг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Веб-панель администратора доступна по адресу /panel и реализована на серверных шаблонах Jinja2 без отдельного фронтенд-стека, что снижает сложность развёртывания и удешевляет сопровождение. Все административные действия (подтверждение пополнения, возврат средств, изменение тарифа клиники, рассылка push-уведомлений) фиксируются в таблице admin_logs и доступны для последующего аудита. Для эксплуатационного мониторинга предусмотрены стандартные журналы FastAPI и PostgreSQL; рекомендуемые внешние инструменты (Grafana, Prometheus, Sentry) могут быть подключены без изменений в кодовой базе.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3.4. Эргономика и доступность пользовательского интерфейса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Эргономика мобильного приложения играет ключевую роль в принятии продукта пациентами, поскольку медицинская тематика требует доверия, спокойного восприятия и скорости получения информации. При проектировании пользовательского интерфейса MedFind были учтены принципы Material Design и Human Interface Guidelines, адаптированные к специфике приложения.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3.4.1. Соблюдение единой дизайн-системы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экраны приложения построены на основе зафиксированной дизайн-системы (палитра primaryBlue #1565C0, accentBlue #2979FF, фон экранов #F0F4FF, белые карточки с тенью cardShadow). Шрифтовая гарнитура Inter обеспечивает чёткое восприятие текста как на мелких, так и на крупных диагоналях экрана. Радиусы скругления элементов (14–20 px) и единая высота кнопок (54 px) подобраны так, чтобы интерфейс воспринимался цельно и предсказуемо. Канонические списки симптомов, специализаций и категорий клиник вынесены в core/constants/app_constants.dart, что исключает разночтения между экранами.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3.4.2. Навигация и пути выполнения сценариев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Главный экран MainScreen построен на компоненте IndexedStack с четырьмя вкладками (Home, Search, Health, Profile), что позволяет сохранять состояние каждой вкладки при переключении и снижает когнитивную нагрузку на пользователя. Глубокие маршруты (карточки врача, клиники, филиала аптеки) открываются поверх основного экрана через GoRouter с анимацией FadeTransition + SlideTransition длительностью 300 мс. Среднее количество тапов до целевого действия (звонок врачу, открытие маршрута до клиники) составляет 3–4 нажатия, что соответствует рекомендациям по проектированию мобильных приложений.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3.4.3. Доступность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Минимальный размер интерактивных элементов (кнопок, чипов, элементов списка) — 44×44 пикселя, что соответствует требованиям Apple HIG и обеспечивает комфортное взаимодействие даже для пользователей старшего возраста и людей с пониженной моторикой пальцев. Контраст между текстом и фоном превышает соотношение 4.5:1 (норма WCAG 2.1 AA) на всех ключевых экранах. Цветовая схема не использует цвет как единственное средство передачи смысла: статусы провайдеров (active, pending, rejected, deactivated, removed) сопровождаются текстовыми пояснениями и иконками.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3.4.4. Локализация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Архитектура приложения предусматривает поддержку трёх языков: русского (язык по умолчанию), кыргызского (код ky) и английского. Выбранный пользователем язык сохраняется в SharedPreferences (ключ app_locale) и применяется при следующем запуске. Базой для локализации служит стандартный пакет flutter_localizations с файлами app_ru.arb, app_ky.arb, app_en.arb. На момент защиты ВКР русский язык реализован полностью; файлы для кыргызского и английского языков подготовлены и наполнены в первой итерации приоритетными строками — заголовками экранов и кнопками действий.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3.4.5. Поддержка специальных взаимодействий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приложении реализованы deeplink-вызовы внешних приложений через пакет url_launcher: WhatsApp (https://wa.me/&lt;номер&gt;), Telegram (https://t.me/&lt;username&gt;), телефонный звонок (tel:&lt;номер&gt;), а также построение маршрута в навигаторе 2GIS (dgis://2gis.ru/routeSearch/to/&lt;lat&gt;,&lt;lon&gt;) с автоматическим переходом на Google Maps (https://maps.google.com/?q=&lt;lat&gt;,&lt;lon&gt;) при отсутствии установленного приложения 2GIS. Геолокация запрашивается у пользователя только при первом обращении к разделу аптек либо при явном нажатии кнопки «Ближайшие аптеки», что снижает беспокойство пользователя по поводу приватности и соответствует требованиям сторов мобильных приложений.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3.5. Оценка планируемого эффекта от внедрения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Оценка эффекта от внедрения системы MedFind проводилась с двух позиций: социальной (польза для жителей Кыргызской Республики и медицинского сообщества) и экономической (потенциальная выручка и окупаемость проекта при выбранной бизнес-модели B2B2C).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3.5.1. Социальный эффект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Внедрение системы MedFind решает следующие практические задачи населения и медицинской отрасли Кыргызской Республики: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Снижение времени поиска подходящего специалиста благодаря единому каталогу врачей с фильтрами по специализации, формату консультации, цене и языку приёма.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Прозрачность ценообразования: пациент видит стоимость консультации и услуг до обращения, что снижает риск недопонимания с медицинским учреждением.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Доступность медицинских услуг для жителей удалённых регионов за счёт поддержки онлайн-консультаций через WhatsApp и Telegram.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Сокращение времени поиска ближайшей аптеки с нужными лекарствами благодаря геолокационному эндпоинту GET /pharmacy-branches/nearby и интеграции с навигаторами.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Накопление обезличенной статистики обращений в медицинские учреждения, которая может представлять интерес для Министерства здравоохранения при планировании здравоохранения в отдельных регионах страны.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3.5.2. Расчёт прогнозируемой выручки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Прогноз выручки построен на основе бизнес-модели B2B2C, при которой пациенты пользуются приложением бесплатно, а доход формируется за счёт подписок клиник и аптек. Приняты следующие допущения для базового сценария первого года эксплуатации: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Количество клиник в Кыргызской Республике (потенциал)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1 500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Количество аптек в Кыргызской Республике (потенциал)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2 000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Целевая доля проникновения в первый год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10 %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Подключённых клиник в первый год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150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Подключённых аптек в первый год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Доля клиник на тарифе Pro / Premium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60 % / 15 %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Доля аптек на тарифе Pro / Premium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55 % / 10 %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Курс KGS / USD (на 17.05.2026)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89.5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указанных допущений выполнен расчёт месячной и годовой выручки в долларовом и сомовом эквиваленте: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Категория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Кол-во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Цена/мес, USD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Выручка/мес, USD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Клиники Pro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90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1 800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Клиники Premium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920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Клиники Free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37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Аптеки Pro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110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2 200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Аптеки Premium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40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800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Аптеки Free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70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Итого в месяц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350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5 720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Итого в год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≈ 68 640</w:t>
            </w:r>
          </w:p>
        </w:tc>
      </w:tr>
      <w:tr>
        <w:tc>
          <w:tcPr>
            <w:tcW w:type="dxa" w:w="3118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Итого в год в KGS (×89.5)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154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≈ 6 143 280 сом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 сохранении заявленных темпов и достижении 25 % проникновения к третьему году эксплуатации потенциальная годовая выручка достигает ≈ 170 000 USD (≈ 15,2 млн сом), что покрывает расходы на содержание команды разработки и развитие платформы.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3.5.3. Оценка затрат на эксплуатацию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Минимальная конфигурация инфраструктуры для запуска системы в продуктивной среде: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23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Статья расходов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Стоимость, USD/мес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Виртуальный сервер (4 vCPU, 8 ГБ, 80 ГБ SSD)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40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Облачное хранилище объектов (S3-совместимое, 100 ГБ)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Резервное копирование баз данных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Доменное имя и сертификат TLS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SMS-провайдер Nikita.kg (≈ 5 000 SMS)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50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Push-уведомления (Firebase Cloud Messaging)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62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Итого инфраструктура</w:t>
            </w:r>
          </w:p>
        </w:tc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≈ 106</w:t>
            </w:r>
          </w:p>
        </w:tc>
      </w:tr>
    </w:tbl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Соотношение прогнозируемой ежемесячной выручки (≈ 5 720 USD) к затратам на инфраструктуру (≈ 106 USD) превышает 50, что говорит о высокой удельной маржинальности при условии достижения запланированной базы клиентов. Основной операционной статьёй расходов при масштабировании остаётся фонд оплаты труда команды разработки и поддержки.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3.5.4. Срок окупаемости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 фактических затратах на разработку, выполненной силами одного разработчика в рамках выпускной квалификационной работы, прямые капитальные вложения сводятся к стоимости рабочего времени (≈ 6 месяцев × 1 000 USD = 6 000 USD условно) и стартовым юридическим расходам (≈ 500 USD). При выходе на расчётную выручку первого года (≈ 68 640 USD) срок окупаемости составляет менее трёх месяцев активной коммерческой эксплуатации, что подтверждает экономическую целесообразность проекта.</w:t>
      </w:r>
    </w:p>
    <w:p>
      <w:pPr>
        <w:spacing w:before="120" w:after="60" w:line="360" w:lineRule="auto"/>
      </w:pPr>
      <w:r>
        <w:rPr>
          <w:rFonts w:ascii="Times New Roman" w:hAnsi="Times New Roman" w:cs="Times New Roman"/>
          <w:b/>
          <w:i/>
          <w:sz w:val="28"/>
        </w:rPr>
        <w:t>3.5.5. Качественные преимущества разработки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Помимо количественных показателей, разработанная система обладает рядом качественных преимуществ перед существующими аналогами на рынке Кыргызской Республики: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Единая платформа для трёх категорий медицинских участников (врачи, клиники, аптеки) — в отличие от профильных нишевых сервисов, ориентированных только на одну категорию.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Готовность к подключению локального банковского API (Mbank Business): архитектура кошелька предусматривает поэтапный переход от ручного подтверждения платежей к автоматическому без переделки кода.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Гибкая монетизация: тарифная модель Free / Pro / Premium и механика триала ориентированы на быстрое привлечение клиник и аптек без барьера на входе.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Этичная аналитика: клиники получают только агрегированные показатели и не имеют доступа к персональным данным пациентов, что соответствует современным требованиям к защите данных.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Поддержка трёх языков, отвечающая национальной языковой политике Кыргызской Республики и упрощающая принятие продукта пользователями всех регионов.</w:t>
      </w:r>
    </w:p>
    <w:p>
      <w:pPr>
        <w:spacing w:before="240" w:after="120" w:line="360" w:lineRule="auto"/>
      </w:pPr>
      <w:r>
        <w:rPr>
          <w:rFonts w:ascii="Times New Roman" w:hAnsi="Times New Roman" w:cs="Times New Roman"/>
          <w:b/>
          <w:i w:val="0"/>
          <w:sz w:val="28"/>
        </w:rPr>
        <w:t>Выводы по третьей главе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рамках третьей главы выпускной квалификационной работы получены следующие результаты: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Разработана и применена комбинированная стратегия тестирования, сочетающая модульный, интеграционный и сценарный уровни на базе фреймворка pytest с поддержкой асинхронного выполнения.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Подготовлен набор из 57 автоматизированных тестов, распределённых по шести функциональным модулям; полный прогон набора занимает около 14 секунд и завершается без ошибок (passed: 57, failed: 0).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Достигнуто покрытие критичных финансовых модулей (кошелёк, сервис подписок) на уровне 95 % по строкам, что обеспечивает высокую степень доверия к денежным операциям системы.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Описан полный регламент развёртывания серверной и мобильной частей системы, включая управление миграциями через Alembic, запуск через systemd, сборку APK/IPA и публикацию в магазины приложений.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Подтверждено соответствие пользовательского интерфейса принципам эргономики и доступности: единая дизайн-система, контраст не ниже WCAG AA, размер интерактивных элементов ≥ 44 px, поддержка трёх языков.</w:t>
      </w:r>
    </w:p>
    <w:p>
      <w:pPr>
        <w:pStyle w:val="ListBullet"/>
        <w:spacing w:line="360" w:lineRule="auto"/>
      </w:pPr>
      <w:r>
        <w:rPr>
          <w:rFonts w:ascii="Times New Roman" w:hAnsi="Times New Roman" w:cs="Times New Roman"/>
          <w:b w:val="0"/>
          <w:i w:val="0"/>
          <w:sz w:val="28"/>
        </w:rPr>
        <w:t>Выполнён расчёт планируемого экономического эффекта от внедрения: при достижении 10 % проникновения в первый год годовая выручка составит ≈ 68 640 USD (≈ 6,1 млн сом) при ежемесячных расходах на инфраструктуру ≈ 106 USD, срок окупаемости — менее трёх месяцев активной эксплуатации.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Таким образом, разработанная информационная система MedFind прошла практическое тестирование, готова к развёртыванию в опытной эксплуатации и обладает обоснованным потенциалом коммерческого внедрения на рынке медицинских услуг Кыргызской Республики. Поставленные в техническом задании цели третьей главы выполнены в полном объёме.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