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8th Presidium</w:t>
      </w:r>
    </w:p>
    <w:p w:rsidR="00000000" w:rsidDel="00000000" w:rsidP="00000000" w:rsidRDefault="00000000" w:rsidRPr="00000000" w14:paraId="00000002">
      <w:pPr>
        <w:rPr>
          <w:rFonts w:ascii="Helvetica Neue" w:cs="Helvetica Neue" w:eastAsia="Helvetica Neue" w:hAnsi="Helvetica Neue"/>
          <w:color w:val="202122"/>
          <w:sz w:val="2"/>
          <w:szCs w:val="2"/>
        </w:rPr>
      </w:pPr>
      <w:r w:rsidDel="00000000" w:rsidR="00000000" w:rsidRPr="00000000">
        <w:rPr>
          <w:rtl w:val="0"/>
        </w:rPr>
        <w:t xml:space="preserve">3rd General Presidency</w:t>
      </w:r>
      <w:r w:rsidDel="00000000" w:rsidR="00000000" w:rsidRPr="00000000">
        <w:rPr>
          <w:rtl w:val="0"/>
        </w:rPr>
      </w:r>
    </w:p>
    <w:tbl>
      <w:tblPr>
        <w:tblStyle w:val="Table1"/>
        <w:tblW w:w="9015.0" w:type="dxa"/>
        <w:jc w:val="left"/>
        <w:tblInd w:w="-15.0" w:type="dxa"/>
        <w:tblLayout w:type="fixed"/>
        <w:tblLook w:val="0600"/>
      </w:tblPr>
      <w:tblGrid>
        <w:gridCol w:w="6495"/>
        <w:gridCol w:w="2520"/>
        <w:tblGridChange w:id="0">
          <w:tblGrid>
            <w:gridCol w:w="6495"/>
            <w:gridCol w:w="25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3">
            <w:pPr>
              <w:pStyle w:val="Title"/>
              <w:keepNext w:val="0"/>
              <w:keepLines w:val="0"/>
              <w:pBdr>
                <w:bottom w:color="auto" w:space="6" w:sz="0" w:val="none"/>
              </w:pBdr>
              <w:shd w:fill="ffffff" w:val="clear"/>
              <w:spacing w:after="240" w:before="480" w:line="300" w:lineRule="auto"/>
              <w:jc w:val="both"/>
              <w:rPr>
                <w:rFonts w:ascii="Helvetica Neue" w:cs="Helvetica Neue" w:eastAsia="Helvetica Neue" w:hAnsi="Helvetica Neue"/>
                <w:b w:val="1"/>
                <w:color w:val="24292f"/>
                <w:sz w:val="46"/>
                <w:szCs w:val="46"/>
              </w:rPr>
            </w:pPr>
            <w:bookmarkStart w:colFirst="0" w:colLast="0" w:name="_dhqd1jnui1zg" w:id="0"/>
            <w:bookmarkEnd w:id="0"/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24292f"/>
                <w:sz w:val="46"/>
                <w:szCs w:val="46"/>
                <w:rtl w:val="0"/>
              </w:rPr>
              <w:t xml:space="preserve">Supreme Secretary</w:t>
              <w:br w:type="textWrapping"/>
            </w:r>
            <w:r w:rsidDel="00000000" w:rsidR="00000000" w:rsidRPr="00000000">
              <w:rPr>
                <w:rFonts w:ascii="Helvetica Neue" w:cs="Helvetica Neue" w:eastAsia="Helvetica Neue" w:hAnsi="Helvetica Neue"/>
                <w:color w:val="24292f"/>
                <w:sz w:val="46"/>
                <w:szCs w:val="46"/>
                <w:rtl w:val="0"/>
              </w:rPr>
              <w:t xml:space="preserve">United Socialist Republics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4">
            <w:pPr>
              <w:pStyle w:val="Title"/>
              <w:keepNext w:val="0"/>
              <w:keepLines w:val="0"/>
              <w:pBdr>
                <w:bottom w:color="auto" w:space="6" w:sz="0" w:val="none"/>
              </w:pBdr>
              <w:shd w:fill="ffffff" w:val="clear"/>
              <w:spacing w:after="240" w:before="480" w:line="300" w:lineRule="auto"/>
              <w:jc w:val="right"/>
              <w:rPr>
                <w:b w:val="1"/>
                <w:sz w:val="22"/>
                <w:szCs w:val="22"/>
              </w:rPr>
            </w:pPr>
            <w:bookmarkStart w:colFirst="0" w:colLast="0" w:name="_7otnoc6q87d2" w:id="1"/>
            <w:bookmarkEnd w:id="1"/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24292f"/>
                <w:sz w:val="46"/>
                <w:szCs w:val="46"/>
              </w:rPr>
              <w:drawing>
                <wp:inline distB="114300" distT="114300" distL="114300" distR="114300">
                  <wp:extent cx="1218625" cy="1347788"/>
                  <wp:effectExtent b="0" l="0" r="0" t="0"/>
                  <wp:docPr id="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8625" cy="13477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shd w:fill="ffffff" w:val="clear"/>
              <w:spacing w:after="100" w:before="10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EXECUTIVE ORDER #00.00.08</w:t>
            </w:r>
          </w:p>
          <w:p w:rsidR="00000000" w:rsidDel="00000000" w:rsidP="00000000" w:rsidRDefault="00000000" w:rsidRPr="00000000" w14:paraId="00000006">
            <w:pPr>
              <w:shd w:fill="ffffff" w:val="clear"/>
              <w:spacing w:after="100" w:before="100" w:lineRule="auto"/>
              <w:jc w:val="center"/>
              <w:rPr>
                <w:rFonts w:ascii="Helvetica Neue" w:cs="Helvetica Neue" w:eastAsia="Helvetica Neue" w:hAnsi="Helvetica Neue"/>
                <w:b w:val="1"/>
                <w:color w:val="24292f"/>
                <w:sz w:val="46"/>
                <w:szCs w:val="46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APPROPROPRIATE SOCIALIST RELATIONSHIPS ACT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____________________________________________________________________________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ab/>
        <w:t xml:space="preserve">By the authority vested within me as Supreme Secretary of the United Socialist Republics by the Constitution and Basic Law, I Terry A. McKeen of the All Union Communist Party and of Zeprana hereby enact the following:</w:t>
      </w:r>
    </w:p>
    <w:p w:rsidR="00000000" w:rsidDel="00000000" w:rsidP="00000000" w:rsidRDefault="00000000" w:rsidRPr="00000000" w14:paraId="00000009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Article I: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All citizens within the United Socialist Republics shall have a Social Credit Score -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All citizens Social Credits shall be logged in the All-Union Grand Database of Citizens.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b w:val="1"/>
          <w:rtl w:val="0"/>
        </w:rPr>
        <w:t xml:space="preserve">Article II: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The Social Credit Score of all citizens to begin shall be a unit of  “100,000”.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Article III: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If one's social credit is above 100,000 - they shall have the following privileges: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Access to exclusive luxury resorts and accommodations. 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Priority seating and boarding on public transportation. 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Discounted rates on healthcare services. 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Enhanced social benefits and welfare provisions. 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Expedited processing for government services and applications. 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Priority access to educational resources and opportunities. 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Exclusive access to cultural and entertainment events. 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Preferred status for employment and career advancements. 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Higher priority for housing allocation. 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Enhanced travel privileges, including visa-free access to select countries.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Article IV: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If one's social credit is below 100,000 - they shall have the following privileges revoked, gradually more restrictions as their credit drops lower:</w:t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90,000: Slight delays in processing government documentation. Restricted access to certain public facilities and venues. 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89,000: Increased scrutiny in financial transactions and credit applications. Limited access to specialized services and resources.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88,000: Restricted access to certain educational resources and opportunities. Reduced eligibility for government-funded initiatives and programs. 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87,000: Limited access to certain public transportation benefits. Increased reporting requirements for financial transactions. 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86,000: Restricted access to certain cultural and entertainment events. Limited participation in government-sponsored activities. 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85,000: Reduced eligibility for low-interest loans and financial assistance. Limited access to public healthcare services. 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84,000: Increased monitoring and reporting of personal activities. Limited access to employment opportunities and career advancements. 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83,000: Restricted access to certain government services and benefits. Limited access to social welfare support. 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82,000: Slight delays in processing government service requests. Reduced priority for housing allocation. 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81,000: Limited access to premium healthcare services. Restricted access to certain public facilities. 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80,000: Increased surveillance and monitoring of personal activities. Limited access to specialized education and training programs. 79,000: Reduced eligibility for certain social benefits and welfare provisions. Limited participation in government-funded initiatives. 78,000: Restricted access to certain venues and establishments. Increased reporting requirements for financial transactions. 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77,000: Limited access to public transportation benefits. Reduced eligibility for government-sponsored programs. 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76,000: Slight delays in processing government documentation. Restricted access to certain public resources. 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75,000: Increased scrutiny in financial transactions and credit applications. Limited access to specialized services and resources.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EB Garamond" w:cs="EB Garamond" w:eastAsia="EB Garamond" w:hAnsi="EB Garamond"/>
          <w:i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i w:val="1"/>
          <w:sz w:val="28"/>
          <w:szCs w:val="28"/>
          <w:rtl w:val="0"/>
        </w:rPr>
        <w:t xml:space="preserve">Signed,</w:t>
      </w:r>
    </w:p>
    <w:p w:rsidR="00000000" w:rsidDel="00000000" w:rsidP="00000000" w:rsidRDefault="00000000" w:rsidRPr="00000000" w14:paraId="00000041">
      <w:pPr>
        <w:rPr>
          <w:rFonts w:ascii="EB Garamond" w:cs="EB Garamond" w:eastAsia="EB Garamond" w:hAnsi="EB Garamond"/>
          <w:i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i w:val="1"/>
          <w:sz w:val="28"/>
          <w:szCs w:val="28"/>
        </w:rPr>
        <w:drawing>
          <wp:inline distB="114300" distT="114300" distL="114300" distR="114300">
            <wp:extent cx="3367088" cy="625933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7088" cy="6259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EB Garamond" w:cs="EB Garamond" w:eastAsia="EB Garamond" w:hAnsi="EB Garamond"/>
          <w:b w:val="1"/>
          <w:i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i w:val="1"/>
          <w:sz w:val="28"/>
          <w:szCs w:val="28"/>
          <w:rtl w:val="0"/>
        </w:rPr>
        <w:t xml:space="preserve">Terry A. McKeen III,</w:t>
      </w:r>
    </w:p>
    <w:p w:rsidR="00000000" w:rsidDel="00000000" w:rsidP="00000000" w:rsidRDefault="00000000" w:rsidRPr="00000000" w14:paraId="00000043">
      <w:pPr>
        <w:rPr>
          <w:rFonts w:ascii="EB Garamond" w:cs="EB Garamond" w:eastAsia="EB Garamond" w:hAnsi="EB Garamond"/>
          <w:b w:val="1"/>
          <w:i w:val="1"/>
          <w:sz w:val="28"/>
          <w:szCs w:val="28"/>
          <w:u w:val="single"/>
        </w:rPr>
      </w:pPr>
      <w:r w:rsidDel="00000000" w:rsidR="00000000" w:rsidRPr="00000000">
        <w:rPr>
          <w:rFonts w:ascii="EB Garamond" w:cs="EB Garamond" w:eastAsia="EB Garamond" w:hAnsi="EB Garamond"/>
          <w:b w:val="1"/>
          <w:i w:val="1"/>
          <w:sz w:val="28"/>
          <w:szCs w:val="28"/>
          <w:u w:val="single"/>
          <w:rtl w:val="0"/>
        </w:rPr>
        <w:t xml:space="preserve">Supreme Secretary of the USR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sectPr>
      <w:headerReference r:id="rId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5">
    <w:pPr>
      <w:rPr/>
    </w:pPr>
    <w:r w:rsidDel="00000000" w:rsidR="00000000" w:rsidRPr="00000000">
      <w:rPr/>
      <w:drawing>
        <wp:inline distB="114300" distT="114300" distL="114300" distR="114300">
          <wp:extent cx="850491" cy="709613"/>
          <wp:effectExtent b="0" l="0" r="0" t="0"/>
          <wp:docPr id="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50491" cy="70961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