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line="331.2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MINISTRY OF ECONOMY</w:t>
      </w:r>
    </w:p>
    <w:p w:rsidR="00000000" w:rsidDel="00000000" w:rsidP="00000000" w:rsidRDefault="00000000" w:rsidRPr="00000000" w14:paraId="00000002">
      <w:pPr>
        <w:spacing w:after="60" w:line="331.2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UNITED SOCIALIST REPUBLICS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31.2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139662" cy="1259627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9662" cy="12596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31.99999999999994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GUIDE TO UTILIZATION OF THE ALMENDRIAN CREDIT</w:t>
      </w:r>
    </w:p>
    <w:p w:rsidR="00000000" w:rsidDel="00000000" w:rsidP="00000000" w:rsidRDefault="00000000" w:rsidRPr="00000000" w14:paraId="00000006">
      <w:pPr>
        <w:spacing w:line="431.99999999999994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31.99999999999994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Author: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Comrade GENERAL PRESIDENT TIZIAN ARUNA</w:t>
      </w:r>
    </w:p>
    <w:p w:rsidR="00000000" w:rsidDel="00000000" w:rsidP="00000000" w:rsidRDefault="00000000" w:rsidRPr="00000000" w14:paraId="00000008">
      <w:pPr>
        <w:spacing w:line="431.99999999999994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Sponsored by: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Almendrian AR and the Communist Party of the United Socialist Republics</w:t>
      </w:r>
    </w:p>
    <w:p w:rsidR="00000000" w:rsidDel="00000000" w:rsidP="00000000" w:rsidRDefault="00000000" w:rsidRPr="00000000" w14:paraId="00000009">
      <w:pPr>
        <w:spacing w:line="431.99999999999994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Hereby releases this document to the public.</w:t>
      </w:r>
    </w:p>
    <w:p w:rsidR="00000000" w:rsidDel="00000000" w:rsidP="00000000" w:rsidRDefault="00000000" w:rsidRPr="00000000" w14:paraId="0000000A">
      <w:pPr>
        <w:spacing w:line="431.99999999999994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spacing w:line="431.99999999999994" w:lineRule="auto"/>
        <w:jc w:val="center"/>
        <w:rPr/>
      </w:pPr>
      <w:bookmarkStart w:colFirst="0" w:colLast="0" w:name="_rbjq1ehjrm0q" w:id="0"/>
      <w:bookmarkEnd w:id="0"/>
      <w:r w:rsidDel="00000000" w:rsidR="00000000" w:rsidRPr="00000000">
        <w:rPr>
          <w:rtl w:val="0"/>
        </w:rPr>
        <w:t xml:space="preserve">Step 1: Installing Metamask</w:t>
      </w:r>
    </w:p>
    <w:p w:rsidR="00000000" w:rsidDel="00000000" w:rsidP="00000000" w:rsidRDefault="00000000" w:rsidRPr="00000000" w14:paraId="0000000C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For PC: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1: Have Google Chrome Browser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2: Install the MetaMask Extension - </w:t>
      </w: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MetaMask - Chrome Web Store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i w:val="1"/>
          <w:color w:val="1155cc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1155cc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For Mobile:</w:t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Android:</w:t>
      </w:r>
      <w:hyperlink r:id="rId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 Install the MetaMask 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1155cc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iPhone: </w:t>
      </w:r>
      <w:hyperlink r:id="rId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Install the MetaMask 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spacing w:line="431.99999999999994" w:lineRule="auto"/>
        <w:jc w:val="center"/>
        <w:rPr/>
      </w:pPr>
      <w:bookmarkStart w:colFirst="0" w:colLast="0" w:name="_v00d177a3xts" w:id="1"/>
      <w:bookmarkEnd w:id="1"/>
      <w:r w:rsidDel="00000000" w:rsidR="00000000" w:rsidRPr="00000000">
        <w:rPr>
          <w:rtl w:val="0"/>
        </w:rPr>
        <w:t xml:space="preserve">Step 2: Switching to Harmony Mainnet</w:t>
      </w:r>
    </w:p>
    <w:p w:rsidR="00000000" w:rsidDel="00000000" w:rsidP="00000000" w:rsidRDefault="00000000" w:rsidRPr="00000000" w14:paraId="00000015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For PC:</w:t>
      </w:r>
    </w:p>
    <w:p w:rsidR="00000000" w:rsidDel="00000000" w:rsidP="00000000" w:rsidRDefault="00000000" w:rsidRPr="00000000" w14:paraId="00000016">
      <w:pPr>
        <w:rPr>
          <w:rFonts w:ascii="Georgia" w:cs="Georgia" w:eastAsia="Georgia" w:hAnsi="Georgia"/>
          <w:color w:val="292929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92929"/>
          <w:sz w:val="26"/>
          <w:szCs w:val="26"/>
          <w:highlight w:val="white"/>
          <w:rtl w:val="0"/>
        </w:rPr>
        <w:t xml:space="preserve">Switch the connected blockchain by clicking on the tab saying Main Ethereum Network, we need to add the Harmony One network.</w:t>
        <w:br w:type="textWrapping"/>
      </w:r>
      <w:r w:rsidDel="00000000" w:rsidR="00000000" w:rsidRPr="00000000">
        <w:rPr>
          <w:rFonts w:ascii="Georgia" w:cs="Georgia" w:eastAsia="Georgia" w:hAnsi="Georgia"/>
          <w:color w:val="292929"/>
          <w:sz w:val="26"/>
          <w:szCs w:val="26"/>
          <w:highlight w:val="white"/>
        </w:rPr>
        <w:drawing>
          <wp:inline distB="114300" distT="114300" distL="114300" distR="114300">
            <wp:extent cx="4181475" cy="85725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color w:val="292929"/>
          <w:sz w:val="26"/>
          <w:szCs w:val="26"/>
          <w:highlight w:val="white"/>
          <w:rtl w:val="0"/>
        </w:rPr>
        <w:br w:type="textWrapping"/>
        <w:t xml:space="preserve">Scroll down until you find Custom RPC.</w:t>
      </w:r>
    </w:p>
    <w:p w:rsidR="00000000" w:rsidDel="00000000" w:rsidP="00000000" w:rsidRDefault="00000000" w:rsidRPr="00000000" w14:paraId="00000017">
      <w:pPr>
        <w:shd w:fill="f2f2f2" w:val="clear"/>
        <w:spacing w:before="840" w:lineRule="auto"/>
        <w:rPr>
          <w:rFonts w:ascii="Georgia" w:cs="Georgia" w:eastAsia="Georgia" w:hAnsi="Georgia"/>
          <w:color w:val="292929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92929"/>
          <w:sz w:val="26"/>
          <w:szCs w:val="26"/>
          <w:highlight w:val="white"/>
        </w:rPr>
        <w:drawing>
          <wp:inline distB="114300" distT="114300" distL="114300" distR="114300">
            <wp:extent cx="3086100" cy="609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0" w:before="600" w:line="523.6363636363636" w:lineRule="auto"/>
        <w:rPr>
          <w:rFonts w:ascii="Georgia" w:cs="Georgia" w:eastAsia="Georgia" w:hAnsi="Georgia"/>
          <w:color w:val="292929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92929"/>
          <w:sz w:val="26"/>
          <w:szCs w:val="26"/>
          <w:highlight w:val="white"/>
          <w:rtl w:val="0"/>
        </w:rPr>
        <w:t xml:space="preserve">Enter in the Harmony One mainnet settings as follows: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after="0" w:afterAutospacing="0" w:before="640" w:line="458.1818181818182" w:lineRule="auto"/>
        <w:ind w:left="1180" w:hanging="360"/>
        <w:rPr>
          <w:rFonts w:ascii="Georgia" w:cs="Georgia" w:eastAsia="Georgia" w:hAnsi="Georgia"/>
          <w:color w:val="292929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26"/>
          <w:szCs w:val="26"/>
          <w:highlight w:val="white"/>
          <w:rtl w:val="0"/>
        </w:rPr>
        <w:t xml:space="preserve">Network name:</w:t>
      </w:r>
      <w:r w:rsidDel="00000000" w:rsidR="00000000" w:rsidRPr="00000000">
        <w:rPr>
          <w:rFonts w:ascii="Georgia" w:cs="Georgia" w:eastAsia="Georgia" w:hAnsi="Georgia"/>
          <w:color w:val="292929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color w:val="292929"/>
          <w:sz w:val="26"/>
          <w:szCs w:val="26"/>
          <w:shd w:fill="f3f0ef" w:val="clear"/>
          <w:rtl w:val="0"/>
        </w:rPr>
        <w:t xml:space="preserve">Harmony Mainnet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spacing w:after="0" w:afterAutospacing="0" w:before="0" w:beforeAutospacing="0" w:line="458.1818181818182" w:lineRule="auto"/>
        <w:ind w:left="1180" w:hanging="360"/>
        <w:rPr>
          <w:rFonts w:ascii="Georgia" w:cs="Georgia" w:eastAsia="Georgia" w:hAnsi="Georgia"/>
          <w:color w:val="292929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26"/>
          <w:szCs w:val="26"/>
          <w:highlight w:val="white"/>
          <w:rtl w:val="0"/>
        </w:rPr>
        <w:t xml:space="preserve">RPC URL: </w:t>
      </w:r>
      <w:hyperlink r:id="rId12">
        <w:r w:rsidDel="00000000" w:rsidR="00000000" w:rsidRPr="00000000">
          <w:rPr>
            <w:rFonts w:ascii="Georgia" w:cs="Georgia" w:eastAsia="Georgia" w:hAnsi="Georgia"/>
            <w:color w:val="1155cc"/>
            <w:sz w:val="26"/>
            <w:szCs w:val="26"/>
            <w:highlight w:val="white"/>
            <w:u w:val="single"/>
            <w:rtl w:val="0"/>
          </w:rPr>
          <w:t xml:space="preserve">https://api.harmony.one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spacing w:after="0" w:afterAutospacing="0" w:before="0" w:beforeAutospacing="0" w:line="458.1818181818182" w:lineRule="auto"/>
        <w:ind w:left="1180" w:hanging="360"/>
        <w:rPr>
          <w:rFonts w:ascii="Georgia" w:cs="Georgia" w:eastAsia="Georgia" w:hAnsi="Georgia"/>
          <w:color w:val="292929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26"/>
          <w:szCs w:val="26"/>
          <w:highlight w:val="white"/>
          <w:rtl w:val="0"/>
        </w:rPr>
        <w:t xml:space="preserve">Chain ID:</w:t>
      </w:r>
      <w:r w:rsidDel="00000000" w:rsidR="00000000" w:rsidRPr="00000000">
        <w:rPr>
          <w:rFonts w:ascii="Georgia" w:cs="Georgia" w:eastAsia="Georgia" w:hAnsi="Georgia"/>
          <w:color w:val="292929"/>
          <w:sz w:val="26"/>
          <w:szCs w:val="26"/>
          <w:highlight w:val="white"/>
          <w:rtl w:val="0"/>
        </w:rPr>
        <w:t xml:space="preserve"> 1666600000 (shared 0)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spacing w:after="0" w:afterAutospacing="0" w:before="0" w:beforeAutospacing="0" w:line="458.1818181818182" w:lineRule="auto"/>
        <w:ind w:left="1180" w:hanging="360"/>
        <w:rPr>
          <w:rFonts w:ascii="Georgia" w:cs="Georgia" w:eastAsia="Georgia" w:hAnsi="Georgia"/>
          <w:color w:val="292929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26"/>
          <w:szCs w:val="26"/>
          <w:highlight w:val="white"/>
          <w:rtl w:val="0"/>
        </w:rPr>
        <w:t xml:space="preserve">Currency</w:t>
      </w:r>
      <w:r w:rsidDel="00000000" w:rsidR="00000000" w:rsidRPr="00000000">
        <w:rPr>
          <w:rFonts w:ascii="Georgia" w:cs="Georgia" w:eastAsia="Georgia" w:hAnsi="Georgia"/>
          <w:color w:val="292929"/>
          <w:sz w:val="26"/>
          <w:szCs w:val="26"/>
          <w:highlight w:val="white"/>
          <w:rtl w:val="0"/>
        </w:rPr>
        <w:t xml:space="preserve">: ONE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spacing w:after="0" w:before="0" w:beforeAutospacing="0" w:line="458.1818181818182" w:lineRule="auto"/>
        <w:ind w:left="1180" w:hanging="360"/>
        <w:rPr>
          <w:rFonts w:ascii="Georgia" w:cs="Georgia" w:eastAsia="Georgia" w:hAnsi="Georgia"/>
          <w:color w:val="292929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26"/>
          <w:szCs w:val="26"/>
          <w:highlight w:val="white"/>
          <w:rtl w:val="0"/>
        </w:rPr>
        <w:t xml:space="preserve">Explorer</w:t>
      </w:r>
      <w:r w:rsidDel="00000000" w:rsidR="00000000" w:rsidRPr="00000000">
        <w:rPr>
          <w:rFonts w:ascii="Georgia" w:cs="Georgia" w:eastAsia="Georgia" w:hAnsi="Georgia"/>
          <w:color w:val="292929"/>
          <w:sz w:val="26"/>
          <w:szCs w:val="26"/>
          <w:highlight w:val="white"/>
          <w:rtl w:val="0"/>
        </w:rPr>
        <w:t xml:space="preserve">: </w:t>
      </w:r>
      <w:hyperlink r:id="rId13">
        <w:r w:rsidDel="00000000" w:rsidR="00000000" w:rsidRPr="00000000">
          <w:rPr>
            <w:rFonts w:ascii="Georgia" w:cs="Georgia" w:eastAsia="Georgia" w:hAnsi="Georgia"/>
            <w:color w:val="1155cc"/>
            <w:sz w:val="26"/>
            <w:szCs w:val="26"/>
            <w:highlight w:val="white"/>
            <w:u w:val="single"/>
            <w:rtl w:val="0"/>
          </w:rPr>
          <w:t xml:space="preserve">https://explorer.harmony.one/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2f2f2" w:val="clear"/>
        <w:spacing w:before="840" w:lineRule="auto"/>
        <w:rPr>
          <w:rFonts w:ascii="Georgia" w:cs="Georgia" w:eastAsia="Georgia" w:hAnsi="Georgia"/>
          <w:color w:val="1155cc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Georgia" w:cs="Georgia" w:eastAsia="Georgia" w:hAnsi="Georgia"/>
          <w:color w:val="1155cc"/>
          <w:sz w:val="26"/>
          <w:szCs w:val="26"/>
          <w:highlight w:val="white"/>
          <w:u w:val="single"/>
        </w:rPr>
        <w:drawing>
          <wp:inline distB="114300" distT="114300" distL="114300" distR="114300">
            <wp:extent cx="3248025" cy="43243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432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0" w:before="600" w:line="523.6363636363636" w:lineRule="auto"/>
        <w:rPr>
          <w:rFonts w:ascii="Georgia" w:cs="Georgia" w:eastAsia="Georgia" w:hAnsi="Georgia"/>
          <w:color w:val="292929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92929"/>
          <w:sz w:val="26"/>
          <w:szCs w:val="26"/>
          <w:highlight w:val="white"/>
          <w:rtl w:val="0"/>
        </w:rPr>
        <w:t xml:space="preserve">Click </w:t>
      </w:r>
      <w:r w:rsidDel="00000000" w:rsidR="00000000" w:rsidRPr="00000000">
        <w:rPr>
          <w:rFonts w:ascii="Georgia" w:cs="Georgia" w:eastAsia="Georgia" w:hAnsi="Georgia"/>
          <w:b w:val="1"/>
          <w:color w:val="292929"/>
          <w:sz w:val="26"/>
          <w:szCs w:val="26"/>
          <w:highlight w:val="white"/>
          <w:rtl w:val="0"/>
        </w:rPr>
        <w:t xml:space="preserve">Save</w:t>
      </w:r>
      <w:r w:rsidDel="00000000" w:rsidR="00000000" w:rsidRPr="00000000">
        <w:rPr>
          <w:rFonts w:ascii="Georgia" w:cs="Georgia" w:eastAsia="Georgia" w:hAnsi="Georgia"/>
          <w:color w:val="292929"/>
          <w:sz w:val="26"/>
          <w:szCs w:val="26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0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For Mobile:</w:t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Basically the same - but you’ll find the settings in the settings menu instead of “right there”. (I think - idk i don’t use mobile metamask)</w:t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spacing w:line="431.99999999999994" w:lineRule="auto"/>
        <w:jc w:val="center"/>
        <w:rPr>
          <w:sz w:val="24"/>
          <w:szCs w:val="24"/>
        </w:rPr>
      </w:pPr>
      <w:bookmarkStart w:colFirst="0" w:colLast="0" w:name="_fh5wf3hoghm4" w:id="2"/>
      <w:bookmarkEnd w:id="2"/>
      <w:r w:rsidDel="00000000" w:rsidR="00000000" w:rsidRPr="00000000">
        <w:rPr>
          <w:rtl w:val="0"/>
        </w:rPr>
        <w:t xml:space="preserve">Step 3: Adding Almendrian Credit</w:t>
        <w:br w:type="textWrapping"/>
        <w:t xml:space="preserve">(DO THIS WITH HARMONY MAINNET INSTEAD OF ETHEREUM MAINNET. </w:t>
      </w:r>
      <w:r w:rsidDel="00000000" w:rsidR="00000000" w:rsidRPr="00000000">
        <w:rPr>
          <w:b w:val="1"/>
          <w:rtl w:val="0"/>
        </w:rPr>
        <w:t xml:space="preserve">IT WILL NOT WORK OTHERWISE)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Open the MetaMask extension in your web browser</w:t>
      </w:r>
    </w:p>
    <w:p w:rsidR="00000000" w:rsidDel="00000000" w:rsidP="00000000" w:rsidRDefault="00000000" w:rsidRPr="00000000" w14:paraId="00000025">
      <w:pPr>
        <w:pStyle w:val="Heading1"/>
        <w:numPr>
          <w:ilvl w:val="0"/>
          <w:numId w:val="2"/>
        </w:numPr>
        <w:shd w:fill="ffffff" w:val="clear"/>
        <w:spacing w:after="0" w:afterAutospacing="0" w:before="240" w:line="431.99999999999994" w:lineRule="auto"/>
        <w:ind w:left="720" w:hanging="360"/>
      </w:pPr>
      <w:bookmarkStart w:colFirst="0" w:colLast="0" w:name="_fh5wf3hoghm4" w:id="2"/>
      <w:bookmarkEnd w:id="2"/>
      <w:r w:rsidDel="00000000" w:rsidR="00000000" w:rsidRPr="00000000">
        <w:rPr>
          <w:sz w:val="24"/>
          <w:szCs w:val="24"/>
          <w:rtl w:val="0"/>
        </w:rPr>
        <w:t xml:space="preserve">Select the Assets tab.</w:t>
      </w:r>
    </w:p>
    <w:p w:rsidR="00000000" w:rsidDel="00000000" w:rsidP="00000000" w:rsidRDefault="00000000" w:rsidRPr="00000000" w14:paraId="00000026">
      <w:pPr>
        <w:pStyle w:val="Heading1"/>
        <w:numPr>
          <w:ilvl w:val="0"/>
          <w:numId w:val="2"/>
        </w:numPr>
        <w:shd w:fill="ffffff" w:val="clear"/>
        <w:spacing w:after="0" w:afterAutospacing="0" w:before="0" w:beforeAutospacing="0" w:line="431.99999999999994" w:lineRule="auto"/>
        <w:ind w:left="720" w:hanging="360"/>
      </w:pPr>
      <w:bookmarkStart w:colFirst="0" w:colLast="0" w:name="_fh5wf3hoghm4" w:id="2"/>
      <w:bookmarkEnd w:id="2"/>
      <w:r w:rsidDel="00000000" w:rsidR="00000000" w:rsidRPr="00000000">
        <w:rPr>
          <w:sz w:val="24"/>
          <w:szCs w:val="24"/>
          <w:rtl w:val="0"/>
        </w:rPr>
        <w:t xml:space="preserve">Scroll down and click Import tokens.</w:t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857500" cy="4787900"/>
            <wp:effectExtent b="0" l="0" r="0" t="0"/>
            <wp:docPr descr="MM_IMPORT.png" id="7" name="image7.png"/>
            <a:graphic>
              <a:graphicData uri="http://schemas.openxmlformats.org/drawingml/2006/picture">
                <pic:pic>
                  <pic:nvPicPr>
                    <pic:cNvPr descr="MM_IMPORT.png"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78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numPr>
          <w:ilvl w:val="0"/>
          <w:numId w:val="2"/>
        </w:numPr>
        <w:shd w:fill="ffffff" w:val="clear"/>
        <w:spacing w:after="240" w:before="0" w:beforeAutospacing="0" w:line="431.99999999999994" w:lineRule="auto"/>
        <w:ind w:left="720" w:hanging="360"/>
      </w:pPr>
      <w:bookmarkStart w:colFirst="0" w:colLast="0" w:name="_xijdnbzckq2t" w:id="3"/>
      <w:bookmarkEnd w:id="3"/>
      <w:r w:rsidDel="00000000" w:rsidR="00000000" w:rsidRPr="00000000">
        <w:rPr>
          <w:sz w:val="24"/>
          <w:szCs w:val="24"/>
          <w:rtl w:val="0"/>
        </w:rPr>
        <w:t xml:space="preserve">Select the Custom Token tab.</w:t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857500" cy="4787900"/>
            <wp:effectExtent b="0" l="0" r="0" t="0"/>
            <wp:docPr descr="MM_IMPORT_3.png" id="2" name="image5.png"/>
            <a:graphic>
              <a:graphicData uri="http://schemas.openxmlformats.org/drawingml/2006/picture">
                <pic:pic>
                  <pic:nvPicPr>
                    <pic:cNvPr descr="MM_IMPORT_3.png"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78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i w:val="1"/>
          <w:color w:val="24272a"/>
          <w:sz w:val="48"/>
          <w:szCs w:val="48"/>
          <w:highlight w:val="white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INSERT THE FOLLOWING VALUES:</w:t>
        <w:br w:type="textWrapping"/>
        <w:t xml:space="preserve">Token Contract Address: </w:t>
      </w:r>
      <w:r w:rsidDel="00000000" w:rsidR="00000000" w:rsidRPr="00000000">
        <w:rPr>
          <w:i w:val="1"/>
          <w:color w:val="24272a"/>
          <w:sz w:val="24"/>
          <w:szCs w:val="24"/>
          <w:rtl w:val="0"/>
        </w:rPr>
        <w:t xml:space="preserve">0x3d98bbadd4531e472Bbb86f37D23D19897Bf2E6a</w:t>
        <w:br w:type="textWrapping"/>
        <w:t xml:space="preserve">Token Symbol: </w:t>
      </w:r>
      <w:r w:rsidDel="00000000" w:rsidR="00000000" w:rsidRPr="00000000">
        <w:rPr>
          <w:rFonts w:ascii="Roboto" w:cs="Roboto" w:eastAsia="Roboto" w:hAnsi="Roboto"/>
          <w:i w:val="1"/>
          <w:color w:val="24272a"/>
          <w:sz w:val="48"/>
          <w:szCs w:val="48"/>
          <w:highlight w:val="white"/>
          <w:rtl w:val="0"/>
        </w:rPr>
        <w:t xml:space="preserve">A¢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i w:val="1"/>
          <w:color w:val="24272a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i w:val="1"/>
          <w:color w:val="24272a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i w:val="1"/>
          <w:color w:val="24272a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i w:val="1"/>
          <w:color w:val="24272a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i w:val="1"/>
          <w:color w:val="24272a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i w:val="1"/>
          <w:color w:val="24272a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spacing w:line="431.99999999999994" w:lineRule="auto"/>
        <w:jc w:val="center"/>
        <w:rPr/>
      </w:pPr>
      <w:bookmarkStart w:colFirst="0" w:colLast="0" w:name="_qn4oi38jmgvz" w:id="4"/>
      <w:bookmarkEnd w:id="4"/>
      <w:r w:rsidDel="00000000" w:rsidR="00000000" w:rsidRPr="00000000">
        <w:rPr>
          <w:rtl w:val="0"/>
        </w:rPr>
        <w:t xml:space="preserve">Step 4: The Free Market (Optional!)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The Almendrian Credit, as a full-fledged cryptocurrency, is fully tradeable on the Free Market of SushiSwap.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To exchange Credits for ONE, which can later be exchanged to USD directly, you must go to the following link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Swap | Sushi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(The link is already preset with the currency exchange ONE-AC, so you won’t have to add it as a custom token)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After that, link your MetaMask to SushiSwap - and you’re done!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spacing w:line="431.99999999999994" w:lineRule="auto"/>
        <w:jc w:val="center"/>
        <w:rPr/>
      </w:pPr>
      <w:bookmarkStart w:colFirst="0" w:colLast="0" w:name="_f90661b7lt99" w:id="5"/>
      <w:bookmarkEnd w:id="5"/>
      <w:r w:rsidDel="00000000" w:rsidR="00000000" w:rsidRPr="00000000">
        <w:rPr>
          <w:rtl w:val="0"/>
        </w:rPr>
        <w:t xml:space="preserve">Step 5: Investing and Making Money (Optional!)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If you’ve done step 1-4, you are applicable to recieve a grant of 100 Credits (Equivalent to 0.0001 USD) to invest or use as you please. To invest, you may become a Liquidity Provider, by clicking this link and then inserting your desired values.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DM TIZIAN TO RECIEVE THIS GRANT 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It should look like this</w:t>
        <w:br w:type="textWrapping"/>
      </w:r>
      <w:r w:rsidDel="00000000" w:rsidR="00000000" w:rsidRPr="00000000">
        <w:rPr/>
        <w:drawing>
          <wp:inline distB="114300" distT="114300" distL="114300" distR="114300">
            <wp:extent cx="3593218" cy="337285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3218" cy="3372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sz w:val="40"/>
          <w:szCs w:val="40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PS: YOU CAN GET FREE ONE TO EXCHANGE INTO CREDITS THROUGH HARMONY FAUCET</w:t>
        </w:r>
      </w:hyperlink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sz w:val="40"/>
          <w:szCs w:val="40"/>
          <w:rtl w:val="0"/>
        </w:rPr>
        <w:t xml:space="preserve">Step 6: Physical Currency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While Almendria currently does not have physical currency, there are coins being planned, including nickel, plastic, gold, and silver coins.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They shall be exchangeable at the Bank of Almendria (BoA) for the following prices.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Almendrian physical currency shall be known as the Revcoin, standing for Revolution Coin.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righ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righ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RevCoins made out of any other materials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 Credits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Plastic Almendrian RevCoin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1000 Credits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Nickel Almendrian RevCoin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10000 Credits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Silver Almendrian RevCoin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50000 Credits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Gold Almendrian RevCoin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100000 Credits</w:t>
            </w:r>
          </w:p>
        </w:tc>
      </w:tr>
    </w:tbl>
    <w:p w:rsidR="00000000" w:rsidDel="00000000" w:rsidP="00000000" w:rsidRDefault="00000000" w:rsidRPr="00000000" w14:paraId="0000005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ALONG WITH AN INITIAL 100.000 CREDITS MINTED, ANY FURTHER CREDITS MUST ONLY BE MINTED WITH AN EQUIVALENT MINTING OF REVCOINS.</w:t>
      </w:r>
    </w:p>
    <w:p w:rsidR="00000000" w:rsidDel="00000000" w:rsidP="00000000" w:rsidRDefault="00000000" w:rsidRPr="00000000" w14:paraId="0000005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3" Type="http://schemas.openxmlformats.org/officeDocument/2006/relationships/hyperlink" Target="https://explorer.harmony.one/#/" TargetMode="External"/><Relationship Id="rId12" Type="http://schemas.openxmlformats.org/officeDocument/2006/relationships/hyperlink" Target="https://api.harmony.on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pps.apple.com/us/app/metamask-blockchain-wallet/id1438144202" TargetMode="External"/><Relationship Id="rId15" Type="http://schemas.openxmlformats.org/officeDocument/2006/relationships/image" Target="media/image7.png"/><Relationship Id="rId14" Type="http://schemas.openxmlformats.org/officeDocument/2006/relationships/image" Target="media/image2.png"/><Relationship Id="rId17" Type="http://schemas.openxmlformats.org/officeDocument/2006/relationships/hyperlink" Target="https://app.sushi.com/swap?inputCurrency=ETH&amp;outputCurrency=0x3d98bbadd4531e472Bbb86f37D23D19897Bf2E6a&amp;chainId=1666600000" TargetMode="External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hyperlink" Target="https://harmony.supply/" TargetMode="External"/><Relationship Id="rId6" Type="http://schemas.openxmlformats.org/officeDocument/2006/relationships/image" Target="media/image6.png"/><Relationship Id="rId18" Type="http://schemas.openxmlformats.org/officeDocument/2006/relationships/image" Target="media/image4.png"/><Relationship Id="rId7" Type="http://schemas.openxmlformats.org/officeDocument/2006/relationships/hyperlink" Target="https://chrome.google.com/webstore/detail/metamask/nkbihfbeogaeaoehlefnkodbefgpgknn?hl=es" TargetMode="External"/><Relationship Id="rId8" Type="http://schemas.openxmlformats.org/officeDocument/2006/relationships/hyperlink" Target="https://play.google.com/store/apps/details?id=io.metamask&amp;gl=U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