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Pinyon Script" w:cs="Pinyon Script" w:eastAsia="Pinyon Script" w:hAnsi="Pinyon Script"/>
          <w:sz w:val="50"/>
          <w:szCs w:val="50"/>
        </w:rPr>
      </w:pPr>
      <w:r w:rsidDel="00000000" w:rsidR="00000000" w:rsidRPr="00000000">
        <w:rPr>
          <w:sz w:val="60"/>
          <w:szCs w:val="60"/>
          <w:rtl w:val="0"/>
        </w:rPr>
        <w:t xml:space="preserve">UNIVERSAL BASIC INCOME 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23 November 2022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Be it enacted by the people of the Union on 22 November 2022, that—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50.0" w:type="dxa"/>
        <w:jc w:val="left"/>
        <w:tblInd w:w="1440.0" w:type="dxa"/>
        <w:tblLayout w:type="fixed"/>
        <w:tblLook w:val="0600"/>
      </w:tblPr>
      <w:tblGrid>
        <w:gridCol w:w="750"/>
        <w:gridCol w:w="5700"/>
        <w:tblGridChange w:id="0">
          <w:tblGrid>
            <w:gridCol w:w="750"/>
            <w:gridCol w:w="57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§1.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name of this act is the Universal Basic Income 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§2.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Hereby establishes an Universal Basic Income.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§3.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ind w:left="0" w:right="30" w:firstLine="0"/>
              <w:rPr/>
            </w:pPr>
            <w:r w:rsidDel="00000000" w:rsidR="00000000" w:rsidRPr="00000000">
              <w:rPr>
                <w:rtl w:val="0"/>
              </w:rPr>
              <w:t xml:space="preserve">That income shall be claimed on the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GoodDollars Platform</w:t>
              </w:r>
            </w:hyperlink>
            <w:r w:rsidDel="00000000" w:rsidR="00000000" w:rsidRPr="00000000">
              <w:rPr>
                <w:rtl w:val="0"/>
              </w:rPr>
              <w:t xml:space="preserve">, and shall be immediately exchangeable to Socialist Credits or the currency of any Autonomous Republics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Approved by General Secretary Tizian Aruna.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3600" w:top="3600" w:left="1440" w:right="2160" w:header="2160" w:footer="286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inyon Script">
    <w:embedRegular w:fontKey="{00000000-0000-0000-0000-000000000000}" r:id="rId1" w:subsetted="0"/>
  </w:font>
  <w:font w:name="Old Standard T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jc w:val="center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jc w:val="center"/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UNITED SOCIALIST REPUBLICS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jc w:val="center"/>
      <w:rPr>
        <w:rFonts w:ascii="Pinyon Script" w:cs="Pinyon Script" w:eastAsia="Pinyon Script" w:hAnsi="Pinyon Script"/>
        <w:sz w:val="14"/>
        <w:szCs w:val="14"/>
      </w:rPr>
    </w:pPr>
    <w:r w:rsidDel="00000000" w:rsidR="00000000" w:rsidRPr="00000000">
      <w:rPr>
        <w:rtl w:val="0"/>
      </w:rPr>
      <w:t xml:space="preserve">UNIVERSAL BASIC INCOME ACT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jc w:val="center"/>
      <w:rPr>
        <w:sz w:val="50"/>
        <w:szCs w:val="5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jc w:val="center"/>
      <w:rPr>
        <w:sz w:val="30"/>
        <w:szCs w:val="3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jc w:val="center"/>
      <w:rPr/>
    </w:pPr>
    <w:r w:rsidDel="00000000" w:rsidR="00000000" w:rsidRPr="00000000">
      <w:rPr>
        <w:sz w:val="50"/>
        <w:szCs w:val="50"/>
      </w:rPr>
      <w:drawing>
        <wp:inline distB="114300" distT="114300" distL="114300" distR="114300">
          <wp:extent cx="1995488" cy="199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5488" cy="199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ld Standard TT" w:cs="Old Standard TT" w:eastAsia="Old Standard TT" w:hAnsi="Old Standard TT"/>
        <w:sz w:val="24"/>
        <w:szCs w:val="24"/>
        <w:lang w:val="en"/>
      </w:rPr>
    </w:rPrDefault>
    <w:pPrDefault>
      <w:pPr>
        <w:ind w:left="144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allet.gooddollar.org/?inviteCode=2d4rytj73X&amp;campaign=basic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OldStandardTT-regular.ttf"/><Relationship Id="rId3" Type="http://schemas.openxmlformats.org/officeDocument/2006/relationships/font" Target="fonts/OldStandardTT-bold.ttf"/><Relationship Id="rId4" Type="http://schemas.openxmlformats.org/officeDocument/2006/relationships/font" Target="fonts/OldStandardTT-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