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50"/>
          <w:szCs w:val="50"/>
        </w:rPr>
      </w:pPr>
      <w:r w:rsidDel="00000000" w:rsidR="00000000" w:rsidRPr="00000000">
        <w:rPr>
          <w:rtl w:val="0"/>
        </w:rPr>
      </w:r>
    </w:p>
    <w:p w:rsidR="00000000" w:rsidDel="00000000" w:rsidP="00000000" w:rsidRDefault="00000000" w:rsidRPr="00000000" w14:paraId="00000002">
      <w:pPr>
        <w:pageBreakBefore w:val="0"/>
        <w:jc w:val="center"/>
        <w:rPr>
          <w:rFonts w:ascii="Pinyon Script" w:cs="Pinyon Script" w:eastAsia="Pinyon Script" w:hAnsi="Pinyon Script"/>
          <w:sz w:val="50"/>
          <w:szCs w:val="50"/>
        </w:rPr>
      </w:pPr>
      <w:r w:rsidDel="00000000" w:rsidR="00000000" w:rsidRPr="00000000">
        <w:rPr>
          <w:sz w:val="60"/>
          <w:szCs w:val="60"/>
          <w:rtl w:val="0"/>
        </w:rPr>
        <w:t xml:space="preserve">TERMS AND CONDITIONS</w:t>
      </w:r>
      <w:r w:rsidDel="00000000" w:rsidR="00000000" w:rsidRPr="00000000">
        <w:rPr>
          <w:rtl w:val="0"/>
        </w:rPr>
      </w:r>
    </w:p>
    <w:p w:rsidR="00000000" w:rsidDel="00000000" w:rsidP="00000000" w:rsidRDefault="00000000" w:rsidRPr="00000000" w14:paraId="00000003">
      <w:pPr>
        <w:pageBreakBefore w:val="0"/>
        <w:jc w:val="center"/>
        <w:rPr>
          <w:sz w:val="50"/>
          <w:szCs w:val="50"/>
        </w:rPr>
      </w:pPr>
      <w:r w:rsidDel="00000000" w:rsidR="00000000" w:rsidRPr="00000000">
        <w:rPr>
          <w:rtl w:val="0"/>
        </w:rPr>
      </w:r>
    </w:p>
    <w:p w:rsidR="00000000" w:rsidDel="00000000" w:rsidP="00000000" w:rsidRDefault="00000000" w:rsidRPr="00000000" w14:paraId="00000004">
      <w:pPr>
        <w:pageBreakBefore w:val="0"/>
        <w:jc w:val="center"/>
        <w:rPr>
          <w:sz w:val="50"/>
          <w:szCs w:val="50"/>
        </w:rPr>
      </w:pPr>
      <w:r w:rsidDel="00000000" w:rsidR="00000000" w:rsidRPr="00000000">
        <w:rPr>
          <w:sz w:val="50"/>
          <w:szCs w:val="50"/>
          <w:rtl w:val="0"/>
        </w:rPr>
        <w:t xml:space="preserve">26 August 2020</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is a legally binding contract between you and the Almendria Government Limited (henceforth “Almendria”, or any legal successors), enforceable under the laws of the State of California and the United States of America.</w:t>
      </w:r>
    </w:p>
    <w:p w:rsidR="00000000" w:rsidDel="00000000" w:rsidP="00000000" w:rsidRDefault="00000000" w:rsidRPr="00000000" w14:paraId="00000008">
      <w:pPr>
        <w:pageBreakBefore w:val="0"/>
        <w:rPr/>
      </w:pPr>
      <w:r w:rsidDel="00000000" w:rsidR="00000000" w:rsidRPr="00000000">
        <w:rPr>
          <w:rtl w:val="0"/>
        </w:rPr>
      </w:r>
    </w:p>
    <w:tbl>
      <w:tblPr>
        <w:tblStyle w:val="Table1"/>
        <w:tblW w:w="6450.0" w:type="dxa"/>
        <w:jc w:val="left"/>
        <w:tblInd w:w="1440.0" w:type="dxa"/>
        <w:tblLayout w:type="fixed"/>
        <w:tblLook w:val="0600"/>
      </w:tblPr>
      <w:tblGrid>
        <w:gridCol w:w="750"/>
        <w:gridCol w:w="5700"/>
        <w:tblGridChange w:id="0">
          <w:tblGrid>
            <w:gridCol w:w="750"/>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ind w:left="0" w:firstLine="0"/>
              <w:rPr/>
            </w:pPr>
            <w:r w:rsidDel="00000000" w:rsidR="00000000" w:rsidRPr="00000000">
              <w:rPr>
                <w:rtl w:val="0"/>
              </w:rPr>
              <w:t xml:space="preserve">I subject myself to these terms and conditions for my entire life, or if Almendria and any legal successor dissolves.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ind w:left="0" w:firstLine="0"/>
              <w:rPr/>
            </w:pPr>
            <w:r w:rsidDel="00000000" w:rsidR="00000000" w:rsidRPr="00000000">
              <w:rPr>
                <w:rtl w:val="0"/>
              </w:rPr>
              <w:t xml:space="preserve">I will follow and abide by the current rules, acts, and policies that are legally passed by the Almendria under its Constitution Act, or to any successor to the Almendria. I will accept and follow through with any punishment or obligation that is legally placed upon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ind w:left="0" w:firstLine="0"/>
              <w:rPr/>
            </w:pPr>
            <w:r w:rsidDel="00000000" w:rsidR="00000000" w:rsidRPr="00000000">
              <w:rPr>
                <w:rtl w:val="0"/>
              </w:rPr>
              <w:t xml:space="preserve">I will not commit any espionage or engage in any clandestine operations against Almendria. I agree that if I am found to commit espionage or engage in clandestine operations against Almendria, I will pay a minimum of one thousand United States Dollars to Almendria.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ind w:left="0" w:firstLine="0"/>
              <w:rPr/>
            </w:pPr>
            <w:r w:rsidDel="00000000" w:rsidR="00000000" w:rsidRPr="00000000">
              <w:rPr>
                <w:rtl w:val="0"/>
              </w:rPr>
              <w:t xml:space="preserve">I agree to pay any and all lawyers’ fees in the case that any litigation that is made against me or any case that arises between Almendria and me relating to these terms and conditions or any rules, acts, and policies that I am subjecting myself to.</w:t>
            </w:r>
          </w:p>
        </w:tc>
      </w:tr>
    </w:tbl>
    <w:p w:rsidR="00000000" w:rsidDel="00000000" w:rsidP="00000000" w:rsidRDefault="00000000" w:rsidRPr="00000000" w14:paraId="00000011">
      <w:pPr>
        <w:pageBreakBefore w:val="0"/>
        <w:rPr>
          <w:sz w:val="2"/>
          <w:szCs w:val="2"/>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3600" w:top="3600" w:left="1440" w:right="2160" w:header="2160" w:footer="28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inyon Script">
    <w:embedRegular w:fontKey="{00000000-0000-0000-0000-000000000000}" r:id="rId1" w:subsetted="0"/>
  </w:font>
  <w:font w:name="Old Standard TT">
    <w:embedRegular w:fontKey="{00000000-0000-0000-0000-000000000000}" r:id="rId2" w:subsetted="0"/>
    <w:embedBold w:fontKey="{00000000-0000-0000-0000-000000000000}" r:id="rId3" w:subsetted="0"/>
    <w:embe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jc w:val="center"/>
      <w:rPr>
        <w:sz w:val="30"/>
        <w:szCs w:val="30"/>
      </w:rPr>
    </w:pPr>
    <w:r w:rsidDel="00000000" w:rsidR="00000000" w:rsidRPr="00000000">
      <w:rPr>
        <w:sz w:val="30"/>
        <w:szCs w:val="30"/>
        <w:rtl w:val="0"/>
      </w:rPr>
      <w:t xml:space="preserve">ALMENDRIAN GOVERNMENT LIMITED</w:t>
    </w:r>
    <w:r w:rsidDel="00000000" w:rsidR="00000000" w:rsidRPr="00000000">
      <w:rPr>
        <w:rtl w:val="0"/>
      </w:rPr>
    </w:r>
  </w:p>
  <w:p w:rsidR="00000000" w:rsidDel="00000000" w:rsidP="00000000" w:rsidRDefault="00000000" w:rsidRPr="00000000" w14:paraId="00000013">
    <w:pPr>
      <w:pageBreakBefore w:val="0"/>
      <w:jc w:val="center"/>
      <w:rPr>
        <w:sz w:val="30"/>
        <w:szCs w:val="30"/>
      </w:rPr>
    </w:pPr>
    <w:r w:rsidDel="00000000" w:rsidR="00000000" w:rsidRPr="00000000">
      <w:rPr>
        <w:sz w:val="30"/>
        <w:szCs w:val="30"/>
        <w:rtl w:val="0"/>
      </w:rPr>
      <w:t xml:space="preserve">Terms and Conditions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jc w:val="center"/>
      <w:rPr/>
    </w:pPr>
    <w:r w:rsidDel="00000000" w:rsidR="00000000" w:rsidRPr="00000000">
      <w:rPr>
        <w:sz w:val="50"/>
        <w:szCs w:val="50"/>
      </w:rPr>
      <w:drawing>
        <wp:inline distB="114300" distT="114300" distL="114300" distR="114300">
          <wp:extent cx="1995488" cy="199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488" cy="199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ld Standard TT" w:cs="Old Standard TT" w:eastAsia="Old Standard TT" w:hAnsi="Old Standard TT"/>
        <w:sz w:val="24"/>
        <w:szCs w:val="24"/>
        <w:lang w:val="en"/>
      </w:rPr>
    </w:rPrDefault>
    <w:pPrDefault>
      <w:pPr>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OldStandardTT-regular.ttf"/><Relationship Id="rId3" Type="http://schemas.openxmlformats.org/officeDocument/2006/relationships/font" Target="fonts/OldStandardTT-bold.ttf"/><Relationship Id="rId4" Type="http://schemas.openxmlformats.org/officeDocument/2006/relationships/font" Target="fonts/OldStandardTT-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