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E84E0F"/>
          <w:sz w:val="72"/>
          <w:szCs w:val="72"/>
        </w:rPr>
        <w:t xml:space="preserve">QCO.</w:t>
      </w:r>
    </w:p>
    <w:p>
      <w:pPr>
        <w:spacing w:after="80"/>
        <w:jc w:val="center"/>
      </w:pPr>
      <w:r>
        <w:rPr>
          <w:b/>
          <w:bCs/>
          <w:sz w:val="40"/>
          <w:szCs w:val="40"/>
        </w:rPr>
        <w:t xml:space="preserve">MATERIAL MANAGEMENT SYSTEM</w:t>
      </w:r>
    </w:p>
    <w:p>
      <w:pPr>
        <w:spacing w:after="400"/>
        <w:jc w:val="center"/>
      </w:pPr>
      <w:r>
        <w:rPr>
          <w:b/>
          <w:bCs/>
          <w:color w:val="555555"/>
          <w:sz w:val="32"/>
          <w:szCs w:val="32"/>
        </w:rPr>
        <w:t xml:space="preserve">USER MANUAL</w:t>
      </w:r>
    </w:p>
    <w:p>
      <w:pPr>
        <w:spacing w:after="80"/>
        <w:jc w:val="center"/>
      </w:pPr>
      <w:r>
        <w:rPr>
          <w:sz w:val="24"/>
          <w:szCs w:val="24"/>
        </w:rPr>
        <w:t xml:space="preserve">Version 1.0  ·  June 2026</w:t>
      </w:r>
    </w:p>
    <w:p>
      <w:pPr>
        <w:spacing w:after="600"/>
        <w:jc w:val="center"/>
      </w:pPr>
      <w:r>
        <w:rPr>
          <w:i/>
          <w:iCs/>
          <w:color w:val="777777"/>
          <w:sz w:val="22"/>
          <w:szCs w:val="22"/>
        </w:rPr>
        <w:t xml:space="preserve">Covers modules through: Expediting &amp; VDRL</w:t>
      </w:r>
    </w:p>
    <w:p>
      <w:pPr>
        <w:spacing w:after="40"/>
        <w:jc w:val="center"/>
      </w:pPr>
      <w:r>
        <w:rPr>
          <w:b/>
          <w:bCs/>
          <w:sz w:val="22"/>
          <w:szCs w:val="22"/>
        </w:rPr>
        <w:t xml:space="preserve">CONFIDENTIAL — QCO Group Internal Use Only</w:t>
      </w:r>
    </w:p>
    <w:p>
      <w:pPr>
        <w:jc w:val="center"/>
      </w:pPr>
      <w:r>
        <w:rPr>
          <w:color w:val="777777"/>
          <w:sz w:val="20"/>
          <w:szCs w:val="20"/>
        </w:rPr>
        <w:t xml:space="preserve">© 2026 QCO Group  ·  qcogroup.com.au</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Chapter 1 — Introduction</w:t>
      </w:r>
    </w:p>
    <w:p>
      <w:pPr>
        <w:pStyle w:val="Heading2"/>
      </w:pPr>
      <w:r>
        <w:t xml:space="preserve">1.1  About QCO MMS</w:t>
      </w:r>
    </w:p>
    <w:p>
      <w:pPr>
        <w:spacing w:after="120"/>
      </w:pPr>
      <w:r>
        <w:rPr>
          <w:b w:val="false"/>
          <w:bCs w:val="false"/>
        </w:rPr>
        <w:t xml:space="preserve">QCO MMS (Material Management System) is QCO Group's purpose-built supply chain platform for capital infrastructure projects in the energy and resources sector. It provides end-to-end visibility and control from engineering take-off through to final material receipt and certification.</w:t>
      </w:r>
    </w:p>
    <w:p>
      <w:pPr>
        <w:spacing w:after="120"/>
      </w:pPr>
      <w:r>
        <w:rPr>
          <w:b w:val="false"/>
          <w:bCs w:val="false"/>
        </w:rPr>
        <w:t xml:space="preserve">The system is designed for simultaneous use across project teams, procurement officers, expeditors, logistics officers, warehouse staff, and external vendors — all working from a single source of truth.</w:t>
      </w:r>
    </w:p>
    <w:p>
      <w:pPr>
        <w:pStyle w:val="Heading2"/>
      </w:pPr>
      <w:r>
        <w:t xml:space="preserve">1.2  Who This Manual Is For</w:t>
      </w:r>
    </w:p>
    <w:p>
      <w:pPr>
        <w:spacing w:after="120"/>
      </w:pPr>
      <w:r>
        <w:rPr>
          <w:b w:val="false"/>
          <w:bCs w:val="false"/>
        </w:rPr>
        <w:t xml:space="preserve">This manual is written for all users of QCO MMS, including:</w:t>
      </w:r>
    </w:p>
    <w:p>
      <w:pPr>
        <w:pStyle w:val="ListParagraph"/>
        <w:numPr>
          <w:ilvl w:val="0"/>
          <w:numId w:val="2"/>
        </w:numPr>
        <w:spacing w:after="40"/>
      </w:pPr>
      <w:r>
        <w:rPr>
          <w:b/>
          <w:bCs/>
        </w:rPr>
        <w:t xml:space="preserve">Internal QCO staff: </w:t>
      </w:r>
      <w:r>
        <w:rPr>
          <w:b w:val="false"/>
          <w:bCs w:val="false"/>
        </w:rPr>
        <w:t xml:space="preserve">Project Managers, Procurement Officers, Expeditors, Logistics Officers, Material Controllers, Quality Engineers, and Administrators.</w:t>
      </w:r>
    </w:p>
    <w:p>
      <w:pPr>
        <w:pStyle w:val="ListParagraph"/>
        <w:numPr>
          <w:ilvl w:val="0"/>
          <w:numId w:val="2"/>
        </w:numPr>
        <w:spacing w:after="40"/>
      </w:pPr>
      <w:r>
        <w:rPr>
          <w:b/>
          <w:bCs/>
        </w:rPr>
        <w:t xml:space="preserve">External users: </w:t>
      </w:r>
      <w:r>
        <w:rPr>
          <w:b w:val="false"/>
          <w:bCs w:val="false"/>
        </w:rPr>
        <w:t xml:space="preserve">Vendors, Freight Forwarders, Subcontractors, and Site Contractors who access the system through the vendor portal.</w:t>
      </w:r>
    </w:p>
    <w:p>
      <w:pPr>
        <w:pStyle w:val="Heading2"/>
      </w:pPr>
      <w:r>
        <w:t xml:space="preserve">1.3  System Pipeline</w:t>
      </w:r>
    </w:p>
    <w:p>
      <w:pPr>
        <w:spacing w:after="120"/>
      </w:pPr>
      <w:r>
        <w:rPr>
          <w:b w:val="false"/>
          <w:bCs w:val="false"/>
        </w:rPr>
        <w:t xml:space="preserve">Materials flow through the following pipeline in QCO MMS: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rPr>
          <w:tblHeader/>
        </w:trPr>
        <w:tc>
          <w:tcPr>
            <w:tcW w:type="dxa" w:w="14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Step</w:t>
            </w:r>
          </w:p>
        </w:tc>
        <w:tc>
          <w:tcPr>
            <w:tcW w:type="dxa" w:w="26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Module</w:t>
            </w:r>
          </w:p>
        </w:tc>
        <w:tc>
          <w:tcPr>
            <w:tcW w:type="dxa" w:w="536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What Happens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Foundational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WBS tree established. Commodity Library and Equipment List populated. Approved Vendor List (AVL) configured.</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MTO Register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Engineering take-off lines captured (qty, UOM, WBS, ROS date, inspection class). Revisions tracked.</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Procurement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Purchase Orders raised against MTO lines. Approved &amp; Locked to freeze quantities.</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Expediting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Locked POs monitored via milestone chains. VDRL documents tracked. Shipment Control Notes (SCNs) created when goods ship.</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Logistics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SCNs tracked through pickup → transit → customs → delivery pipeline.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Material Control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Inbound SCNs receipted. Stock register maintained. FMRs and transfers managed.</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Traceability</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Heat numbers and certificates verified. Trace chain maintained per tag.</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Every state change recorded immutably across all modules.</w:t>
            </w:r>
          </w:p>
        </w:tc>
      </w:tr>
    </w:tbl>
    <w:p>
      <w:r>
        <w:t xml:space="preserve"/>
      </w:r>
    </w:p>
    <w:p>
      <w:pPr>
        <w:pStyle w:val="Heading2"/>
      </w:pPr>
      <w:r>
        <w:t xml:space="preserve">1.4  User Roles</w:t>
      </w:r>
    </w:p>
    <w:p>
      <w:pPr>
        <w:spacing w:after="120"/>
      </w:pPr>
      <w:r>
        <w:rPr>
          <w:b w:val="false"/>
          <w:bCs w:val="false"/>
        </w:rPr>
        <w:t xml:space="preserve">Access in QCO MMS is controlled by role. The following roles are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Role</w:t>
            </w:r>
          </w:p>
        </w:tc>
        <w:tc>
          <w:tcPr>
            <w:tcW w:type="dxa" w:w="676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Description</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System Admin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Full access to all modules, users, and settings across all projects.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Project Manager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Full access to all modules within assigned projects.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Procurement Officer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Raises and manages Purchase Orders. Cannot approve &amp; lock.</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Senior Expeditor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Manages milestone tracking, VDRL, and SCN creation for all POs.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Junior Expeditor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Manages milestone tracking for assigned POs only.</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Logistics Officer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Tracks SCNs through the logistics pipeline.</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Materials Controller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Receipts goods, manages stock register, FMRs, and transfers.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Quality Engineer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Reviews ITP and traceability certificates.</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Engineer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Read-only access to MTO and procurement data.</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Vendor (External)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WBS-scoped view of POs and document submission portal.</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Freight Forwarder (External)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Updates ETD/ETA and status on assigned SCNs.</w:t>
            </w:r>
          </w:p>
        </w:tc>
      </w:tr>
    </w:tbl>
    <w:p>
      <w:r>
        <w:br w:type="page"/>
      </w:r>
    </w:p>
    <w:p>
      <w:pPr>
        <w:pStyle w:val="Heading1"/>
      </w:pPr>
      <w:r>
        <w:t xml:space="preserve">Chapter 2 — Getting Started</w:t>
      </w:r>
    </w:p>
    <w:p>
      <w:pPr>
        <w:pStyle w:val="Heading2"/>
      </w:pPr>
      <w:r>
        <w:t xml:space="preserve">2.1  Logging In</w:t>
      </w:r>
    </w:p>
    <w:p>
      <w:pPr>
        <w:spacing w:after="120"/>
      </w:pPr>
      <w:r>
        <w:rPr>
          <w:b w:val="false"/>
          <w:bCs w:val="false"/>
        </w:rPr>
        <w:t xml:space="preserve">Navigate to your QCO MMS URL in a web browser (Chrome recommended). Enter your email address and password, then click Sign In.</w:t>
      </w:r>
    </w:p>
    <w:p>
      <w:pPr>
        <w:pBdr>
          <w:left w:val="single" w:color="1565C0" w:sz="18" w:space="8"/>
        </w:pBdr>
        <w:spacing w:after="120" w:before="80"/>
        <w:ind w:left="180"/>
      </w:pPr>
      <w:r>
        <w:rPr>
          <w:b/>
          <w:bCs/>
          <w:color w:val="1565C0"/>
        </w:rPr>
        <w:t xml:space="preserve">NOTE: </w:t>
      </w:r>
      <w:r>
        <w:t xml:space="preserve">If you have forgotten your password, contact your System Administrator. Password reset is managed via the Admin module.</w:t>
      </w:r>
    </w:p>
    <w:p>
      <w:pPr>
        <w:pStyle w:val="Heading2"/>
      </w:pPr>
      <w:r>
        <w:t xml:space="preserve">2.2  Selecting a Project</w:t>
      </w:r>
    </w:p>
    <w:p>
      <w:pPr>
        <w:spacing w:after="120"/>
      </w:pPr>
      <w:r>
        <w:rPr>
          <w:b w:val="false"/>
          <w:bCs w:val="false"/>
        </w:rPr>
        <w:t xml:space="preserve">After login you land on the Dashboard, which lists all projects you have access to. Each project shows:</w:t>
      </w:r>
    </w:p>
    <w:p>
      <w:pPr>
        <w:pStyle w:val="ListParagraph"/>
        <w:numPr>
          <w:ilvl w:val="0"/>
          <w:numId w:val="2"/>
        </w:numPr>
        <w:spacing w:after="40"/>
      </w:pPr>
      <w:r>
        <w:rPr>
          <w:b w:val="false"/>
          <w:bCs w:val="false"/>
        </w:rPr>
        <w:t xml:space="preserve">Total POs raised</w:t>
      </w:r>
    </w:p>
    <w:p>
      <w:pPr>
        <w:pStyle w:val="ListParagraph"/>
        <w:numPr>
          <w:ilvl w:val="0"/>
          <w:numId w:val="2"/>
        </w:numPr>
        <w:spacing w:after="40"/>
      </w:pPr>
      <w:r>
        <w:rPr>
          <w:b w:val="false"/>
          <w:bCs w:val="false"/>
        </w:rPr>
        <w:t xml:space="preserve">POs at risk (amber count)</w:t>
      </w:r>
    </w:p>
    <w:p>
      <w:pPr>
        <w:pStyle w:val="ListParagraph"/>
        <w:numPr>
          <w:ilvl w:val="0"/>
          <w:numId w:val="2"/>
        </w:numPr>
        <w:spacing w:after="40"/>
      </w:pPr>
      <w:r>
        <w:rPr>
          <w:b w:val="false"/>
          <w:bCs w:val="false"/>
        </w:rPr>
        <w:t xml:space="preserve">POs breached (red count)</w:t>
      </w:r>
    </w:p>
    <w:p>
      <w:pPr>
        <w:pStyle w:val="ListParagraph"/>
        <w:numPr>
          <w:ilvl w:val="0"/>
          <w:numId w:val="2"/>
        </w:numPr>
        <w:spacing w:after="40"/>
      </w:pPr>
      <w:r>
        <w:rPr>
          <w:b w:val="false"/>
          <w:bCs w:val="false"/>
        </w:rPr>
        <w:t xml:space="preserve">Overall project status (On track / At risk / Breached / In progress)</w:t>
      </w:r>
    </w:p>
    <w:p>
      <w:pPr>
        <w:spacing w:after="120"/>
      </w:pPr>
      <w:r>
        <w:rPr>
          <w:b w:val="false"/>
          <w:bCs w:val="false"/>
        </w:rPr>
        <w:t xml:space="preserve">Click a project row to enter that project. The left sidebar will populate with all available modules for that project.</w:t>
      </w:r>
    </w:p>
    <w:p>
      <w:pPr>
        <w:pBdr>
          <w:left w:val="single" w:color="2E7D32" w:sz="18" w:space="8"/>
        </w:pBdr>
        <w:spacing w:after="120" w:before="80"/>
        <w:ind w:left="180"/>
      </w:pPr>
      <w:r>
        <w:rPr>
          <w:b/>
          <w:bCs/>
          <w:color w:val="2E7D32"/>
        </w:rPr>
        <w:t xml:space="preserve">TIP: </w:t>
      </w:r>
      <w:r>
        <w:t xml:space="preserve">You can switch projects at any time by clicking Dashboard in the left sidebar and selecting a different project.</w:t>
      </w:r>
    </w:p>
    <w:p>
      <w:pPr>
        <w:pStyle w:val="Heading2"/>
      </w:pPr>
      <w:r>
        <w:t xml:space="preserve">2.3  Navigation</w:t>
      </w:r>
    </w:p>
    <w:p>
      <w:pPr>
        <w:spacing w:after="120"/>
      </w:pPr>
      <w:r>
        <w:rPr>
          <w:b w:val="false"/>
          <w:bCs w:val="false"/>
        </w:rPr>
        <w:t xml:space="preserve">The left sidebar contains all available modules. Collapsible groups (Foundational, Material Control) can be expanded or collapsed by clicking the group header. The sidebar can be fully collapsed to a 56px icon rail by clicking the ‹ Collapse button at the bottom — click › to expand again.</w:t>
      </w:r>
    </w:p>
    <w:p>
      <w:pPr>
        <w:spacing w:after="120"/>
      </w:pPr>
      <w:r>
        <w:rPr>
          <w:b w:val="false"/>
          <w:bCs w:val="false"/>
        </w:rPr>
        <w:t xml:space="preserve">Every screen includes:</w:t>
      </w:r>
    </w:p>
    <w:p>
      <w:pPr>
        <w:pStyle w:val="ListParagraph"/>
        <w:numPr>
          <w:ilvl w:val="0"/>
          <w:numId w:val="2"/>
        </w:numPr>
        <w:spacing w:after="40"/>
      </w:pPr>
      <w:r>
        <w:rPr>
          <w:b/>
          <w:bCs/>
        </w:rPr>
        <w:t xml:space="preserve">← Back button: </w:t>
      </w:r>
      <w:r>
        <w:rPr>
          <w:b w:val="false"/>
          <w:bCs w:val="false"/>
        </w:rPr>
        <w:t xml:space="preserve">Returns to the previous screen.</w:t>
      </w:r>
    </w:p>
    <w:p>
      <w:pPr>
        <w:pStyle w:val="ListParagraph"/>
        <w:numPr>
          <w:ilvl w:val="0"/>
          <w:numId w:val="2"/>
        </w:numPr>
        <w:spacing w:after="40"/>
      </w:pPr>
      <w:r>
        <w:rPr>
          <w:b/>
          <w:bCs/>
        </w:rPr>
        <w:t xml:space="preserve">Breadcrumb trail: </w:t>
      </w:r>
      <w:r>
        <w:rPr>
          <w:b w:val="false"/>
          <w:bCs w:val="false"/>
        </w:rPr>
        <w:t xml:space="preserve">Shows your full navigation path (e.g. Dashboard › Pilbara Gas Processing Plant › Procurement › PO-2024-001). Click any breadcrumb to jump back to that level.</w:t>
      </w:r>
    </w:p>
    <w:p>
      <w:pPr>
        <w:pStyle w:val="ListParagraph"/>
        <w:numPr>
          <w:ilvl w:val="0"/>
          <w:numId w:val="2"/>
        </w:numPr>
        <w:spacing w:after="40"/>
      </w:pPr>
      <w:r>
        <w:rPr>
          <w:b/>
          <w:bCs/>
        </w:rPr>
        <w:t xml:space="preserve">? Help button: </w:t>
      </w:r>
      <w:r>
        <w:rPr>
          <w:b w:val="false"/>
          <w:bCs w:val="false"/>
        </w:rPr>
        <w:t xml:space="preserve">Opens a contextual help panel explaining the current screen.</w:t>
      </w:r>
    </w:p>
    <w:p>
      <w:pPr>
        <w:pStyle w:val="Heading2"/>
      </w:pPr>
      <w:r>
        <w:t xml:space="preserve">2.4  RAG Status Colours</w:t>
      </w:r>
    </w:p>
    <w:p>
      <w:pPr>
        <w:spacing w:after="120"/>
      </w:pPr>
      <w:r>
        <w:rPr>
          <w:b w:val="false"/>
          <w:bCs w:val="false"/>
        </w:rPr>
        <w:t xml:space="preserve">QCO MMS uses a consistent RAG (Red / Amber / Green) colour system across all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rPr>
          <w:tblHeader/>
        </w:trPr>
        <w:tc>
          <w:tcPr>
            <w:tcW w:type="dxa" w:w="14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Colour</w:t>
            </w:r>
          </w:p>
        </w:tc>
        <w:tc>
          <w:tcPr>
            <w:tcW w:type="dxa" w:w="26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Status</w:t>
            </w:r>
          </w:p>
        </w:tc>
        <w:tc>
          <w:tcPr>
            <w:tcW w:type="dxa" w:w="536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Meaning</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Green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 track</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All milestones and dates are within tolerance.</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Amber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 risk</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CDD is within the at-risk threshold (configurable per project). Escalation recommended.</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Breached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CDD has passed and delivery is not complete. Immediate action required.</w:t>
            </w:r>
          </w:p>
        </w:tc>
      </w:tr>
      <w:tr>
        <w:trPr>
          <w:tblHeader w:val="false"/>
        </w:trP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Grey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Not started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milestones or dates have been recorded yet.</w:t>
            </w:r>
          </w:p>
        </w:tc>
      </w:tr>
    </w:tbl>
    <w:p>
      <w:r>
        <w:t xml:space="preserve"/>
      </w:r>
    </w:p>
    <w:p>
      <w:pPr>
        <w:pStyle w:val="Heading2"/>
      </w:pPr>
      <w:r>
        <w:t xml:space="preserve">2.5  Display Controls</w:t>
      </w:r>
    </w:p>
    <w:p>
      <w:pPr>
        <w:spacing w:after="120"/>
      </w:pPr>
      <w:r>
        <w:rPr>
          <w:b w:val="false"/>
          <w:bCs w:val="false"/>
        </w:rPr>
        <w:t xml:space="preserve">The top-right toolbar on every screen contains the following controls:</w:t>
      </w:r>
    </w:p>
    <w:p>
      <w:pPr>
        <w:pStyle w:val="ListParagraph"/>
        <w:numPr>
          <w:ilvl w:val="0"/>
          <w:numId w:val="2"/>
        </w:numPr>
        <w:spacing w:after="40"/>
      </w:pPr>
      <w:r>
        <w:rPr>
          <w:b/>
          <w:bCs/>
        </w:rPr>
        <w:t xml:space="preserve">A- / A / A+: </w:t>
      </w:r>
      <w:r>
        <w:rPr>
          <w:b w:val="false"/>
          <w:bCs w:val="false"/>
        </w:rPr>
        <w:t xml:space="preserve">Decrease, reset, or increase text size. Preference is saved automatically.</w:t>
      </w:r>
    </w:p>
    <w:p>
      <w:pPr>
        <w:pStyle w:val="ListParagraph"/>
        <w:numPr>
          <w:ilvl w:val="0"/>
          <w:numId w:val="2"/>
        </w:numPr>
        <w:spacing w:after="40"/>
      </w:pPr>
      <w:r>
        <w:rPr>
          <w:b/>
          <w:bCs/>
        </w:rPr>
        <w:t xml:space="preserve">Light / Dark mode: </w:t>
      </w:r>
      <w:r>
        <w:rPr>
          <w:b w:val="false"/>
          <w:bCs w:val="false"/>
        </w:rPr>
        <w:t xml:space="preserve">Toggle between light and dark colour themes.</w:t>
      </w:r>
    </w:p>
    <w:p>
      <w:pPr>
        <w:pStyle w:val="ListParagraph"/>
        <w:numPr>
          <w:ilvl w:val="0"/>
          <w:numId w:val="2"/>
        </w:numPr>
        <w:spacing w:after="40"/>
      </w:pPr>
      <w:r>
        <w:rPr>
          <w:b/>
          <w:bCs/>
        </w:rPr>
        <w:t xml:space="preserve">↺ Reset: </w:t>
      </w:r>
      <w:r>
        <w:rPr>
          <w:b w:val="false"/>
          <w:bCs w:val="false"/>
        </w:rPr>
        <w:t xml:space="preserve">Resets column widths and display settings to default for the current screen.</w:t>
      </w:r>
    </w:p>
    <w:p>
      <w:pPr>
        <w:spacing w:after="120"/>
      </w:pPr>
      <w:r>
        <w:rPr>
          <w:b w:val="false"/>
          <w:bCs w:val="false"/>
        </w:rPr>
        <w:t xml:space="preserve">Tables throughout the system support:</w:t>
      </w:r>
    </w:p>
    <w:p>
      <w:pPr>
        <w:pStyle w:val="ListParagraph"/>
        <w:numPr>
          <w:ilvl w:val="0"/>
          <w:numId w:val="2"/>
        </w:numPr>
        <w:spacing w:after="40"/>
      </w:pPr>
      <w:r>
        <w:rPr>
          <w:b/>
          <w:bCs/>
        </w:rPr>
        <w:t xml:space="preserve">Resizable columns: </w:t>
      </w:r>
      <w:r>
        <w:rPr>
          <w:b w:val="false"/>
          <w:bCs w:val="false"/>
        </w:rPr>
        <w:t xml:space="preserve">Drag the orange handle on column borders to resize.</w:t>
      </w:r>
    </w:p>
    <w:p>
      <w:pPr>
        <w:pStyle w:val="ListParagraph"/>
        <w:numPr>
          <w:ilvl w:val="0"/>
          <w:numId w:val="2"/>
        </w:numPr>
        <w:spacing w:after="40"/>
      </w:pPr>
      <w:r>
        <w:rPr>
          <w:b/>
          <w:bCs/>
        </w:rPr>
        <w:t xml:space="preserve">Hover tooltips: </w:t>
      </w:r>
      <w:r>
        <w:rPr>
          <w:b w:val="false"/>
          <w:bCs w:val="false"/>
        </w:rPr>
        <w:t xml:space="preserve">Hover over truncated text to see the full value.</w:t>
      </w:r>
    </w:p>
    <w:p>
      <w:pPr>
        <w:pStyle w:val="ListParagraph"/>
        <w:numPr>
          <w:ilvl w:val="0"/>
          <w:numId w:val="2"/>
        </w:numPr>
        <w:spacing w:after="40"/>
      </w:pPr>
      <w:r>
        <w:rPr>
          <w:b/>
          <w:bCs/>
        </w:rPr>
        <w:t xml:space="preserve">Sticky headers: </w:t>
      </w:r>
      <w:r>
        <w:rPr>
          <w:b w:val="false"/>
          <w:bCs w:val="false"/>
        </w:rPr>
        <w:t xml:space="preserve">Column headers remain visible as you scroll down long tables.</w:t>
      </w:r>
    </w:p>
    <w:p>
      <w:r>
        <w:br w:type="page"/>
      </w:r>
    </w:p>
    <w:p>
      <w:pPr>
        <w:pStyle w:val="Heading1"/>
      </w:pPr>
      <w:r>
        <w:t xml:space="preserve">Chapter 3 — Admin</w:t>
      </w:r>
    </w:p>
    <w:p>
      <w:pPr>
        <w:spacing w:after="120"/>
      </w:pPr>
      <w:r>
        <w:rPr>
          <w:b w:val="false"/>
          <w:bCs w:val="false"/>
        </w:rPr>
        <w:t xml:space="preserve">The Admin module is accessible from the SYSTEM section of the left sidebar. It is available to System Administrators only.</w:t>
      </w:r>
    </w:p>
    <w:p>
      <w:pPr>
        <w:pStyle w:val="Heading2"/>
      </w:pPr>
      <w:r>
        <w:t xml:space="preserve">3.1  Users &amp; Roles</w:t>
      </w:r>
    </w:p>
    <w:p>
      <w:pPr>
        <w:spacing w:after="120"/>
      </w:pPr>
      <w:r>
        <w:rPr>
          <w:b w:val="false"/>
          <w:bCs w:val="false"/>
        </w:rPr>
        <w:t xml:space="preserve">The Users &amp; Roles tab displays all system users. You can:</w:t>
      </w:r>
    </w:p>
    <w:p>
      <w:pPr>
        <w:pStyle w:val="ListParagraph"/>
        <w:numPr>
          <w:ilvl w:val="0"/>
          <w:numId w:val="2"/>
        </w:numPr>
        <w:spacing w:after="40"/>
      </w:pPr>
      <w:r>
        <w:rPr>
          <w:b w:val="false"/>
          <w:bCs w:val="false"/>
        </w:rPr>
        <w:t xml:space="preserve">Add new users (+ Add user button)</w:t>
      </w:r>
    </w:p>
    <w:p>
      <w:pPr>
        <w:pStyle w:val="ListParagraph"/>
        <w:numPr>
          <w:ilvl w:val="0"/>
          <w:numId w:val="2"/>
        </w:numPr>
        <w:spacing w:after="40"/>
      </w:pPr>
      <w:r>
        <w:rPr>
          <w:b w:val="false"/>
          <w:bCs w:val="false"/>
        </w:rPr>
        <w:t xml:space="preserve">Edit user details, role, and project access</w:t>
      </w:r>
    </w:p>
    <w:p>
      <w:pPr>
        <w:pStyle w:val="ListParagraph"/>
        <w:numPr>
          <w:ilvl w:val="0"/>
          <w:numId w:val="2"/>
        </w:numPr>
        <w:spacing w:after="40"/>
      </w:pPr>
      <w:r>
        <w:rPr>
          <w:b w:val="false"/>
          <w:bCs w:val="false"/>
        </w:rPr>
        <w:t xml:space="preserve">Deactivate users (removes login access, preserves audit history)</w:t>
      </w:r>
    </w:p>
    <w:p>
      <w:pPr>
        <w:pStyle w:val="ListParagraph"/>
        <w:numPr>
          <w:ilvl w:val="0"/>
          <w:numId w:val="2"/>
        </w:numPr>
        <w:spacing w:after="40"/>
      </w:pPr>
      <w:r>
        <w:rPr>
          <w:b w:val="false"/>
          <w:bCs w:val="false"/>
        </w:rPr>
        <w:t xml:space="preserve">Reset passwords</w:t>
      </w:r>
    </w:p>
    <w:p>
      <w:pPr>
        <w:spacing w:after="120"/>
      </w:pPr>
      <w:r>
        <w:rPr>
          <w:b w:val="false"/>
          <w:bCs w:val="false"/>
        </w:rPr>
        <w:t xml:space="preserve">Each user has one primary role (see Section 1.4). Role permissions can be further adjusted at the individual user level via the Permission Matrix tab.</w:t>
      </w:r>
    </w:p>
    <w:p>
      <w:pPr>
        <w:pBdr>
          <w:left w:val="single" w:color="E84E0F" w:sz="18" w:space="8"/>
        </w:pBdr>
        <w:spacing w:after="120" w:before="80"/>
        <w:ind w:left="180"/>
      </w:pPr>
      <w:r>
        <w:rPr>
          <w:b/>
          <w:bCs/>
          <w:color w:val="E84E0F"/>
        </w:rPr>
        <w:t xml:space="preserve">IMPORTANT: </w:t>
      </w:r>
      <w:r>
        <w:t xml:space="preserve">Deleting a user is permanent and requires a reason and confirmation. Deactivation is recommended over deletion to preserve audit integrity.</w:t>
      </w:r>
    </w:p>
    <w:p>
      <w:pPr>
        <w:pStyle w:val="Heading2"/>
      </w:pPr>
      <w:r>
        <w:t xml:space="preserve">3.2  Suppliers / AVL</w:t>
      </w:r>
    </w:p>
    <w:p>
      <w:pPr>
        <w:spacing w:after="120"/>
      </w:pPr>
      <w:r>
        <w:rPr>
          <w:b w:val="false"/>
          <w:bCs w:val="false"/>
        </w:rPr>
        <w:t xml:space="preserve">The Approved Vendor List (AVL) tracks all suppliers. Each supplier record includes:</w:t>
      </w:r>
    </w:p>
    <w:p>
      <w:pPr>
        <w:pStyle w:val="ListParagraph"/>
        <w:numPr>
          <w:ilvl w:val="0"/>
          <w:numId w:val="2"/>
        </w:numPr>
        <w:spacing w:after="40"/>
      </w:pPr>
      <w:r>
        <w:rPr>
          <w:b/>
          <w:bCs/>
        </w:rPr>
        <w:t xml:space="preserve">AVL Status: </w:t>
      </w:r>
      <w:r>
        <w:rPr>
          <w:b w:val="false"/>
          <w:bCs w:val="false"/>
        </w:rPr>
        <w:t xml:space="preserve">Approved / Conditional / Rejected / Pending.</w:t>
      </w:r>
    </w:p>
    <w:p>
      <w:pPr>
        <w:pStyle w:val="ListParagraph"/>
        <w:numPr>
          <w:ilvl w:val="0"/>
          <w:numId w:val="2"/>
        </w:numPr>
        <w:spacing w:after="40"/>
      </w:pPr>
      <w:r>
        <w:rPr>
          <w:b w:val="false"/>
          <w:bCs w:val="false"/>
        </w:rPr>
        <w:t xml:space="preserve">Company details, ABN, website, contact information</w:t>
      </w:r>
    </w:p>
    <w:p>
      <w:pPr>
        <w:pStyle w:val="ListParagraph"/>
        <w:numPr>
          <w:ilvl w:val="0"/>
          <w:numId w:val="2"/>
        </w:numPr>
        <w:spacing w:after="40"/>
      </w:pPr>
      <w:r>
        <w:rPr>
          <w:b w:val="false"/>
          <w:bCs w:val="false"/>
        </w:rPr>
        <w:t xml:space="preserve">Commodity categories the vendor is approved for</w:t>
      </w:r>
    </w:p>
    <w:p>
      <w:pPr>
        <w:pStyle w:val="ListParagraph"/>
        <w:numPr>
          <w:ilvl w:val="0"/>
          <w:numId w:val="2"/>
        </w:numPr>
        <w:spacing w:after="40"/>
      </w:pPr>
      <w:r>
        <w:rPr>
          <w:b w:val="false"/>
          <w:bCs w:val="false"/>
        </w:rPr>
        <w:t xml:space="preserve">Qualification documents</w:t>
      </w:r>
    </w:p>
    <w:p>
      <w:pPr>
        <w:spacing w:after="120"/>
      </w:pPr>
      <w:r>
        <w:rPr>
          <w:b w:val="false"/>
          <w:bCs w:val="false"/>
        </w:rPr>
        <w:t xml:space="preserve">Suppliers added here appear in the vendor autocomplete when creating Purchase Orders.</w:t>
      </w:r>
    </w:p>
    <w:p>
      <w:pPr>
        <w:pStyle w:val="Heading2"/>
      </w:pPr>
      <w:r>
        <w:t xml:space="preserve">3.3  Settings</w:t>
      </w:r>
    </w:p>
    <w:p>
      <w:pPr>
        <w:spacing w:after="120"/>
      </w:pPr>
      <w:r>
        <w:rPr>
          <w:b w:val="false"/>
          <w:bCs w:val="false"/>
        </w:rPr>
        <w:t xml:space="preserve">System-wide configuration including:</w:t>
      </w:r>
    </w:p>
    <w:p>
      <w:pPr>
        <w:pStyle w:val="ListParagraph"/>
        <w:numPr>
          <w:ilvl w:val="0"/>
          <w:numId w:val="2"/>
        </w:numPr>
        <w:spacing w:after="40"/>
      </w:pPr>
      <w:r>
        <w:rPr>
          <w:b w:val="false"/>
          <w:bCs w:val="false"/>
        </w:rPr>
        <w:t xml:space="preserve">Project-level settings (at-risk threshold days, approval thresholds, traceability requirements)</w:t>
      </w:r>
    </w:p>
    <w:p>
      <w:pPr>
        <w:pStyle w:val="ListParagraph"/>
        <w:numPr>
          <w:ilvl w:val="0"/>
          <w:numId w:val="2"/>
        </w:numPr>
        <w:spacing w:after="40"/>
      </w:pPr>
      <w:r>
        <w:rPr>
          <w:b w:val="false"/>
          <w:bCs w:val="false"/>
        </w:rPr>
        <w:t xml:space="preserve">Currency configuration</w:t>
      </w:r>
    </w:p>
    <w:p>
      <w:pPr>
        <w:pStyle w:val="ListParagraph"/>
        <w:numPr>
          <w:ilvl w:val="0"/>
          <w:numId w:val="2"/>
        </w:numPr>
        <w:spacing w:after="40"/>
      </w:pPr>
      <w:r>
        <w:rPr>
          <w:b w:val="false"/>
          <w:bCs w:val="false"/>
        </w:rPr>
        <w:t xml:space="preserve">Package types for logistics</w:t>
      </w:r>
    </w:p>
    <w:p>
      <w:pPr>
        <w:pStyle w:val="ListParagraph"/>
        <w:numPr>
          <w:ilvl w:val="0"/>
          <w:numId w:val="2"/>
        </w:numPr>
        <w:spacing w:after="40"/>
      </w:pPr>
      <w:r>
        <w:rPr>
          <w:b w:val="false"/>
          <w:bCs w:val="false"/>
        </w:rPr>
        <w:t xml:space="preserve">Milestone templates (Standard Equipment, Bulk Materials, Instruments &amp; Electrical, Fabricated Items)</w:t>
      </w:r>
    </w:p>
    <w:p>
      <w:pPr>
        <w:pStyle w:val="Heading2"/>
      </w:pPr>
      <w:r>
        <w:t xml:space="preserve">3.4  Milestone Templates</w:t>
      </w:r>
    </w:p>
    <w:p>
      <w:pPr>
        <w:spacing w:after="120"/>
      </w:pPr>
      <w:r>
        <w:rPr>
          <w:b w:val="false"/>
          <w:bCs w:val="false"/>
        </w:rPr>
        <w:t xml:space="preserve">Milestone templates define the standard inspection and delivery steps for different material categories. Four templates are pre-configured:</w:t>
      </w:r>
    </w:p>
    <w:p>
      <w:pPr>
        <w:pStyle w:val="ListParagraph"/>
        <w:numPr>
          <w:ilvl w:val="0"/>
          <w:numId w:val="2"/>
        </w:numPr>
        <w:spacing w:after="40"/>
      </w:pPr>
      <w:r>
        <w:rPr>
          <w:b/>
          <w:bCs/>
        </w:rPr>
        <w:t xml:space="preserve">Standard Equipment: </w:t>
      </w:r>
      <w:r>
        <w:rPr>
          <w:b w:val="false"/>
          <w:bCs w:val="false"/>
        </w:rPr>
        <w:t xml:space="preserve">PO Award → Drawing approval → Material release → FAT → Ready for shipment → Delivered.</w:t>
      </w:r>
    </w:p>
    <w:p>
      <w:pPr>
        <w:pStyle w:val="ListParagraph"/>
        <w:numPr>
          <w:ilvl w:val="0"/>
          <w:numId w:val="2"/>
        </w:numPr>
        <w:spacing w:after="40"/>
      </w:pPr>
      <w:r>
        <w:rPr>
          <w:b/>
          <w:bCs/>
        </w:rPr>
        <w:t xml:space="preserve">Bulk Materials: </w:t>
      </w:r>
      <w:r>
        <w:rPr>
          <w:b w:val="false"/>
          <w:bCs w:val="false"/>
        </w:rPr>
        <w:t xml:space="preserve">PO Award → Material release → Ready for shipment → Delivered.</w:t>
      </w:r>
    </w:p>
    <w:p>
      <w:pPr>
        <w:pStyle w:val="ListParagraph"/>
        <w:numPr>
          <w:ilvl w:val="0"/>
          <w:numId w:val="2"/>
        </w:numPr>
        <w:spacing w:after="40"/>
      </w:pPr>
      <w:r>
        <w:rPr>
          <w:b/>
          <w:bCs/>
        </w:rPr>
        <w:t xml:space="preserve">Instruments &amp; Electrical: </w:t>
      </w:r>
      <w:r>
        <w:rPr>
          <w:b w:val="false"/>
          <w:bCs w:val="false"/>
        </w:rPr>
        <w:t xml:space="preserve">PO Award → Drawing approval → FAT → Ready for shipment → Delivered.</w:t>
      </w:r>
    </w:p>
    <w:p>
      <w:pPr>
        <w:pStyle w:val="ListParagraph"/>
        <w:numPr>
          <w:ilvl w:val="0"/>
          <w:numId w:val="2"/>
        </w:numPr>
        <w:spacing w:after="40"/>
      </w:pPr>
      <w:r>
        <w:rPr>
          <w:b/>
          <w:bCs/>
        </w:rPr>
        <w:t xml:space="preserve">Fabricated Items: </w:t>
      </w:r>
      <w:r>
        <w:rPr>
          <w:b w:val="false"/>
          <w:bCs w:val="false"/>
        </w:rPr>
        <w:t xml:space="preserve">PO Award → Drawing approval → Material release → Witness inspection → FAT → Ready for shipment → Delivered.</w:t>
      </w:r>
    </w:p>
    <w:p>
      <w:pPr>
        <w:spacing w:after="120"/>
      </w:pPr>
      <w:r>
        <w:rPr>
          <w:b w:val="false"/>
          <w:bCs w:val="false"/>
        </w:rPr>
        <w:t xml:space="preserve">Templates can be customised at the project level and further overridden at the individual PO level in Expediting.</w:t>
      </w:r>
    </w:p>
    <w:p>
      <w:r>
        <w:br w:type="page"/>
      </w:r>
    </w:p>
    <w:p>
      <w:pPr>
        <w:pStyle w:val="Heading1"/>
      </w:pPr>
      <w:r>
        <w:t xml:space="preserve">Chapter 4 — Foundational</w:t>
      </w:r>
    </w:p>
    <w:p>
      <w:pPr>
        <w:spacing w:after="120"/>
      </w:pPr>
      <w:r>
        <w:rPr>
          <w:b w:val="false"/>
          <w:bCs w:val="false"/>
        </w:rPr>
        <w:t xml:space="preserve">The Foundational module establishes the reference data that all other modules depend on. It contains three sub-sections: WBS, Commodity Library, and Equipment List. All are accessible from the Foundational group in the left sidebar.</w:t>
      </w:r>
    </w:p>
    <w:p>
      <w:pPr>
        <w:pStyle w:val="Heading2"/>
      </w:pPr>
      <w:r>
        <w:t xml:space="preserve">4.1  Work Breakdown Structure (WBS)</w:t>
      </w:r>
    </w:p>
    <w:p>
      <w:pPr>
        <w:pStyle w:val="Heading3"/>
      </w:pPr>
      <w:r>
        <w:t xml:space="preserve">Overview</w:t>
      </w:r>
    </w:p>
    <w:p>
      <w:pPr>
        <w:spacing w:after="120"/>
      </w:pPr>
      <w:r>
        <w:rPr>
          <w:b w:val="false"/>
          <w:bCs w:val="false"/>
        </w:rPr>
        <w:t xml:space="preserve">The WBS is the backbone of the entire system. Every PO, MTO line, equipment item, and commodity is linked to a WBS code. The WBS is structured as a hierarchical tree up to 12 levels deep, using dot-separated codes (e.g. 01.02.03.01).</w:t>
      </w:r>
    </w:p>
    <w:p>
      <w:pPr>
        <w:pStyle w:val="Heading3"/>
      </w:pPr>
      <w:r>
        <w:t xml:space="preserve">WBS Tree</w:t>
      </w:r>
    </w:p>
    <w:p>
      <w:pPr>
        <w:spacing w:after="120"/>
      </w:pPr>
      <w:r>
        <w:rPr>
          <w:b w:val="false"/>
          <w:bCs w:val="false"/>
        </w:rPr>
        <w:t xml:space="preserve">The tree view shows all WBS nodes. Each node displays:</w:t>
      </w:r>
    </w:p>
    <w:p>
      <w:pPr>
        <w:pStyle w:val="ListParagraph"/>
        <w:numPr>
          <w:ilvl w:val="0"/>
          <w:numId w:val="2"/>
        </w:numPr>
        <w:spacing w:after="40"/>
      </w:pPr>
      <w:r>
        <w:rPr>
          <w:b w:val="false"/>
          <w:bCs w:val="false"/>
        </w:rPr>
        <w:t xml:space="preserve">WBS code and description</w:t>
      </w:r>
    </w:p>
    <w:p>
      <w:pPr>
        <w:pStyle w:val="ListParagraph"/>
        <w:numPr>
          <w:ilvl w:val="0"/>
          <w:numId w:val="2"/>
        </w:numPr>
        <w:spacing w:after="40"/>
      </w:pPr>
      <w:r>
        <w:rPr>
          <w:b w:val="false"/>
          <w:bCs w:val="false"/>
        </w:rPr>
        <w:t xml:space="preserve">RAG status dot (On track / At risk / Breached)</w:t>
      </w:r>
    </w:p>
    <w:p>
      <w:pPr>
        <w:pStyle w:val="ListParagraph"/>
        <w:numPr>
          <w:ilvl w:val="0"/>
          <w:numId w:val="2"/>
        </w:numPr>
        <w:spacing w:after="40"/>
      </w:pPr>
      <w:r>
        <w:rPr>
          <w:b w:val="false"/>
          <w:bCs w:val="false"/>
        </w:rPr>
        <w:t xml:space="preserve">Planned and forecast dates</w:t>
      </w:r>
    </w:p>
    <w:p>
      <w:pPr>
        <w:pStyle w:val="ListParagraph"/>
        <w:numPr>
          <w:ilvl w:val="0"/>
          <w:numId w:val="2"/>
        </w:numPr>
        <w:spacing w:after="40"/>
      </w:pPr>
      <w:r>
        <w:rPr>
          <w:b w:val="false"/>
          <w:bCs w:val="false"/>
        </w:rPr>
        <w:t xml:space="preserve">Owner</w:t>
      </w:r>
    </w:p>
    <w:p>
      <w:pPr>
        <w:spacing w:after="120"/>
      </w:pPr>
      <w:r>
        <w:rPr>
          <w:b w:val="false"/>
          <w:bCs w:val="false"/>
        </w:rPr>
        <w:t xml:space="preserve">Nodes can be expanded and collapsed. Hover over a node to see a tooltip showing linked commodities and equipment items.</w:t>
      </w:r>
    </w:p>
    <w:p>
      <w:pPr>
        <w:pStyle w:val="Heading3"/>
      </w:pPr>
      <w:r>
        <w:t xml:space="preserve">Focus Mode</w:t>
      </w:r>
    </w:p>
    <w:p>
      <w:pPr>
        <w:spacing w:after="120"/>
      </w:pPr>
      <w:r>
        <w:rPr>
          <w:b w:val="false"/>
          <w:bCs w:val="false"/>
        </w:rPr>
        <w:t xml:space="preserve">Click a node to enter Focus Mode, which zooms the tree to show only that node and its children. This is useful on large projects with hundreds of WBS nodes. Click ← Back or the breadcrumb to exit Focus Mode.</w:t>
      </w:r>
    </w:p>
    <w:p>
      <w:pPr>
        <w:pStyle w:val="Heading3"/>
      </w:pPr>
      <w:r>
        <w:t xml:space="preserve">Materials Status</w:t>
      </w:r>
    </w:p>
    <w:p>
      <w:pPr>
        <w:spacing w:after="120"/>
      </w:pPr>
      <w:r>
        <w:rPr>
          <w:b w:val="false"/>
          <w:bCs w:val="false"/>
        </w:rPr>
        <w:t xml:space="preserve">The Materials Status view shows procurement progress per WBS node — how many lines have POs raised, approved, in expediting, and delivered.</w:t>
      </w:r>
    </w:p>
    <w:p>
      <w:pPr>
        <w:pStyle w:val="Heading3"/>
      </w:pPr>
      <w:r>
        <w:t xml:space="preserve">Bulk Operations</w:t>
      </w:r>
    </w:p>
    <w:p>
      <w:pPr>
        <w:spacing w:after="120"/>
      </w:pPr>
      <w:r>
        <w:rPr>
          <w:b w:val="false"/>
          <w:bCs w:val="false"/>
        </w:rPr>
        <w:t xml:space="preserve">Select multiple WBS nodes using the checkboxes to perform bulk operations: reassign owner, update RAG, or export selected nodes.</w:t>
      </w:r>
    </w:p>
    <w:p>
      <w:pPr>
        <w:pStyle w:val="Heading3"/>
      </w:pPr>
      <w:r>
        <w:t xml:space="preserve">Search &amp; Filter</w:t>
      </w:r>
    </w:p>
    <w:p>
      <w:pPr>
        <w:spacing w:after="120"/>
      </w:pPr>
      <w:r>
        <w:rPr>
          <w:b w:val="false"/>
          <w:bCs w:val="false"/>
        </w:rPr>
        <w:t xml:space="preserve">Use the search bar to find WBS nodes by code or description. Filter by RAG status, owner, or date range.</w:t>
      </w:r>
    </w:p>
    <w:p>
      <w:pPr>
        <w:pStyle w:val="Heading2"/>
      </w:pPr>
      <w:r>
        <w:t xml:space="preserve">4.2  Commodity Library</w:t>
      </w:r>
    </w:p>
    <w:p>
      <w:pPr>
        <w:spacing w:after="120"/>
      </w:pPr>
      <w:r>
        <w:rPr>
          <w:b w:val="false"/>
          <w:bCs w:val="false"/>
        </w:rPr>
        <w:t xml:space="preserve">The Commodity Library is the catalogue of standard material types used across all projects. Each commodity record includes:</w:t>
      </w:r>
    </w:p>
    <w:p>
      <w:pPr>
        <w:pStyle w:val="ListParagraph"/>
        <w:numPr>
          <w:ilvl w:val="0"/>
          <w:numId w:val="2"/>
        </w:numPr>
        <w:spacing w:after="40"/>
      </w:pPr>
      <w:r>
        <w:rPr>
          <w:b/>
          <w:bCs/>
        </w:rPr>
        <w:t xml:space="preserve">Code: </w:t>
      </w:r>
      <w:r>
        <w:rPr>
          <w:b w:val="false"/>
          <w:bCs w:val="false"/>
        </w:rPr>
        <w:t xml:space="preserve">Unique identifier (e.g. PIPE-CS-001).</w:t>
      </w:r>
    </w:p>
    <w:p>
      <w:pPr>
        <w:pStyle w:val="ListParagraph"/>
        <w:numPr>
          <w:ilvl w:val="0"/>
          <w:numId w:val="2"/>
        </w:numPr>
        <w:spacing w:after="40"/>
      </w:pPr>
      <w:r>
        <w:rPr>
          <w:b/>
          <w:bCs/>
        </w:rPr>
        <w:t xml:space="preserve">Name: </w:t>
      </w:r>
      <w:r>
        <w:rPr>
          <w:b w:val="false"/>
          <w:bCs w:val="false"/>
        </w:rPr>
        <w:t xml:space="preserve">Full description.</w:t>
      </w:r>
    </w:p>
    <w:p>
      <w:pPr>
        <w:pStyle w:val="ListParagraph"/>
        <w:numPr>
          <w:ilvl w:val="0"/>
          <w:numId w:val="2"/>
        </w:numPr>
        <w:spacing w:after="40"/>
      </w:pPr>
      <w:r>
        <w:rPr>
          <w:b/>
          <w:bCs/>
        </w:rPr>
        <w:t xml:space="preserve">UOM: </w:t>
      </w:r>
      <w:r>
        <w:rPr>
          <w:b w:val="false"/>
          <w:bCs w:val="false"/>
        </w:rPr>
        <w:t xml:space="preserve">Unit of measure (e.g. M, KG, EA).</w:t>
      </w:r>
    </w:p>
    <w:p>
      <w:pPr>
        <w:pStyle w:val="ListParagraph"/>
        <w:numPr>
          <w:ilvl w:val="0"/>
          <w:numId w:val="2"/>
        </w:numPr>
        <w:spacing w:after="40"/>
      </w:pPr>
      <w:r>
        <w:rPr>
          <w:b/>
          <w:bCs/>
        </w:rPr>
        <w:t xml:space="preserve">WBS: </w:t>
      </w:r>
      <w:r>
        <w:rPr>
          <w:b w:val="false"/>
          <w:bCs w:val="false"/>
        </w:rPr>
        <w:t xml:space="preserve">Default WBS code association.</w:t>
      </w:r>
    </w:p>
    <w:p>
      <w:pPr>
        <w:pStyle w:val="ListParagraph"/>
        <w:numPr>
          <w:ilvl w:val="0"/>
          <w:numId w:val="2"/>
        </w:numPr>
        <w:spacing w:after="40"/>
      </w:pPr>
      <w:r>
        <w:rPr>
          <w:b/>
          <w:bCs/>
        </w:rPr>
        <w:t xml:space="preserve">Trace Level: </w:t>
      </w:r>
      <w:r>
        <w:rPr>
          <w:b w:val="false"/>
          <w:bCs w:val="false"/>
        </w:rPr>
        <w:t xml:space="preserve">Whether heat numbers are required (none / lot / heat_number / drum_number / serial_number).</w:t>
      </w:r>
    </w:p>
    <w:p>
      <w:pPr>
        <w:pStyle w:val="ListParagraph"/>
        <w:numPr>
          <w:ilvl w:val="0"/>
          <w:numId w:val="2"/>
        </w:numPr>
        <w:spacing w:after="40"/>
      </w:pPr>
      <w:r>
        <w:rPr>
          <w:b/>
          <w:bCs/>
        </w:rPr>
        <w:t xml:space="preserve">Preserve: </w:t>
      </w:r>
      <w:r>
        <w:rPr>
          <w:b w:val="false"/>
          <w:bCs w:val="false"/>
        </w:rPr>
        <w:t xml:space="preserve">Storage requirements (Dry storage / Climate controlled / Outdoor / etc.).</w:t>
      </w:r>
    </w:p>
    <w:p>
      <w:pPr>
        <w:pStyle w:val="ListParagraph"/>
        <w:numPr>
          <w:ilvl w:val="0"/>
          <w:numId w:val="2"/>
        </w:numPr>
        <w:spacing w:after="40"/>
      </w:pPr>
      <w:r>
        <w:rPr>
          <w:b/>
          <w:bCs/>
        </w:rPr>
        <w:t xml:space="preserve">Vendor: </w:t>
      </w:r>
      <w:r>
        <w:rPr>
          <w:b w:val="false"/>
          <w:bCs w:val="false"/>
        </w:rPr>
        <w:t xml:space="preserve">Default approved vendor, if applicable.</w:t>
      </w:r>
    </w:p>
    <w:p>
      <w:pPr>
        <w:spacing w:after="120"/>
      </w:pPr>
      <w:r>
        <w:rPr>
          <w:b w:val="false"/>
          <w:bCs w:val="false"/>
        </w:rPr>
        <w:t xml:space="preserve">Use the ↓ Template button to download the Excel upload template. Use ↑ Upload to bulk-import commodities from the template.</w:t>
      </w:r>
    </w:p>
    <w:p>
      <w:pPr>
        <w:pStyle w:val="Heading2"/>
      </w:pPr>
      <w:r>
        <w:t xml:space="preserve">4.3  Equipment List</w:t>
      </w:r>
    </w:p>
    <w:p>
      <w:pPr>
        <w:spacing w:after="120"/>
      </w:pPr>
      <w:r>
        <w:rPr>
          <w:b w:val="false"/>
          <w:bCs w:val="false"/>
        </w:rPr>
        <w:t xml:space="preserve">The Equipment List tracks individually tagged equipment items. Each record includes:</w:t>
      </w:r>
    </w:p>
    <w:p>
      <w:pPr>
        <w:pStyle w:val="ListParagraph"/>
        <w:numPr>
          <w:ilvl w:val="0"/>
          <w:numId w:val="2"/>
        </w:numPr>
        <w:spacing w:after="40"/>
      </w:pPr>
      <w:r>
        <w:rPr>
          <w:b/>
          <w:bCs/>
        </w:rPr>
        <w:t xml:space="preserve">Tag: </w:t>
      </w:r>
      <w:r>
        <w:rPr>
          <w:b w:val="false"/>
          <w:bCs w:val="false"/>
        </w:rPr>
        <w:t xml:space="preserve">Unique equipment tag (e.g. P-101, V-301).</w:t>
      </w:r>
    </w:p>
    <w:p>
      <w:pPr>
        <w:pStyle w:val="ListParagraph"/>
        <w:numPr>
          <w:ilvl w:val="0"/>
          <w:numId w:val="2"/>
        </w:numPr>
        <w:spacing w:after="40"/>
      </w:pPr>
      <w:r>
        <w:rPr>
          <w:b/>
          <w:bCs/>
        </w:rPr>
        <w:t xml:space="preserve">Description: </w:t>
      </w:r>
      <w:r>
        <w:rPr>
          <w:b w:val="false"/>
          <w:bCs w:val="false"/>
        </w:rPr>
        <w:t xml:space="preserve">Full equipment description.</w:t>
      </w:r>
    </w:p>
    <w:p>
      <w:pPr>
        <w:pStyle w:val="ListParagraph"/>
        <w:numPr>
          <w:ilvl w:val="0"/>
          <w:numId w:val="2"/>
        </w:numPr>
        <w:spacing w:after="40"/>
      </w:pPr>
      <w:r>
        <w:rPr>
          <w:b/>
          <w:bCs/>
        </w:rPr>
        <w:t xml:space="preserve">WBS: </w:t>
      </w:r>
      <w:r>
        <w:rPr>
          <w:b w:val="false"/>
          <w:bCs w:val="false"/>
        </w:rPr>
        <w:t xml:space="preserve">Associated WBS code.</w:t>
      </w:r>
    </w:p>
    <w:p>
      <w:pPr>
        <w:pStyle w:val="ListParagraph"/>
        <w:numPr>
          <w:ilvl w:val="0"/>
          <w:numId w:val="2"/>
        </w:numPr>
        <w:spacing w:after="40"/>
      </w:pPr>
      <w:r>
        <w:rPr>
          <w:b/>
          <w:bCs/>
        </w:rPr>
        <w:t xml:space="preserve">Trace: </w:t>
      </w:r>
      <w:r>
        <w:rPr>
          <w:b w:val="false"/>
          <w:bCs w:val="false"/>
        </w:rPr>
        <w:t xml:space="preserve">Traceability level required.</w:t>
      </w:r>
    </w:p>
    <w:p>
      <w:pPr>
        <w:pStyle w:val="ListParagraph"/>
        <w:numPr>
          <w:ilvl w:val="0"/>
          <w:numId w:val="2"/>
        </w:numPr>
        <w:spacing w:after="40"/>
      </w:pPr>
      <w:r>
        <w:rPr>
          <w:b/>
          <w:bCs/>
        </w:rPr>
        <w:t xml:space="preserve">Vendor: </w:t>
      </w:r>
      <w:r>
        <w:rPr>
          <w:b w:val="false"/>
          <w:bCs w:val="false"/>
        </w:rPr>
        <w:t xml:space="preserve">Assigned supplier.</w:t>
      </w:r>
    </w:p>
    <w:p>
      <w:pPr>
        <w:pStyle w:val="ListParagraph"/>
        <w:numPr>
          <w:ilvl w:val="0"/>
          <w:numId w:val="2"/>
        </w:numPr>
        <w:spacing w:after="40"/>
      </w:pPr>
      <w:r>
        <w:rPr>
          <w:b/>
          <w:bCs/>
        </w:rPr>
        <w:t xml:space="preserve">Status: </w:t>
      </w:r>
      <w:r>
        <w:rPr>
          <w:b w:val="false"/>
          <w:bCs w:val="false"/>
        </w:rPr>
        <w:t xml:space="preserve">Not started / RFQ / PO raised / Delivered.</w:t>
      </w:r>
    </w:p>
    <w:p>
      <w:pPr>
        <w:spacing w:after="120"/>
      </w:pPr>
      <w:r>
        <w:rPr>
          <w:b w:val="false"/>
          <w:bCs w:val="false"/>
        </w:rPr>
        <w:t xml:space="preserve">Tabs filter by status: All, PO raised, RFQ, Not started. Use the ↓ Template button to download the Excel upload template. Use ↑ Upload to bulk-import equipment.</w:t>
      </w:r>
    </w:p>
    <w:p>
      <w:r>
        <w:br w:type="page"/>
      </w:r>
    </w:p>
    <w:p>
      <w:pPr>
        <w:pStyle w:val="Heading1"/>
      </w:pPr>
      <w:r>
        <w:t xml:space="preserve">Chapter 5 — MTO Register</w:t>
      </w:r>
    </w:p>
    <w:p>
      <w:pPr>
        <w:spacing w:after="120"/>
      </w:pPr>
      <w:r>
        <w:rPr>
          <w:b w:val="false"/>
          <w:bCs w:val="false"/>
        </w:rPr>
        <w:t xml:space="preserve">The MTO (Material Take-Off) Register captures engineering take-off documents. Each MTO is a versioned register of material lines required to build a specific scope of work.</w:t>
      </w:r>
    </w:p>
    <w:p>
      <w:pPr>
        <w:pStyle w:val="Heading2"/>
      </w:pPr>
      <w:r>
        <w:t xml:space="preserve">5.1  MTO Register List</w:t>
      </w:r>
    </w:p>
    <w:p>
      <w:pPr>
        <w:spacing w:after="120"/>
      </w:pPr>
      <w:r>
        <w:rPr>
          <w:b w:val="false"/>
          <w:bCs w:val="false"/>
        </w:rPr>
        <w:t xml:space="preserve">The list view shows all MTOs for the current project. Each row displays:</w:t>
      </w:r>
    </w:p>
    <w:p>
      <w:pPr>
        <w:pStyle w:val="ListParagraph"/>
        <w:numPr>
          <w:ilvl w:val="0"/>
          <w:numId w:val="2"/>
        </w:numPr>
        <w:spacing w:after="40"/>
      </w:pPr>
      <w:r>
        <w:rPr>
          <w:b/>
          <w:bCs/>
        </w:rPr>
        <w:t xml:space="preserve">MTO / Reference: </w:t>
      </w:r>
      <w:r>
        <w:rPr>
          <w:b w:val="false"/>
          <w:bCs w:val="false"/>
        </w:rPr>
        <w:t xml:space="preserve">The document name and reference number (e.g. MTO-PIL-001).</w:t>
      </w:r>
    </w:p>
    <w:p>
      <w:pPr>
        <w:pStyle w:val="ListParagraph"/>
        <w:numPr>
          <w:ilvl w:val="0"/>
          <w:numId w:val="2"/>
        </w:numPr>
        <w:spacing w:after="40"/>
      </w:pPr>
      <w:r>
        <w:rPr>
          <w:b/>
          <w:bCs/>
        </w:rPr>
        <w:t xml:space="preserve">Latest Rev: </w:t>
      </w:r>
      <w:r>
        <w:rPr>
          <w:b w:val="false"/>
          <w:bCs w:val="false"/>
        </w:rPr>
        <w:t xml:space="preserve">The current revision letter (Rev A, Rev B, etc.).</w:t>
      </w:r>
    </w:p>
    <w:p>
      <w:pPr>
        <w:pStyle w:val="ListParagraph"/>
        <w:numPr>
          <w:ilvl w:val="0"/>
          <w:numId w:val="2"/>
        </w:numPr>
        <w:spacing w:after="40"/>
      </w:pPr>
      <w:r>
        <w:rPr>
          <w:b/>
          <w:bCs/>
        </w:rPr>
        <w:t xml:space="preserve">Lines: </w:t>
      </w:r>
      <w:r>
        <w:rPr>
          <w:b w:val="false"/>
          <w:bCs w:val="false"/>
        </w:rPr>
        <w:t xml:space="preserve">Total line count in the latest revision.</w:t>
      </w:r>
    </w:p>
    <w:p>
      <w:pPr>
        <w:pStyle w:val="ListParagraph"/>
        <w:numPr>
          <w:ilvl w:val="0"/>
          <w:numId w:val="2"/>
        </w:numPr>
        <w:spacing w:after="40"/>
      </w:pPr>
      <w:r>
        <w:rPr>
          <w:b/>
          <w:bCs/>
        </w:rPr>
        <w:t xml:space="preserve">Last Updated: </w:t>
      </w:r>
      <w:r>
        <w:rPr>
          <w:b w:val="false"/>
          <w:bCs w:val="false"/>
        </w:rPr>
        <w:t xml:space="preserve">Date of the most recent revision upload.</w:t>
      </w:r>
    </w:p>
    <w:p>
      <w:pPr>
        <w:pStyle w:val="ListParagraph"/>
        <w:numPr>
          <w:ilvl w:val="0"/>
          <w:numId w:val="2"/>
        </w:numPr>
        <w:spacing w:after="40"/>
      </w:pPr>
      <w:r>
        <w:rPr>
          <w:b/>
          <w:bCs/>
        </w:rPr>
        <w:t xml:space="preserve">Owner: </w:t>
      </w:r>
      <w:r>
        <w:rPr>
          <w:b w:val="false"/>
          <w:bCs w:val="false"/>
        </w:rPr>
        <w:t xml:space="preserve">The engineer responsible.</w:t>
      </w:r>
    </w:p>
    <w:p>
      <w:pPr>
        <w:pStyle w:val="ListParagraph"/>
        <w:numPr>
          <w:ilvl w:val="0"/>
          <w:numId w:val="2"/>
        </w:numPr>
        <w:spacing w:after="40"/>
      </w:pPr>
      <w:r>
        <w:rPr>
          <w:b/>
          <w:bCs/>
        </w:rPr>
        <w:t xml:space="preserve">Status: </w:t>
      </w:r>
      <w:r>
        <w:rPr>
          <w:b w:val="false"/>
          <w:bCs w:val="false"/>
        </w:rPr>
        <w:t xml:space="preserve">Active or Superseded. Superseded MTOs appear at reduced opacity.</w:t>
      </w:r>
    </w:p>
    <w:p>
      <w:pPr>
        <w:pStyle w:val="Heading2"/>
      </w:pPr>
      <w:r>
        <w:t xml:space="preserve">5.2  Creating a New MTO</w:t>
      </w:r>
    </w:p>
    <w:p>
      <w:pPr>
        <w:spacing w:after="120"/>
      </w:pPr>
      <w:r>
        <w:rPr>
          <w:b w:val="false"/>
          <w:bCs w:val="false"/>
        </w:rPr>
        <w:t xml:space="preserve">Click + New MTO to open the creation wizard:</w:t>
      </w:r>
    </w:p>
    <w:p>
      <w:pPr>
        <w:pStyle w:val="ListParagraph"/>
        <w:numPr>
          <w:ilvl w:val="0"/>
          <w:numId w:val="3"/>
        </w:numPr>
        <w:spacing w:after="40"/>
      </w:pPr>
      <w:r>
        <w:rPr>
          <w:b w:val="false"/>
          <w:bCs w:val="false"/>
        </w:rPr>
        <w:t xml:space="preserve">Step 1: Enter the MTO name, reference number, description, owner, and revision letter.</w:t>
      </w:r>
    </w:p>
    <w:p>
      <w:pPr>
        <w:pStyle w:val="ListParagraph"/>
        <w:numPr>
          <w:ilvl w:val="0"/>
          <w:numId w:val="3"/>
        </w:numPr>
        <w:spacing w:after="40"/>
      </w:pPr>
      <w:r>
        <w:rPr>
          <w:b w:val="false"/>
          <w:bCs w:val="false"/>
        </w:rPr>
        <w:t xml:space="preserve">Step 2: Add line items using the full-screen line editor. Each line requires: Line number, WBS code, description, quantity, UOM, ROS date, Inspection class, and VDRL required flag.</w:t>
      </w:r>
    </w:p>
    <w:p>
      <w:pPr>
        <w:pStyle w:val="ListParagraph"/>
        <w:numPr>
          <w:ilvl w:val="0"/>
          <w:numId w:val="3"/>
        </w:numPr>
        <w:spacing w:after="40"/>
      </w:pPr>
      <w:r>
        <w:rPr>
          <w:b w:val="false"/>
          <w:bCs w:val="false"/>
        </w:rPr>
        <w:t xml:space="preserve">Step 3: Review and confirm.</w:t>
      </w:r>
    </w:p>
    <w:p>
      <w:pPr>
        <w:pStyle w:val="Heading2"/>
      </w:pPr>
      <w:r>
        <w:t xml:space="preserve">5.3  MTO Detail Screen</w:t>
      </w:r>
    </w:p>
    <w:p>
      <w:pPr>
        <w:spacing w:after="120"/>
      </w:pPr>
      <w:r>
        <w:rPr>
          <w:b w:val="false"/>
          <w:bCs w:val="false"/>
        </w:rPr>
        <w:t xml:space="preserve">Click View → on any MTO to open its detail screen. This shows four tabs:</w:t>
      </w:r>
    </w:p>
    <w:p>
      <w:pPr>
        <w:pStyle w:val="Heading3"/>
      </w:pPr>
      <w:r>
        <w:t xml:space="preserve">Line Items Tab</w:t>
      </w:r>
    </w:p>
    <w:p>
      <w:pPr>
        <w:spacing w:after="120"/>
      </w:pPr>
      <w:r>
        <w:rPr>
          <w:b w:val="false"/>
          <w:bCs w:val="false"/>
        </w:rPr>
        <w:t xml:space="preserve">The full list of MTO lines. Filter by status: All, PO Raised, RFQ, Not started. Columns include Line number, WBS, Description, Qty, UOM, ROS date, Inspection class, VDRL flag, PO Ref (if a PO has been raised), and Status. Lines linked to a locked PO are shown with a lock icon and cannot be edited.</w:t>
      </w:r>
    </w:p>
    <w:p>
      <w:pPr>
        <w:pStyle w:val="Heading3"/>
      </w:pPr>
      <w:r>
        <w:t xml:space="preserve">Version History Tab</w:t>
      </w:r>
    </w:p>
    <w:p>
      <w:pPr>
        <w:spacing w:after="120"/>
      </w:pPr>
      <w:r>
        <w:rPr>
          <w:b w:val="false"/>
          <w:bCs w:val="false"/>
        </w:rPr>
        <w:t xml:space="preserve">All uploaded revisions in reverse chronological order. Click any revision to view its line items as they were at that point in time.</w:t>
      </w:r>
    </w:p>
    <w:p>
      <w:pPr>
        <w:pStyle w:val="Heading3"/>
      </w:pPr>
      <w:r>
        <w:t xml:space="preserve">Rev Diff Tab</w:t>
      </w:r>
    </w:p>
    <w:p>
      <w:pPr>
        <w:spacing w:after="120"/>
      </w:pPr>
      <w:r>
        <w:rPr>
          <w:b w:val="false"/>
          <w:bCs w:val="false"/>
        </w:rPr>
        <w:t xml:space="preserve">Select any two revisions to see a side-by-side comparison. Added lines appear in green, removed lines in red, and changed lines in amber. An “Unchanged” count badge shows how many lines were unaffected.</w:t>
      </w:r>
    </w:p>
    <w:p>
      <w:pPr>
        <w:pStyle w:val="Heading3"/>
      </w:pPr>
      <w:r>
        <w:t xml:space="preserve">Variation Flags Tab</w:t>
      </w:r>
    </w:p>
    <w:p>
      <w:pPr>
        <w:spacing w:after="120"/>
      </w:pPr>
      <w:r>
        <w:rPr>
          <w:b w:val="false"/>
          <w:bCs w:val="false"/>
        </w:rPr>
        <w:t xml:space="preserve">Flags raised against MTO lines where the procured quantity differs from the take-off quantity.</w:t>
      </w:r>
    </w:p>
    <w:p>
      <w:pPr>
        <w:pStyle w:val="Heading2"/>
      </w:pPr>
      <w:r>
        <w:t xml:space="preserve">5.4  Uploading a New Revision</w:t>
      </w:r>
    </w:p>
    <w:p>
      <w:pPr>
        <w:spacing w:after="120"/>
      </w:pPr>
      <w:r>
        <w:rPr>
          <w:b w:val="false"/>
          <w:bCs w:val="false"/>
        </w:rPr>
        <w:t xml:space="preserve">Click ↑ Upload Rev [letter] on the MTO detail screen. The upload wizard:</w:t>
      </w:r>
    </w:p>
    <w:p>
      <w:pPr>
        <w:pStyle w:val="ListParagraph"/>
        <w:numPr>
          <w:ilvl w:val="0"/>
          <w:numId w:val="2"/>
        </w:numPr>
        <w:spacing w:after="40"/>
      </w:pPr>
      <w:r>
        <w:rPr>
          <w:b w:val="false"/>
          <w:bCs w:val="false"/>
        </w:rPr>
        <w:t xml:space="preserve">Validates the template format and required columns.</w:t>
      </w:r>
    </w:p>
    <w:p>
      <w:pPr>
        <w:pStyle w:val="ListParagraph"/>
        <w:numPr>
          <w:ilvl w:val="0"/>
          <w:numId w:val="2"/>
        </w:numPr>
        <w:spacing w:after="40"/>
      </w:pPr>
      <w:r>
        <w:rPr>
          <w:b w:val="false"/>
          <w:bCs w:val="false"/>
        </w:rPr>
        <w:t xml:space="preserve">Blocks duplicate revision letters (returns 409 error).</w:t>
      </w:r>
    </w:p>
    <w:p>
      <w:pPr>
        <w:pStyle w:val="ListParagraph"/>
        <w:numPr>
          <w:ilvl w:val="0"/>
          <w:numId w:val="2"/>
        </w:numPr>
        <w:spacing w:after="40"/>
      </w:pPr>
      <w:r>
        <w:rPr>
          <w:b w:val="false"/>
          <w:bCs w:val="false"/>
        </w:rPr>
        <w:t xml:space="preserve">Warns if uploading a revision that conflicts with locked MTO lines (returns 422 error with a list of affected lines).</w:t>
      </w:r>
    </w:p>
    <w:p>
      <w:pPr>
        <w:pBdr>
          <w:left w:val="single" w:color="2E7D32" w:sz="18" w:space="8"/>
        </w:pBdr>
        <w:spacing w:after="120" w:before="80"/>
        <w:ind w:left="180"/>
      </w:pPr>
      <w:r>
        <w:rPr>
          <w:b/>
          <w:bCs/>
          <w:color w:val="2E7D32"/>
        </w:rPr>
        <w:t xml:space="preserve">TIP: </w:t>
      </w:r>
      <w:r>
        <w:t xml:space="preserve">Use ↓ Template to download the correct Excel template with all required column headers before preparing an upload.</w:t>
      </w:r>
    </w:p>
    <w:p>
      <w:r>
        <w:br w:type="page"/>
      </w:r>
    </w:p>
    <w:p>
      <w:pPr>
        <w:pStyle w:val="Heading1"/>
      </w:pPr>
      <w:r>
        <w:t xml:space="preserve">Chapter 6 — Procurement</w:t>
      </w:r>
    </w:p>
    <w:p>
      <w:pPr>
        <w:spacing w:after="120"/>
      </w:pPr>
      <w:r>
        <w:rPr>
          <w:b w:val="false"/>
          <w:bCs w:val="false"/>
        </w:rPr>
        <w:t xml:space="preserve">The Procurement module manages Purchase Orders from creation through to approval and lock. Locked POs are passed to Expediting for milestone tracking.</w:t>
      </w:r>
    </w:p>
    <w:p>
      <w:pPr>
        <w:pStyle w:val="Heading2"/>
      </w:pPr>
      <w:r>
        <w:t xml:space="preserve">6.1  PO Register</w:t>
      </w:r>
    </w:p>
    <w:p>
      <w:pPr>
        <w:spacing w:after="120"/>
      </w:pPr>
      <w:r>
        <w:rPr>
          <w:b w:val="false"/>
          <w:bCs w:val="false"/>
        </w:rPr>
        <w:t xml:space="preserve">The PO Register is the main list of all Purchase Orders for the current project. Eight summary stat cards appear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Stat Card</w:t>
            </w:r>
          </w:p>
        </w:tc>
        <w:tc>
          <w:tcPr>
            <w:tcW w:type="dxa" w:w="636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Total POs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Total number of POs in the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Committed Value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Sum of all PO values regardless of approval status.</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Approved &amp; Locked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Value of POs that have been formally approved and locked.</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Pending Approval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Number of POs awaiting the Approve &amp; Lock action.</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Ongoing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POs that are active and not yet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Complete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POs where all goods have been delivered and receipted.</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Breached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POs where the Contract Delivery Date (CDD) has passed.</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 Risk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POs where the CDD is within the at-risk threshold.</w:t>
            </w:r>
          </w:p>
        </w:tc>
      </w:tr>
    </w:tbl>
    <w:p>
      <w:r>
        <w:t xml:space="preserve"/>
      </w:r>
    </w:p>
    <w:p>
      <w:pPr>
        <w:spacing w:after="120"/>
      </w:pPr>
      <w:r>
        <w:rPr>
          <w:b w:val="false"/>
          <w:bCs w:val="false"/>
        </w:rPr>
        <w:t xml:space="preserve">The table below the stat cards lists all POs. Key columns include PO Ref (clickable link to detail), PO Name, Description, Currency, Value, Incoterms, WBS, ROS, Vendor, Owner, CDD, and Status. A coloured left border on each row indicates RAG status: red = Breached, amber = At Risk, green/none = On Track.</w:t>
      </w:r>
    </w:p>
    <w:p>
      <w:pPr>
        <w:pStyle w:val="Heading3"/>
      </w:pPr>
      <w:r>
        <w:t xml:space="preserve">Filtering &amp; Grouping</w:t>
      </w:r>
    </w:p>
    <w:p>
      <w:pPr>
        <w:spacing w:after="120"/>
      </w:pPr>
      <w:r>
        <w:rPr>
          <w:b w:val="false"/>
          <w:bCs w:val="false"/>
        </w:rPr>
        <w:t xml:space="preserve">Use the search bar to filter by PO ref, description, or vendor. Filter by CDD date range. Use the Group by dropdown to group rows by vendor, WBS, or status. Tick Critical path only to show only POs flagged as critical path.</w:t>
      </w:r>
    </w:p>
    <w:p>
      <w:pPr>
        <w:pStyle w:val="Heading2"/>
      </w:pPr>
      <w:r>
        <w:t xml:space="preserve">6.2  Creating a New PO</w:t>
      </w:r>
    </w:p>
    <w:p>
      <w:pPr>
        <w:spacing w:after="120"/>
      </w:pPr>
      <w:r>
        <w:rPr>
          <w:b w:val="false"/>
          <w:bCs w:val="false"/>
        </w:rPr>
        <w:t xml:space="preserve">Click + New PO to open the New PO Wizard. The wizard has three steps:</w:t>
      </w:r>
    </w:p>
    <w:p>
      <w:pPr>
        <w:pStyle w:val="Heading3"/>
      </w:pPr>
      <w:r>
        <w:t xml:space="preserve">Step 1 — PO Header</w:t>
      </w:r>
    </w:p>
    <w:p>
      <w:pPr>
        <w:spacing w:after="120"/>
      </w:pPr>
      <w:r>
        <w:rPr>
          <w:b w:val="false"/>
          <w:bCs w:val="false"/>
        </w:rPr>
        <w:t xml:space="preserve">Enter: PO Reference number (unique per project); PO Name and Description; Currency; Vendor (select from AVL or enter name manually); Incoterms and Handover Point; WBS code; Contract Delivery Date (CDD); ROS date (optional — can be entered later in Expediting).</w:t>
      </w:r>
    </w:p>
    <w:p>
      <w:pPr>
        <w:pStyle w:val="Heading3"/>
      </w:pPr>
      <w:r>
        <w:t xml:space="preserve">Step 2 — Line Items</w:t>
      </w:r>
    </w:p>
    <w:p>
      <w:pPr>
        <w:spacing w:after="120"/>
      </w:pPr>
      <w:r>
        <w:rPr>
          <w:b w:val="false"/>
          <w:bCs w:val="false"/>
        </w:rPr>
        <w:t xml:space="preserve">Add individual line items to the PO. Each line requires Description, Qty, UOM, Unit Value, and an optional Commodity Code / Equipment Tag link to the Commodity Library or Equipment List.</w:t>
      </w:r>
    </w:p>
    <w:p>
      <w:pPr>
        <w:pStyle w:val="Heading3"/>
      </w:pPr>
      <w:r>
        <w:t xml:space="preserve">Step 3 — Review &amp; Create</w:t>
      </w:r>
    </w:p>
    <w:p>
      <w:pPr>
        <w:spacing w:after="120"/>
      </w:pPr>
      <w:r>
        <w:rPr>
          <w:b w:val="false"/>
          <w:bCs w:val="false"/>
        </w:rPr>
        <w:t xml:space="preserve">Review all entered data. Click Create PO to save. The PO is created with status Active.</w:t>
      </w:r>
    </w:p>
    <w:p>
      <w:pPr>
        <w:pStyle w:val="Heading2"/>
      </w:pPr>
      <w:r>
        <w:t xml:space="preserve">6.3  PO Detail Screen</w:t>
      </w:r>
    </w:p>
    <w:p>
      <w:pPr>
        <w:spacing w:after="120"/>
      </w:pPr>
      <w:r>
        <w:rPr>
          <w:b w:val="false"/>
          <w:bCs w:val="false"/>
        </w:rPr>
        <w:t xml:space="preserve">Click a PO Reference link from the register to open the full PO detail screen. The header shows the PO number, status badge (Active / Approved &amp; Locked), and an Approve &amp; Lock PO button (if pending approval). Seven tabs are available:</w:t>
      </w:r>
    </w:p>
    <w:p>
      <w:pPr>
        <w:pStyle w:val="ListParagraph"/>
        <w:numPr>
          <w:ilvl w:val="0"/>
          <w:numId w:val="2"/>
        </w:numPr>
        <w:spacing w:after="40"/>
      </w:pPr>
      <w:r>
        <w:rPr>
          <w:b/>
          <w:bCs/>
        </w:rPr>
        <w:t xml:space="preserve">Line Items: </w:t>
      </w:r>
      <w:r>
        <w:rPr>
          <w:b w:val="false"/>
          <w:bCs w:val="false"/>
        </w:rPr>
        <w:t xml:space="preserve">Full list of line items with Line #, Description, Qty, UOM, Unit Value, Total Value, WBS, CDD, ROS, and Heat No. (if traceability required). A Grand Total row appears at the bottom. Click ✎ Edit line items to modify lines on an unlocked PO.</w:t>
      </w:r>
    </w:p>
    <w:p>
      <w:pPr>
        <w:pStyle w:val="ListParagraph"/>
        <w:numPr>
          <w:ilvl w:val="0"/>
          <w:numId w:val="2"/>
        </w:numPr>
        <w:spacing w:after="40"/>
      </w:pPr>
      <w:r>
        <w:rPr>
          <w:b/>
          <w:bCs/>
        </w:rPr>
        <w:t xml:space="preserve">Key Dates: </w:t>
      </w:r>
      <w:r>
        <w:rPr>
          <w:b w:val="false"/>
          <w:bCs w:val="false"/>
        </w:rPr>
        <w:t xml:space="preserve">Tracks PO Award, FAT, ESD, ETA, ROS. Every date change requires a mandatory reason — recorded in the date change log.</w:t>
      </w:r>
    </w:p>
    <w:p>
      <w:pPr>
        <w:pStyle w:val="ListParagraph"/>
        <w:numPr>
          <w:ilvl w:val="0"/>
          <w:numId w:val="2"/>
        </w:numPr>
        <w:spacing w:after="40"/>
      </w:pPr>
      <w:r>
        <w:rPr>
          <w:b/>
          <w:bCs/>
        </w:rPr>
        <w:t xml:space="preserve">ITP: </w:t>
      </w:r>
      <w:r>
        <w:rPr>
          <w:b w:val="false"/>
          <w:bCs w:val="false"/>
        </w:rPr>
        <w:t xml:space="preserve">Inspection and Test Plan requirements for this PO.</w:t>
      </w:r>
    </w:p>
    <w:p>
      <w:pPr>
        <w:pStyle w:val="ListParagraph"/>
        <w:numPr>
          <w:ilvl w:val="0"/>
          <w:numId w:val="2"/>
        </w:numPr>
        <w:spacing w:after="40"/>
      </w:pPr>
      <w:r>
        <w:rPr>
          <w:b/>
          <w:bCs/>
        </w:rPr>
        <w:t xml:space="preserve">Documents: </w:t>
      </w:r>
      <w:r>
        <w:rPr>
          <w:b w:val="false"/>
          <w:bCs w:val="false"/>
        </w:rPr>
        <w:t xml:space="preserve">Uploaded PO documents (signed PO, drawings, specifications). All uploads and downloads are logged to the audit trail.</w:t>
      </w:r>
    </w:p>
    <w:p>
      <w:pPr>
        <w:pStyle w:val="ListParagraph"/>
        <w:numPr>
          <w:ilvl w:val="0"/>
          <w:numId w:val="2"/>
        </w:numPr>
        <w:spacing w:after="40"/>
      </w:pPr>
      <w:r>
        <w:rPr>
          <w:b/>
          <w:bCs/>
        </w:rPr>
        <w:t xml:space="preserve">Action Notes: </w:t>
      </w:r>
      <w:r>
        <w:rPr>
          <w:b w:val="false"/>
          <w:bCs w:val="false"/>
        </w:rPr>
        <w:t xml:space="preserve">Thread of action notes — expediting calls, vendor communications, escalations.</w:t>
      </w:r>
    </w:p>
    <w:p>
      <w:pPr>
        <w:pStyle w:val="ListParagraph"/>
        <w:numPr>
          <w:ilvl w:val="0"/>
          <w:numId w:val="2"/>
        </w:numPr>
        <w:spacing w:after="40"/>
      </w:pPr>
      <w:r>
        <w:rPr>
          <w:b/>
          <w:bCs/>
        </w:rPr>
        <w:t xml:space="preserve">Variations: </w:t>
      </w:r>
      <w:r>
        <w:rPr>
          <w:b w:val="false"/>
          <w:bCs w:val="false"/>
        </w:rPr>
        <w:t xml:space="preserve">Change orders and variations against the original PO scope or value.</w:t>
      </w:r>
    </w:p>
    <w:p>
      <w:pPr>
        <w:pStyle w:val="ListParagraph"/>
        <w:numPr>
          <w:ilvl w:val="0"/>
          <w:numId w:val="2"/>
        </w:numPr>
        <w:spacing w:after="40"/>
      </w:pPr>
      <w:r>
        <w:rPr>
          <w:b/>
          <w:bCs/>
        </w:rPr>
        <w:t xml:space="preserve">Audit Trail: </w:t>
      </w:r>
      <w:r>
        <w:rPr>
          <w:b w:val="false"/>
          <w:bCs w:val="false"/>
        </w:rPr>
        <w:t xml:space="preserve">Immutable log of every change — who changed what, when, and the before/after values.</w:t>
      </w:r>
    </w:p>
    <w:p>
      <w:pPr>
        <w:pStyle w:val="Heading2"/>
      </w:pPr>
      <w:r>
        <w:t xml:space="preserve">6.4  Approve &amp; Lock</w:t>
      </w:r>
    </w:p>
    <w:p>
      <w:pPr>
        <w:spacing w:after="120"/>
      </w:pPr>
      <w:r>
        <w:rPr>
          <w:b w:val="false"/>
          <w:bCs w:val="false"/>
        </w:rPr>
        <w:t xml:space="preserve">Approving and locking a PO is a critical step that freezes the PO (line quantities can no longer be edited), locks the linked MTO lines, and makes the PO visible in the Expediting module. To approve and lock, click the Approve &amp; Lock PO button at the top right of the PO detail screen. Review the summary and confirm.</w:t>
      </w:r>
    </w:p>
    <w:p>
      <w:pPr>
        <w:pBdr>
          <w:left w:val="single" w:color="E84E0F" w:sz="18" w:space="8"/>
        </w:pBdr>
        <w:spacing w:after="120" w:before="80"/>
        <w:ind w:left="180"/>
      </w:pPr>
      <w:r>
        <w:rPr>
          <w:b/>
          <w:bCs/>
          <w:color w:val="E84E0F"/>
        </w:rPr>
        <w:t xml:space="preserve">IMPORTANT: </w:t>
      </w:r>
      <w:r>
        <w:t xml:space="preserve">Once a PO is Approved &amp; Locked it cannot be unlocked. Any changes to scope must be managed as Variations.</w:t>
      </w:r>
    </w:p>
    <w:p>
      <w:r>
        <w:br w:type="page"/>
      </w:r>
    </w:p>
    <w:p>
      <w:pPr>
        <w:pStyle w:val="Heading1"/>
      </w:pPr>
      <w:r>
        <w:t xml:space="preserve">Chapter 7 — Expediting</w:t>
      </w:r>
    </w:p>
    <w:p>
      <w:pPr>
        <w:spacing w:after="120"/>
      </w:pPr>
      <w:r>
        <w:rPr>
          <w:b w:val="false"/>
          <w:bCs w:val="false"/>
        </w:rPr>
        <w:t xml:space="preserve">The Expediting module monitors all Approved &amp; Locked Purchase Orders. It tracks milestones, manages vendor document requirements (VDRL), records action notes, and creates Shipment Control Notes (SCNs) when goods are ready to ship.</w:t>
      </w:r>
    </w:p>
    <w:p>
      <w:pPr>
        <w:pBdr>
          <w:left w:val="single" w:color="E84E0F" w:sz="18" w:space="8"/>
        </w:pBdr>
        <w:spacing w:after="120" w:before="80"/>
        <w:ind w:left="180"/>
      </w:pPr>
      <w:r>
        <w:rPr>
          <w:b/>
          <w:bCs/>
          <w:color w:val="E84E0F"/>
        </w:rPr>
        <w:t xml:space="preserve">IMPORTANT: </w:t>
      </w:r>
      <w:r>
        <w:t xml:space="preserve">Only Approved &amp; Locked POs appear in Expediting. Pending POs are not visible here.</w:t>
      </w:r>
    </w:p>
    <w:p>
      <w:pPr>
        <w:pStyle w:val="Heading2"/>
      </w:pPr>
      <w:r>
        <w:t xml:space="preserve">7.1  Expediting Register</w:t>
      </w:r>
    </w:p>
    <w:p>
      <w:pPr>
        <w:spacing w:after="120"/>
      </w:pPr>
      <w:r>
        <w:rPr>
          <w:b w:val="false"/>
          <w:bCs w:val="false"/>
        </w:rPr>
        <w:t xml:space="preserve">The register is the main view of all POs under active expedition. Five stat cards appear at the top: Total POs, Ongoing, Breached, At Risk, and Complete. The table shows one row per PO with key columns:</w:t>
      </w:r>
    </w:p>
    <w:p>
      <w:pPr>
        <w:pStyle w:val="ListParagraph"/>
        <w:numPr>
          <w:ilvl w:val="0"/>
          <w:numId w:val="2"/>
        </w:numPr>
        <w:spacing w:after="40"/>
      </w:pPr>
      <w:r>
        <w:rPr>
          <w:b/>
          <w:bCs/>
        </w:rPr>
        <w:t xml:space="preserve">★ (Critical path): </w:t>
      </w:r>
      <w:r>
        <w:rPr>
          <w:b w:val="false"/>
          <w:bCs w:val="false"/>
        </w:rPr>
        <w:t xml:space="preserve">Star icon toggles critical path status. Filled orange star = critical path.</w:t>
      </w:r>
    </w:p>
    <w:p>
      <w:pPr>
        <w:pStyle w:val="ListParagraph"/>
        <w:numPr>
          <w:ilvl w:val="0"/>
          <w:numId w:val="2"/>
        </w:numPr>
        <w:spacing w:after="40"/>
      </w:pPr>
      <w:r>
        <w:rPr>
          <w:b/>
          <w:bCs/>
        </w:rPr>
        <w:t xml:space="preserve">PO Ref: </w:t>
      </w:r>
      <w:r>
        <w:rPr>
          <w:b w:val="false"/>
          <w:bCs w:val="false"/>
        </w:rPr>
        <w:t xml:space="preserve">Click to navigate to the full PO detail screen.</w:t>
      </w:r>
    </w:p>
    <w:p>
      <w:pPr>
        <w:pStyle w:val="ListParagraph"/>
        <w:numPr>
          <w:ilvl w:val="0"/>
          <w:numId w:val="2"/>
        </w:numPr>
        <w:spacing w:after="40"/>
      </w:pPr>
      <w:r>
        <w:rPr>
          <w:b/>
          <w:bCs/>
        </w:rPr>
        <w:t xml:space="preserve">Vendor / Group: </w:t>
      </w:r>
      <w:r>
        <w:rPr>
          <w:b w:val="false"/>
          <w:bCs w:val="false"/>
        </w:rPr>
        <w:t xml:space="preserve">Supplier name and commodity group.</w:t>
      </w:r>
    </w:p>
    <w:p>
      <w:pPr>
        <w:pStyle w:val="ListParagraph"/>
        <w:numPr>
          <w:ilvl w:val="0"/>
          <w:numId w:val="2"/>
        </w:numPr>
        <w:spacing w:after="40"/>
      </w:pPr>
      <w:r>
        <w:rPr>
          <w:b/>
          <w:bCs/>
        </w:rPr>
        <w:t xml:space="preserve">Material: </w:t>
      </w:r>
      <w:r>
        <w:rPr>
          <w:b w:val="false"/>
          <w:bCs w:val="false"/>
        </w:rPr>
        <w:t xml:space="preserve">PO description.</w:t>
      </w:r>
    </w:p>
    <w:p>
      <w:pPr>
        <w:pStyle w:val="ListParagraph"/>
        <w:numPr>
          <w:ilvl w:val="0"/>
          <w:numId w:val="2"/>
        </w:numPr>
        <w:spacing w:after="40"/>
      </w:pPr>
      <w:r>
        <w:rPr>
          <w:b/>
          <w:bCs/>
        </w:rPr>
        <w:t xml:space="preserve">Owner / Expeditor: </w:t>
      </w:r>
      <w:r>
        <w:rPr>
          <w:b w:val="false"/>
          <w:bCs w:val="false"/>
        </w:rPr>
        <w:t xml:space="preserve">Assigned team members.</w:t>
      </w:r>
    </w:p>
    <w:p>
      <w:pPr>
        <w:pStyle w:val="ListParagraph"/>
        <w:numPr>
          <w:ilvl w:val="0"/>
          <w:numId w:val="2"/>
        </w:numPr>
        <w:spacing w:after="40"/>
      </w:pPr>
      <w:r>
        <w:rPr>
          <w:b/>
          <w:bCs/>
        </w:rPr>
        <w:t xml:space="preserve">Milestones: </w:t>
      </w:r>
      <w:r>
        <w:rPr>
          <w:b w:val="false"/>
          <w:bCs w:val="false"/>
        </w:rPr>
        <w:t xml:space="preserve">A row of coloured dots showing milestone completion (green = done, amber = due soon, red = overdue, grey = not started).</w:t>
      </w:r>
    </w:p>
    <w:p>
      <w:pPr>
        <w:pStyle w:val="ListParagraph"/>
        <w:numPr>
          <w:ilvl w:val="0"/>
          <w:numId w:val="2"/>
        </w:numPr>
        <w:spacing w:after="40"/>
      </w:pPr>
      <w:r>
        <w:rPr>
          <w:b/>
          <w:bCs/>
        </w:rPr>
        <w:t xml:space="preserve">ROS / Status / View →: </w:t>
      </w:r>
      <w:r>
        <w:rPr>
          <w:b w:val="false"/>
          <w:bCs w:val="false"/>
        </w:rPr>
        <w:t xml:space="preserve">Required on Site date; RAG status pill; opens the slide-in drawer.</w:t>
      </w:r>
    </w:p>
    <w:p>
      <w:pPr>
        <w:spacing w:after="120"/>
      </w:pPr>
      <w:r>
        <w:rPr>
          <w:b w:val="false"/>
          <w:bCs w:val="false"/>
        </w:rPr>
        <w:t xml:space="preserve">Use the filter pills (On Track / At Risk / Breached / Not Started / Complete) and date range fields to filter. Tick Critical only to show critical path POs.</w:t>
      </w:r>
    </w:p>
    <w:p>
      <w:pPr>
        <w:pStyle w:val="Heading2"/>
      </w:pPr>
      <w:r>
        <w:t xml:space="preserve">7.2  The Expediting Drawer</w:t>
      </w:r>
    </w:p>
    <w:p>
      <w:pPr>
        <w:spacing w:after="120"/>
      </w:pPr>
      <w:r>
        <w:rPr>
          <w:b w:val="false"/>
          <w:bCs w:val="false"/>
        </w:rPr>
        <w:t xml:space="preserve">Clicking View → on a row slides in a 400px panel from the right. The register remains visible behind the drawer. The drawer shows the PO reference, vendor name, RAG status badge, a + Create SCN button, a Documents button, the milestone timeline, line items with assignment status and available quantities, and a View full detail → link.</w:t>
      </w:r>
    </w:p>
    <w:p>
      <w:pPr>
        <w:pBdr>
          <w:left w:val="single" w:color="2E7D32" w:sz="18" w:space="8"/>
        </w:pBdr>
        <w:spacing w:after="120" w:before="80"/>
        <w:ind w:left="180"/>
      </w:pPr>
      <w:r>
        <w:rPr>
          <w:b/>
          <w:bCs/>
          <w:color w:val="2E7D32"/>
        </w:rPr>
        <w:t xml:space="preserve">TIP: </w:t>
      </w:r>
      <w:r>
        <w:t xml:space="preserve">The drawer is designed for quick checks and SCN creation without leaving the register. For full editing and tab navigation, click the PO ref or use View full detail →.</w:t>
      </w:r>
    </w:p>
    <w:p>
      <w:pPr>
        <w:pStyle w:val="Heading2"/>
      </w:pPr>
      <w:r>
        <w:t xml:space="preserve">7.3  Expediting PO Detail Screen</w:t>
      </w:r>
    </w:p>
    <w:p>
      <w:pPr>
        <w:spacing w:after="120"/>
      </w:pPr>
      <w:r>
        <w:rPr>
          <w:b w:val="false"/>
          <w:bCs w:val="false"/>
        </w:rPr>
        <w:t xml:space="preserve">Clicking a PO ref link, or View full detail → in the drawer, opens the full dedicated PO detail screen. It shows the PO reference, status badge, vendor details, a meta grid, supplier contact row, five key date boxes (PO Award, FAT, ESD, ETA, ROS), and the milestone timeline. Six tabs are available:</w:t>
      </w:r>
    </w:p>
    <w:p>
      <w:pPr>
        <w:pStyle w:val="ListParagraph"/>
        <w:numPr>
          <w:ilvl w:val="0"/>
          <w:numId w:val="2"/>
        </w:numPr>
        <w:spacing w:after="40"/>
      </w:pPr>
      <w:r>
        <w:rPr>
          <w:b/>
          <w:bCs/>
        </w:rPr>
        <w:t xml:space="preserve">Line Items &amp; SCNs: </w:t>
      </w:r>
      <w:r>
        <w:rPr>
          <w:b w:val="false"/>
          <w:bCs w:val="false"/>
        </w:rPr>
        <w:t xml:space="preserve">All PO line items with total qty, qty assigned to SCNs, and available qty. Partial/Assigned/Not assigned status pills. Existing SCNs are listed under each line.</w:t>
      </w:r>
    </w:p>
    <w:p>
      <w:pPr>
        <w:pStyle w:val="ListParagraph"/>
        <w:numPr>
          <w:ilvl w:val="0"/>
          <w:numId w:val="2"/>
        </w:numPr>
        <w:spacing w:after="40"/>
      </w:pPr>
      <w:r>
        <w:rPr>
          <w:b/>
          <w:bCs/>
        </w:rPr>
        <w:t xml:space="preserve">Milestones: </w:t>
      </w:r>
      <w:r>
        <w:rPr>
          <w:b w:val="false"/>
          <w:bCs w:val="false"/>
        </w:rPr>
        <w:t xml:space="preserve">Full timeline with the ability to record completion dates and notes. Every date change requires a mandatory reason.</w:t>
      </w:r>
    </w:p>
    <w:p>
      <w:pPr>
        <w:pStyle w:val="ListParagraph"/>
        <w:numPr>
          <w:ilvl w:val="0"/>
          <w:numId w:val="2"/>
        </w:numPr>
        <w:spacing w:after="40"/>
      </w:pPr>
      <w:r>
        <w:rPr>
          <w:b/>
          <w:bCs/>
        </w:rPr>
        <w:t xml:space="preserve">ITP: </w:t>
      </w:r>
      <w:r>
        <w:rPr>
          <w:b w:val="false"/>
          <w:bCs w:val="false"/>
        </w:rPr>
        <w:t xml:space="preserve">Inspection and Test Plan requirements — activities, hold point types, responsible parties, completion status.</w:t>
      </w:r>
    </w:p>
    <w:p>
      <w:pPr>
        <w:pStyle w:val="ListParagraph"/>
        <w:numPr>
          <w:ilvl w:val="0"/>
          <w:numId w:val="2"/>
        </w:numPr>
        <w:spacing w:after="40"/>
      </w:pPr>
      <w:r>
        <w:rPr>
          <w:b/>
          <w:bCs/>
        </w:rPr>
        <w:t xml:space="preserve">VDRL: </w:t>
      </w:r>
      <w:r>
        <w:rPr>
          <w:b w:val="false"/>
          <w:bCs w:val="false"/>
        </w:rPr>
        <w:t xml:space="preserve">The Vendor Document Requirements List for this PO — package, documents, revision, required/promised/submitted dates, status, and ABF flag. Documents past their required date appear in red.</w:t>
      </w:r>
    </w:p>
    <w:p>
      <w:pPr>
        <w:pStyle w:val="ListParagraph"/>
        <w:numPr>
          <w:ilvl w:val="0"/>
          <w:numId w:val="2"/>
        </w:numPr>
        <w:spacing w:after="40"/>
      </w:pPr>
      <w:r>
        <w:rPr>
          <w:b/>
          <w:bCs/>
        </w:rPr>
        <w:t xml:space="preserve">Action Notes: </w:t>
      </w:r>
      <w:r>
        <w:rPr>
          <w:b w:val="false"/>
          <w:bCs w:val="false"/>
        </w:rPr>
        <w:t xml:space="preserve">Notes specific to this PO, timestamped and attributed.</w:t>
      </w:r>
    </w:p>
    <w:p>
      <w:pPr>
        <w:pStyle w:val="ListParagraph"/>
        <w:numPr>
          <w:ilvl w:val="0"/>
          <w:numId w:val="2"/>
        </w:numPr>
        <w:spacing w:after="40"/>
      </w:pPr>
      <w:r>
        <w:rPr>
          <w:b/>
          <w:bCs/>
        </w:rPr>
        <w:t xml:space="preserve">Audit Trail: </w:t>
      </w:r>
      <w:r>
        <w:rPr>
          <w:b w:val="false"/>
          <w:bCs w:val="false"/>
        </w:rPr>
        <w:t xml:space="preserve">Full immutable audit log. Filter by Milestone changes or Notes.</w:t>
      </w:r>
    </w:p>
    <w:p>
      <w:pPr>
        <w:pStyle w:val="Heading2"/>
      </w:pPr>
      <w:r>
        <w:t xml:space="preserve">7.4  Creating a Shipment Control Note (SCN)</w:t>
      </w:r>
    </w:p>
    <w:p>
      <w:pPr>
        <w:spacing w:after="120"/>
      </w:pPr>
      <w:r>
        <w:rPr>
          <w:b w:val="false"/>
          <w:bCs w:val="false"/>
        </w:rPr>
        <w:t xml:space="preserve">An SCN is created when goods are ready to ship from the vendor's facility. SCNs can be created from the drawer (+ Create SCN) or the full detail screen. The Create SCN Wizard has five steps:</w:t>
      </w:r>
    </w:p>
    <w:p>
      <w:pPr>
        <w:pStyle w:val="ListParagraph"/>
        <w:numPr>
          <w:ilvl w:val="0"/>
          <w:numId w:val="2"/>
        </w:numPr>
        <w:spacing w:after="40"/>
      </w:pPr>
      <w:r>
        <w:rPr>
          <w:b/>
          <w:bCs/>
        </w:rPr>
        <w:t xml:space="preserve">Step 1 — Select Lines: </w:t>
      </w:r>
      <w:r>
        <w:rPr>
          <w:b w:val="false"/>
          <w:bCs w:val="false"/>
        </w:rPr>
        <w:t xml:space="preserve">Select which PO line items are included. The system shows available quantity (total minus already assigned). Partial quantities can be selected. An Additional Items section allows adding off-PO items.</w:t>
      </w:r>
    </w:p>
    <w:p>
      <w:pPr>
        <w:pStyle w:val="ListParagraph"/>
        <w:numPr>
          <w:ilvl w:val="0"/>
          <w:numId w:val="2"/>
        </w:numPr>
        <w:spacing w:after="40"/>
      </w:pPr>
      <w:r>
        <w:rPr>
          <w:b/>
          <w:bCs/>
        </w:rPr>
        <w:t xml:space="preserve">Step 2 — SCN Details: </w:t>
      </w:r>
      <w:r>
        <w:rPr>
          <w:b w:val="false"/>
          <w:bCs w:val="false"/>
        </w:rPr>
        <w:t xml:space="preserve">Pickup location, destination warehouse, grid/bay ref, CDD (auto-populated), ETD, ETA, transport mode (mandatory), forwarder name, and Incoterms.</w:t>
      </w:r>
    </w:p>
    <w:p>
      <w:pPr>
        <w:pStyle w:val="ListParagraph"/>
        <w:numPr>
          <w:ilvl w:val="0"/>
          <w:numId w:val="2"/>
        </w:numPr>
        <w:spacing w:after="40"/>
      </w:pPr>
      <w:r>
        <w:rPr>
          <w:b/>
          <w:bCs/>
        </w:rPr>
        <w:t xml:space="preserve">Step 3 — Packages: </w:t>
      </w:r>
      <w:r>
        <w:rPr>
          <w:b w:val="false"/>
          <w:bCs w:val="false"/>
        </w:rPr>
        <w:t xml:space="preserve">Define physical packages: package number, description, dimensions, gross/net weight, DG flag.</w:t>
      </w:r>
    </w:p>
    <w:p>
      <w:pPr>
        <w:pStyle w:val="ListParagraph"/>
        <w:numPr>
          <w:ilvl w:val="0"/>
          <w:numId w:val="2"/>
        </w:numPr>
        <w:spacing w:after="40"/>
      </w:pPr>
      <w:r>
        <w:rPr>
          <w:b/>
          <w:bCs/>
        </w:rPr>
        <w:t xml:space="preserve">Step 4 — Documents: </w:t>
      </w:r>
      <w:r>
        <w:rPr>
          <w:b w:val="false"/>
          <w:bCs w:val="false"/>
        </w:rPr>
        <w:t xml:space="preserve">Upload commercial invoice, packing list, bill of lading, or certificate of origin.</w:t>
      </w:r>
    </w:p>
    <w:p>
      <w:pPr>
        <w:pStyle w:val="ListParagraph"/>
        <w:numPr>
          <w:ilvl w:val="0"/>
          <w:numId w:val="2"/>
        </w:numPr>
        <w:spacing w:after="40"/>
      </w:pPr>
      <w:r>
        <w:rPr>
          <w:b/>
          <w:bCs/>
        </w:rPr>
        <w:t xml:space="preserve">Step 5 — Confirm: </w:t>
      </w:r>
      <w:r>
        <w:rPr>
          <w:b w:val="false"/>
          <w:bCs w:val="false"/>
        </w:rPr>
        <w:t xml:space="preserve">Review, choose whether to notify the forwarder now or later, and click Confirm.</w:t>
      </w:r>
    </w:p>
    <w:p>
      <w:pPr>
        <w:pBdr>
          <w:left w:val="single" w:color="E84E0F" w:sz="18" w:space="8"/>
        </w:pBdr>
        <w:spacing w:after="120" w:before="80"/>
        <w:ind w:left="180"/>
      </w:pPr>
      <w:r>
        <w:rPr>
          <w:b/>
          <w:bCs/>
          <w:color w:val="E84E0F"/>
        </w:rPr>
        <w:t xml:space="preserve">IMPORTANT: </w:t>
      </w:r>
      <w:r>
        <w:t xml:space="preserve">Transport mode is mandatory. Clicking Next without selecting a transport mode will display a red error message.</w:t>
      </w:r>
    </w:p>
    <w:p>
      <w:pPr>
        <w:spacing w:after="120"/>
      </w:pPr>
      <w:r>
        <w:rPr>
          <w:b w:val="false"/>
          <w:bCs w:val="false"/>
        </w:rPr>
        <w:t xml:space="preserve">Once created, the SCN appears in the Line Items &amp; SCNs tab, the line item quantities update to reflect the assigned quantities, and the SCN appears in the Logistics module pipeline.</w:t>
      </w:r>
    </w:p>
    <w:p>
      <w:pPr>
        <w:pStyle w:val="Heading2"/>
      </w:pPr>
      <w:r>
        <w:t xml:space="preserve">7.5  VDRL Register</w:t>
      </w:r>
    </w:p>
    <w:p>
      <w:pPr>
        <w:spacing w:after="120"/>
      </w:pPr>
      <w:r>
        <w:rPr>
          <w:b w:val="false"/>
          <w:bCs w:val="false"/>
        </w:rPr>
        <w:t xml:space="preserve">The VDRL Register tab shows a project-wide view of all Vendor Document Requirements Lists, landing on a PO list view. Five KPI cards appear: Total Packages, Total Docs, Submitted, Overdue, and ABF Cleared. Click View → on any PO row to drill into its package document list. Use ↓ Template to download the VDRL Excel template and ↑ Upload VDRL to bulk-upload requirements.</w:t>
      </w:r>
    </w:p>
    <w:p>
      <w:pPr>
        <w:pStyle w:val="Heading2"/>
      </w:pPr>
      <w:r>
        <w:t xml:space="preserve">7.6  Action Log</w:t>
      </w:r>
    </w:p>
    <w:p>
      <w:pPr>
        <w:spacing w:after="120"/>
      </w:pPr>
      <w:r>
        <w:rPr>
          <w:b w:val="false"/>
          <w:bCs w:val="false"/>
        </w:rPr>
        <w:t xml:space="preserve">The Action Log tab shows a cross-PO thread of all action notes — each with the user, the PO it was recorded against (clickable), the timestamp, and the note text. This provides a consolidated view of all expediting activity without drilling into individual POs.</w:t>
      </w:r>
    </w:p>
    <w:p>
      <w:r>
        <w:br w:type="page"/>
      </w:r>
    </w:p>
    <w:p>
      <w:pPr>
        <w:pStyle w:val="Heading1"/>
      </w:pPr>
      <w:r>
        <w:t xml:space="preserve">Chapters 8–11 — In Progress</w:t>
      </w:r>
    </w:p>
    <w:p>
      <w:pPr>
        <w:spacing w:after="120"/>
      </w:pPr>
      <w:r>
        <w:rPr>
          <w:b w:val="false"/>
          <w:bCs w:val="false"/>
        </w:rPr>
        <w:t xml:space="preserve">The following chapters are being authored as their modules are finalised, and will be added to this manual per build phase:</w:t>
      </w:r>
    </w:p>
    <w:p>
      <w:pPr>
        <w:pStyle w:val="ListParagraph"/>
        <w:numPr>
          <w:ilvl w:val="0"/>
          <w:numId w:val="2"/>
        </w:numPr>
        <w:spacing w:after="40"/>
      </w:pPr>
      <w:r>
        <w:rPr>
          <w:b/>
          <w:bCs/>
        </w:rPr>
        <w:t xml:space="preserve">Chapter 8 — Logistics: </w:t>
      </w:r>
      <w:r>
        <w:rPr>
          <w:b w:val="false"/>
          <w:bCs w:val="false"/>
        </w:rPr>
        <w:t xml:space="preserve">SCN pipeline tracking (pickup → transit → customs → delivery), Proof of Custody, packages and documents.</w:t>
      </w:r>
    </w:p>
    <w:p>
      <w:pPr>
        <w:pStyle w:val="ListParagraph"/>
        <w:numPr>
          <w:ilvl w:val="0"/>
          <w:numId w:val="2"/>
        </w:numPr>
        <w:spacing w:after="40"/>
      </w:pPr>
      <w:r>
        <w:rPr>
          <w:b/>
          <w:bCs/>
        </w:rPr>
        <w:t xml:space="preserve">Chapter 9 — Material Control: </w:t>
      </w:r>
      <w:r>
        <w:rPr>
          <w:b w:val="false"/>
          <w:bCs w:val="false"/>
        </w:rPr>
        <w:t xml:space="preserve">Receipting (line-based, heat entry, split-by-heat, damaged-to-quarantine), Stock Register, Stock Take, FMR (raise, multi-line approval, issue &amp; decrement), Transfers (stock-linked split-move, approval gate).</w:t>
      </w:r>
    </w:p>
    <w:p>
      <w:pPr>
        <w:pStyle w:val="ListParagraph"/>
        <w:numPr>
          <w:ilvl w:val="0"/>
          <w:numId w:val="2"/>
        </w:numPr>
        <w:spacing w:after="40"/>
      </w:pPr>
      <w:r>
        <w:rPr>
          <w:b/>
          <w:bCs/>
        </w:rPr>
        <w:t xml:space="preserve">Chapter 10 — Traceability: </w:t>
      </w:r>
      <w:r>
        <w:rPr>
          <w:b w:val="false"/>
          <w:bCs w:val="false"/>
        </w:rPr>
        <w:t xml:space="preserve">Heat/lot identity, certificate verification, holds, and the per-tag trace chain.</w:t>
      </w:r>
    </w:p>
    <w:p>
      <w:pPr>
        <w:pStyle w:val="ListParagraph"/>
        <w:numPr>
          <w:ilvl w:val="0"/>
          <w:numId w:val="2"/>
        </w:numPr>
        <w:spacing w:after="40"/>
      </w:pPr>
      <w:r>
        <w:rPr>
          <w:b/>
          <w:bCs/>
        </w:rPr>
        <w:t xml:space="preserve">Chapter 11 — Heat / Lot Tracking: </w:t>
      </w:r>
      <w:r>
        <w:rPr>
          <w:b w:val="false"/>
          <w:bCs w:val="false"/>
        </w:rPr>
        <w:t xml:space="preserve">How heat numbers are captured at SCN creation, assigned at receipting, carried through transfers, and recorded on issue — end to end.</w:t>
      </w:r>
    </w:p>
    <w:p>
      <w:pPr>
        <w:pBdr>
          <w:left w:val="single" w:color="1565C0" w:sz="18" w:space="8"/>
        </w:pBdr>
        <w:spacing w:after="120" w:before="80"/>
        <w:ind w:left="180"/>
      </w:pPr>
      <w:r>
        <w:rPr>
          <w:b/>
          <w:bCs/>
          <w:color w:val="1565C0"/>
        </w:rPr>
        <w:t xml:space="preserve">NOTE: </w:t>
      </w:r>
      <w:r>
        <w:t xml:space="preserve">This manual is maintained alongside the system build. Each chapter is finalised once its module's behaviour is locked, so the in-app help and this manual stay in step.</w:t>
      </w:r>
    </w:p>
    <w:p>
      <w:r>
        <w:br w:type="page"/>
      </w:r>
    </w:p>
    <w:p>
      <w:pPr>
        <w:pStyle w:val="Heading1"/>
      </w:pPr>
      <w:r>
        <w:t xml:space="preserve">Appendix A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Term</w:t>
            </w:r>
          </w:p>
        </w:tc>
        <w:tc>
          <w:tcPr>
            <w:tcW w:type="dxa" w:w="6360"/>
            <w:tcBorders>
              <w:top w:val="single" w:color="CCCCCC" w:sz="1"/>
              <w:left w:val="single" w:color="CCCCCC" w:sz="1"/>
              <w:bottom w:val="single" w:color="CCCCCC" w:sz="1"/>
              <w:right w:val="single" w:color="CCCCCC" w:sz="1"/>
            </w:tcBorders>
            <w:shd w:fill="1A1A1A" w:color="auto" w:val="clear"/>
            <w:tcMar>
              <w:top w:type="dxa" w:w="80"/>
              <w:left w:type="dxa" w:w="120"/>
              <w:bottom w:type="dxa" w:w="80"/>
              <w:right w:type="dxa" w:w="120"/>
            </w:tcMar>
          </w:tcPr>
          <w:p>
            <w:r>
              <w:rPr>
                <w:b/>
                <w:bCs/>
                <w:color w:val="FFFFFF"/>
              </w:rPr>
              <w:t xml:space="preserve">Definition</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ABF</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Approved By Forwarder — document status indicating the freight forwarder has accepted the document.</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AVL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Approved Vendor List — the register of qualified and approved suppliers.</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CDD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Contract Delivery Date — the contractually agreed date for delivery of goods.</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EPC</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Engineering, Procurement &amp; Construction — the project delivery model QCO MMS is designed for.</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Expected Shipment Date — the date goods are forecast to depart the vendor facility.</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ETA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Estimated Time of Arrival — the forecast date for goods arriving at the destination warehouse.</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ETD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Estimated Time of Departure — the forecast date for goods leaving the origin port/facility.</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Factory Acceptance Test — a witnessed test performed at the vendor facility before shipment.</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FMR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Field Material Request — a request for materials from the site to be issued from the warehouse.</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Heat Number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 unique identifier stamped on metallic material identifying the batch (heat) it was produced from; travels with the material for traceability.</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Incoterms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International Commercial Terms — standardised trade terms defining delivery and risk transfer points (2020 edition).</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ITP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Inspection and Test Plan — a document specifying inspection activities, hold points, and witness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MTO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Material Take-Off — an engineering document listing all materials required for a scope of work.</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Purchase Order — a formal contract to purchase goods from a vendor.</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Quarantine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 hold location for received material that is damaged or not cleared for issue; quarantined stock is never issuable until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RAG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Red / Amber / Green — a traffic-light status system used throughout QCO MMS.</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ROS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Required on Site — the date by which materials must be at the project site.</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Shipment Control Note — a document created when goods ship from the vendor, tracking the shipment through the logistics pipeline.</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VDRL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Vendor Document Requirements List — the list of documents that must be submitted by the vendor for a given PO or package.</w:t>
            </w:r>
          </w:p>
        </w:tc>
      </w:tr>
      <w:tr>
        <w:trPr>
          <w:tblHeader w:val="false"/>
        </w:trP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WBS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Work Breakdown Structure — the hierarchical breakdown of a project into deliverable components.</w:t>
            </w:r>
          </w:p>
        </w:tc>
      </w:tr>
    </w:tbl>
    <w:p>
      <w:r>
        <w:br w:type="page"/>
      </w:r>
    </w:p>
    <w:p>
      <w:pPr>
        <w:pStyle w:val="Heading1"/>
      </w:pPr>
      <w:r>
        <w:t xml:space="preserve">Appendix B — Support</w:t>
      </w:r>
    </w:p>
    <w:p>
      <w:pPr>
        <w:spacing w:after="120"/>
      </w:pPr>
      <w:r>
        <w:rPr>
          <w:b w:val="false"/>
          <w:bCs w:val="false"/>
        </w:rPr>
        <w:t xml:space="preserve">For technical support or to report a system issue, contact:</w:t>
      </w:r>
    </w:p>
    <w:p>
      <w:pPr>
        <w:pStyle w:val="ListParagraph"/>
        <w:numPr>
          <w:ilvl w:val="0"/>
          <w:numId w:val="2"/>
        </w:numPr>
        <w:spacing w:after="40"/>
      </w:pPr>
      <w:r>
        <w:rPr>
          <w:b/>
          <w:bCs/>
        </w:rPr>
        <w:t xml:space="preserve">System Administrator: </w:t>
      </w:r>
      <w:r>
        <w:rPr>
          <w:b w:val="false"/>
          <w:bCs w:val="false"/>
        </w:rPr>
        <w:t xml:space="preserve">Thomas Chang — tchang@qcogroup.com.au</w:t>
      </w:r>
    </w:p>
    <w:p>
      <w:pPr>
        <w:pStyle w:val="ListParagraph"/>
        <w:numPr>
          <w:ilvl w:val="0"/>
          <w:numId w:val="2"/>
        </w:numPr>
        <w:spacing w:after="40"/>
      </w:pPr>
      <w:r>
        <w:rPr>
          <w:b/>
          <w:bCs/>
        </w:rPr>
        <w:t xml:space="preserve">Company: </w:t>
      </w:r>
      <w:r>
        <w:rPr>
          <w:b w:val="false"/>
          <w:bCs w:val="false"/>
        </w:rPr>
        <w:t xml:space="preserve">QCO Group — qcogroup.com.au</w:t>
      </w:r>
    </w:p>
    <w:p>
      <w:pPr>
        <w:spacing w:after="120"/>
      </w:pPr>
      <w:r>
        <w:rPr>
          <w:b w:val="false"/>
          <w:bCs w:val="false"/>
        </w:rPr>
        <w:t xml:space="preserve">When reporting a bug or issue, please provide:</w:t>
      </w:r>
    </w:p>
    <w:p>
      <w:pPr>
        <w:pStyle w:val="ListParagraph"/>
        <w:numPr>
          <w:ilvl w:val="0"/>
          <w:numId w:val="2"/>
        </w:numPr>
        <w:spacing w:after="40"/>
      </w:pPr>
      <w:r>
        <w:rPr>
          <w:b w:val="false"/>
          <w:bCs w:val="false"/>
        </w:rPr>
        <w:t xml:space="preserve">The module and screen where the issue occurred</w:t>
      </w:r>
    </w:p>
    <w:p>
      <w:pPr>
        <w:pStyle w:val="ListParagraph"/>
        <w:numPr>
          <w:ilvl w:val="0"/>
          <w:numId w:val="2"/>
        </w:numPr>
        <w:spacing w:after="40"/>
      </w:pPr>
      <w:r>
        <w:rPr>
          <w:b w:val="false"/>
          <w:bCs w:val="false"/>
        </w:rPr>
        <w:t xml:space="preserve">The steps you took before the issue appeared</w:t>
      </w:r>
    </w:p>
    <w:p>
      <w:pPr>
        <w:pStyle w:val="ListParagraph"/>
        <w:numPr>
          <w:ilvl w:val="0"/>
          <w:numId w:val="2"/>
        </w:numPr>
        <w:spacing w:after="40"/>
      </w:pPr>
      <w:r>
        <w:rPr>
          <w:b w:val="false"/>
          <w:bCs w:val="false"/>
        </w:rPr>
        <w:t xml:space="preserve">A screenshot if possible</w:t>
      </w:r>
    </w:p>
    <w:p>
      <w:pPr>
        <w:pStyle w:val="ListParagraph"/>
        <w:numPr>
          <w:ilvl w:val="0"/>
          <w:numId w:val="2"/>
        </w:numPr>
        <w:spacing w:after="40"/>
      </w:pPr>
      <w:r>
        <w:rPr>
          <w:b w:val="false"/>
          <w:bCs w:val="false"/>
        </w:rPr>
        <w:t xml:space="preserve">The date and time of the issue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999999"/>
        <w:sz w:val="16"/>
        <w:szCs w:val="16"/>
      </w:rPr>
      <w:t xml:space="preserve">© 2026 QCO Group  ·  qcogroup.com.au</w:t>
    </w:r>
    <w:r>
      <w:rPr>
        <w:color w:val="999999"/>
        <w:sz w:val="16"/>
        <w:szCs w:val="16"/>
      </w:rPr>
      <w:t xml:space="preserve">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QCO MMS — User Manual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A1A1A"/>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E84E0F"/>
      <w:sz w:val="26"/>
      <w:szCs w:val="26"/>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QCO MMS User Manual</dc:title>
  <dc:creator>QCO Group</dc:creator>
  <cp:lastModifiedBy>Un-named</cp:lastModifiedBy>
  <cp:revision>1</cp:revision>
  <dcterms:created xsi:type="dcterms:W3CDTF">2026-06-02T05:30:41.901Z</dcterms:created>
  <dcterms:modified xsi:type="dcterms:W3CDTF">2026-06-02T05:30:41.901Z</dcterms:modified>
</cp:coreProperties>
</file>

<file path=docProps/custom.xml><?xml version="1.0" encoding="utf-8"?>
<Properties xmlns="http://schemas.openxmlformats.org/officeDocument/2006/custom-properties" xmlns:vt="http://schemas.openxmlformats.org/officeDocument/2006/docPropsVTypes"/>
</file>