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/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Johnson Siringoringo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Selzweg 2A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3422 Kirchberg BE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2303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Siringoringo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Atemschutzmasken N95 / KN95 / FFP2 (HG-002)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20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/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